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3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For the fiscal year ended December 31, 2025</w:t>
            </w: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or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0"/>
                <w:szCs w:val="20"/>
                <w:color w:val="auto"/>
              </w:rPr>
            </w:pPr>
            <w:r>
              <w:rPr>
                <w:rFonts w:ascii="Wingdings" w:cs="Wingdings" w:eastAsia="Wingdings" w:hAnsi="Wingdings"/>
                <w:sz w:val="13"/>
                <w:szCs w:val="13"/>
                <w:b w:val="1"/>
                <w:bCs w:val="1"/>
                <w:color w:val="auto"/>
              </w:rPr>
              <w:t>o</w:t>
            </w: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001-40367</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BARINTHUS BIOTHERAPEUTICS PLC</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354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7"/>
              </w:rPr>
              <w:t>England and Wales</w:t>
            </w:r>
          </w:p>
        </w:tc>
        <w:tc>
          <w:tcPr>
            <w:tcW w:w="3600" w:type="dxa"/>
            <w:vAlign w:val="bottom"/>
          </w:tcPr>
          <w:p>
            <w:pPr>
              <w:spacing w:after="0"/>
              <w:rPr>
                <w:sz w:val="24"/>
                <w:szCs w:val="24"/>
                <w:color w:val="auto"/>
              </w:rPr>
            </w:pPr>
          </w:p>
        </w:tc>
        <w:tc>
          <w:tcPr>
            <w:tcW w:w="312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8"/>
              </w:rPr>
              <w:t>Not Applicable</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7140" w:type="dxa"/>
            <w:vAlign w:val="bottom"/>
            <w:gridSpan w:val="2"/>
          </w:tcPr>
          <w:p>
            <w:pPr>
              <w:jc w:val="center"/>
              <w:ind w:right="2095"/>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12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c>
          <w:tcPr>
            <w:tcW w:w="0" w:type="dxa"/>
            <w:vAlign w:val="bottom"/>
          </w:tcPr>
          <w:p>
            <w:pPr>
              <w:spacing w:after="0"/>
              <w:rPr>
                <w:sz w:val="1"/>
                <w:szCs w:val="1"/>
                <w:color w:val="auto"/>
              </w:rPr>
            </w:pPr>
          </w:p>
        </w:tc>
      </w:tr>
      <w:tr>
        <w:trPr>
          <w:trHeight w:val="419"/>
        </w:trPr>
        <w:tc>
          <w:tcPr>
            <w:tcW w:w="280" w:type="dxa"/>
            <w:vAlign w:val="bottom"/>
          </w:tcPr>
          <w:p>
            <w:pPr>
              <w:spacing w:after="0"/>
              <w:rPr>
                <w:sz w:val="24"/>
                <w:szCs w:val="24"/>
                <w:color w:val="auto"/>
              </w:rPr>
            </w:pPr>
          </w:p>
        </w:tc>
        <w:tc>
          <w:tcPr>
            <w:tcW w:w="3540" w:type="dxa"/>
            <w:vAlign w:val="bottom"/>
            <w:vMerge w:val="restart"/>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5"/>
              </w:rPr>
              <w:t>20400 Century Blvd</w:t>
            </w:r>
          </w:p>
        </w:tc>
        <w:tc>
          <w:tcPr>
            <w:tcW w:w="3600" w:type="dxa"/>
            <w:vAlign w:val="bottom"/>
          </w:tcPr>
          <w:p>
            <w:pPr>
              <w:spacing w:after="0"/>
              <w:rPr>
                <w:sz w:val="24"/>
                <w:szCs w:val="24"/>
                <w:color w:val="auto"/>
              </w:rPr>
            </w:pPr>
          </w:p>
        </w:tc>
        <w:tc>
          <w:tcPr>
            <w:tcW w:w="312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2"/>
              </w:rPr>
              <w:t>20874</w:t>
            </w: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354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8"/>
              </w:rPr>
              <w:t>Suite 210</w:t>
            </w:r>
          </w:p>
        </w:tc>
        <w:tc>
          <w:tcPr>
            <w:tcW w:w="36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54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6"/>
              </w:rPr>
              <w:t>Germantown, MD</w:t>
            </w:r>
          </w:p>
        </w:tc>
        <w:tc>
          <w:tcPr>
            <w:tcW w:w="3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3540" w:type="dxa"/>
            <w:vAlign w:val="bottom"/>
          </w:tcPr>
          <w:p>
            <w:pPr>
              <w:jc w:val="center"/>
              <w:ind w:left="137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600" w:type="dxa"/>
            <w:vAlign w:val="bottom"/>
          </w:tcPr>
          <w:p>
            <w:pPr>
              <w:spacing w:after="0"/>
              <w:rPr>
                <w:sz w:val="24"/>
                <w:szCs w:val="24"/>
                <w:color w:val="auto"/>
              </w:rPr>
            </w:pPr>
          </w:p>
        </w:tc>
        <w:tc>
          <w:tcPr>
            <w:tcW w:w="312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729"/>
        </w:trPr>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443 917-0966</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3540" w:type="dxa"/>
            <w:vAlign w:val="bottom"/>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12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54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7"/>
              </w:rPr>
              <w:t>American Depositary Shares*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BRNS</w:t>
            </w:r>
          </w:p>
        </w:tc>
        <w:tc>
          <w:tcPr>
            <w:tcW w:w="3120" w:type="dxa"/>
            <w:vAlign w:val="bottom"/>
          </w:tcPr>
          <w:p>
            <w:pPr>
              <w:jc w:val="center"/>
              <w:ind w:left="737"/>
              <w:spacing w:after="0"/>
              <w:rPr>
                <w:sz w:val="20"/>
                <w:szCs w:val="20"/>
                <w:color w:val="auto"/>
              </w:rPr>
            </w:pPr>
            <w:r>
              <w:rPr>
                <w:rFonts w:ascii="Times New Roman" w:cs="Times New Roman" w:eastAsia="Times New Roman" w:hAnsi="Times New Roman"/>
                <w:sz w:val="13"/>
                <w:szCs w:val="13"/>
                <w:color w:val="auto"/>
                <w:w w:val="95"/>
              </w:rPr>
              <w:t>The Nasdaq Global Market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54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6"/>
              </w:rPr>
              <w:t>Ordinary shares, nominal value £0.000025 per share**</w:t>
            </w:r>
          </w:p>
        </w:tc>
        <w:tc>
          <w:tcPr>
            <w:tcW w:w="36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*American Depositary Shares may be evidenced by American Depositary Receipts. Each American Depositary Share represents one (1) ordinary share.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Not for trading, but only in connection with the listing of American Depositary Shares on The Nasdaq Global Market.</w:t>
      </w:r>
    </w:p>
    <w:p>
      <w:pPr>
        <w:spacing w:after="0" w:line="7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7"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93"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5"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6" w:lineRule="exact"/>
        <w:rPr>
          <w:sz w:val="24"/>
          <w:szCs w:val="24"/>
          <w:color w:val="auto"/>
        </w:rPr>
      </w:pPr>
    </w:p>
    <w:p>
      <w:pPr>
        <w:ind w:left="380"/>
        <w:spacing w:after="0"/>
        <w:tabs>
          <w:tab w:leader="none" w:pos="2000" w:val="left"/>
          <w:tab w:leader="none" w:pos="2740" w:val="left"/>
          <w:tab w:leader="none" w:pos="4240" w:val="left"/>
          <w:tab w:leader="none" w:pos="4880" w:val="left"/>
          <w:tab w:leader="none" w:pos="6480" w:val="left"/>
          <w:tab w:leader="none" w:pos="6980" w:val="left"/>
          <w:tab w:leader="none" w:pos="8740" w:val="left"/>
          <w:tab w:leader="none" w:pos="9240" w:val="left"/>
          <w:tab w:leader="none" w:pos="1098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Wingdings" w:cs="Wingdings" w:eastAsia="Wingdings" w:hAnsi="Wingdings"/>
          <w:sz w:val="13"/>
          <w:szCs w:val="13"/>
          <w:b w:val="1"/>
          <w:bCs w:val="1"/>
          <w:color w:val="auto"/>
        </w:rPr>
        <w:t>x</w:t>
      </w:r>
    </w:p>
    <w:p>
      <w:pPr>
        <w:spacing w:after="0" w:line="229"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93"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65"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79"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7"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3"/>
          <w:szCs w:val="13"/>
          <w:color w:val="auto"/>
        </w:rPr>
        <w:t>As of the last business day of the registrant’s most recently completed second fiscal quarter, the aggregate market value of the registrant’s ordinary shares, nominal value £0.000025 per share, in the form of American Depositary Shares, held by non-affiliates was approximately $13.7 million.</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ordinary shares, nominal value £0.000025 per share, as of March 6, 2026: 40,848,893 shares.</w:t>
      </w:r>
    </w:p>
    <w:p>
      <w:pPr>
        <w:spacing w:after="0" w:line="10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2"/>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tc>
        <w:tc>
          <w:tcPr>
            <w:tcW w:w="1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gridSpan w:val="10"/>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1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 xml:space="preserve">FOR THE FISCAL YEAR ENDED DECEMBER 31, </w:t>
            </w:r>
            <w:r>
              <w:rPr>
                <w:rFonts w:ascii="Times New Roman" w:cs="Times New Roman" w:eastAsia="Times New Roman" w:hAnsi="Times New Roman"/>
                <w:sz w:val="18"/>
                <w:szCs w:val="18"/>
                <w:color w:val="auto"/>
                <w:w w:val="99"/>
              </w:rPr>
              <w:t>2025</w:t>
            </w:r>
          </w:p>
        </w:tc>
        <w:tc>
          <w:tcPr>
            <w:tcW w:w="11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9"/>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8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60" w:type="dxa"/>
            <w:vAlign w:val="bottom"/>
            <w:gridSpan w:val="8"/>
          </w:tcPr>
          <w:p>
            <w:pPr>
              <w:spacing w:after="0"/>
              <w:rPr>
                <w:sz w:val="24"/>
                <w:szCs w:val="24"/>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21"/>
                <w:szCs w:val="21"/>
                <w:color w:val="auto"/>
              </w:rPr>
            </w:pP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540" w:type="dxa"/>
            <w:vAlign w:val="bottom"/>
            <w:gridSpan w:val="6"/>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Cybersecurity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gridSpan w:val="2"/>
          </w:tcPr>
          <w:p>
            <w:pPr>
              <w:spacing w:after="0"/>
              <w:rPr>
                <w:sz w:val="21"/>
                <w:szCs w:val="21"/>
                <w:color w:val="auto"/>
              </w:rPr>
            </w:pPr>
          </w:p>
        </w:tc>
        <w:tc>
          <w:tcPr>
            <w:tcW w:w="540" w:type="dxa"/>
            <w:vAlign w:val="bottom"/>
            <w:gridSpan w:val="6"/>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60" w:type="dxa"/>
            <w:vAlign w:val="bottom"/>
            <w:gridSpan w:val="8"/>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60" w:type="dxa"/>
            <w:vAlign w:val="bottom"/>
            <w:gridSpan w:val="8"/>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0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60" w:type="dxa"/>
            <w:vAlign w:val="bottom"/>
            <w:gridSpan w:val="8"/>
          </w:tcPr>
          <w:p>
            <w:pPr>
              <w:spacing w:after="0"/>
              <w:rPr>
                <w:sz w:val="24"/>
                <w:szCs w:val="24"/>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80" w:type="dxa"/>
            <w:vAlign w:val="bottom"/>
          </w:tcPr>
          <w:p>
            <w:pPr>
              <w:spacing w:after="0"/>
              <w:rPr>
                <w:sz w:val="21"/>
                <w:szCs w:val="21"/>
                <w:color w:val="auto"/>
              </w:rPr>
            </w:pPr>
          </w:p>
        </w:tc>
        <w:tc>
          <w:tcPr>
            <w:tcW w:w="580" w:type="dxa"/>
            <w:vAlign w:val="bottom"/>
            <w:gridSpan w:val="7"/>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Pr>
          <w:p>
            <w:pPr>
              <w:spacing w:after="0"/>
              <w:rPr>
                <w:sz w:val="21"/>
                <w:szCs w:val="21"/>
                <w:color w:val="auto"/>
              </w:rPr>
            </w:pPr>
          </w:p>
        </w:tc>
        <w:tc>
          <w:tcPr>
            <w:tcW w:w="580" w:type="dxa"/>
            <w:vAlign w:val="bottom"/>
            <w:gridSpan w:val="7"/>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140" w:type="dxa"/>
            <w:vAlign w:val="bottom"/>
            <w:gridSpan w:val="3"/>
          </w:tcPr>
          <w:p>
            <w:pPr>
              <w:spacing w:after="0"/>
              <w:rPr>
                <w:sz w:val="21"/>
                <w:szCs w:val="21"/>
                <w:color w:val="auto"/>
              </w:rPr>
            </w:pP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660" w:type="dxa"/>
            <w:vAlign w:val="bottom"/>
            <w:gridSpan w:val="8"/>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21"/>
                <w:szCs w:val="21"/>
                <w:color w:val="auto"/>
              </w:rPr>
            </w:pP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540" w:type="dxa"/>
            <w:vAlign w:val="bottom"/>
            <w:gridSpan w:val="6"/>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10.</w:t>
            </w: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580" w:type="dxa"/>
            <w:vAlign w:val="bottom"/>
            <w:gridSpan w:val="7"/>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460" w:type="dxa"/>
            <w:vAlign w:val="bottom"/>
            <w:gridSpan w:val="3"/>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60" w:type="dxa"/>
            <w:vAlign w:val="bottom"/>
            <w:gridSpan w:val="3"/>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14.</w:t>
            </w: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460" w:type="dxa"/>
            <w:vAlign w:val="bottom"/>
            <w:gridSpan w:val="3"/>
          </w:tcPr>
          <w:p>
            <w:pPr>
              <w:spacing w:after="0"/>
              <w:rPr>
                <w:sz w:val="24"/>
                <w:szCs w:val="24"/>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w:t>
            </w: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952"/>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7"/>
          </w:tcPr>
          <w:p>
            <w:pPr>
              <w:jc w:val="center"/>
              <w:ind w:left="379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own the registered trademark BARINTHUS in the United Kingdom ("U.K."), and we have filed applications at the U.K. Intellectual Property Office and other intellectual properties to register trademarks for BARINTHUS, SNAP-TI, SNAP-CI and a design logo globally. We also own various trademark registrations and applications, and unregistered trademarks, including the registered trademark VACCITECH, and trademarks relating to the technologies acquired as part of our acquisition of Avidea Technologies, Inc. in December 2021 including the registered trademarks SNAPVAX and SYNTHOLYTIC. All other trade names, trademarks and service marks of other companies appearing in this Annual Report on Form 10-K ("Annual Report") are the property of their respective holders. Solely for convenience, the trademarks and trade names in this Annual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From time to time, we may use our website, our X (formerly known as Twitter) account at @Barinthusbio and our LinkedIn account at linkedin.com/company/barinthus-bio to distribute material information about us and for complying with our disclosure obligations under Regulation FD. Our financial and other material information is routinely posted to and accessible on the Investors section of our website, available at www.barinthusbio.com. Investors are encouraged to review the Investors section of our website because we may post material information on that site that is not otherwise disseminated by us. Information that is contained in and can be accessed through our website, our X (formerly known as Twitter) posts and our LinkedIn posts are not incorporated into, and does not form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Annual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Annual Report are based upon information available to our management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Annual Report include, but are not limited to, statements about:</w:t>
      </w:r>
    </w:p>
    <w:p>
      <w:pPr>
        <w:spacing w:after="0" w:line="200" w:lineRule="exact"/>
        <w:rPr>
          <w:sz w:val="20"/>
          <w:szCs w:val="20"/>
          <w:color w:val="auto"/>
        </w:rPr>
      </w:pPr>
    </w:p>
    <w:p>
      <w:pPr>
        <w:spacing w:after="0" w:line="255" w:lineRule="exact"/>
        <w:rPr>
          <w:sz w:val="20"/>
          <w:szCs w:val="20"/>
          <w:color w:val="auto"/>
        </w:rPr>
      </w:pPr>
    </w:p>
    <w:p>
      <w:pPr>
        <w:jc w:val="both"/>
        <w:ind w:left="660" w:hanging="328"/>
        <w:spacing w:after="0" w:line="239"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transactions with Clywedog Therapeutics, Inc. (“Clywedog”) contemplated by the Agreement and Plan of Merger (as amended from time to time, the “Merger Agreement”), dated September 29, 2025, by and among us, Cdog Merger Sub, Inc. and Clywedog (the “Contemplated Transactions”), and expectations regarding the timing and benefits of, and our ability to consummate, the Contemplated Transactions;</w:t>
      </w:r>
    </w:p>
    <w:p>
      <w:pPr>
        <w:spacing w:after="0" w:line="18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w:t>
      </w:r>
    </w:p>
    <w:p>
      <w:pPr>
        <w:spacing w:after="0" w:line="21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including timing of Investigational New Drug Application ("IND"), New Drug Application ("NDA"), and Biologics License Application ("BLA") filings for our current and future product candidates, and final U.S. Food and Drug Administration ("FDA"), European Medicines Agency ("EMA"), U.K. Medicines and Healthcare products Regulatory Agency ("MHRA"), or other foreign regulatory authority approvals relating to our current and future product candidates;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expectations, plans and prospects, including the estimates of costs that we expect to incur in connection with the restructuring and the timing thereof;</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and future product candidates and programs into, and successfully complete, clinical trials;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or maintain current collaborations or strategic relationships;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and future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expectations surrounding the payments we could potentially receive pursuant to our collaborations and license agreements;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collaborators to continue research and development activities relating to our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defend and enforce our intellectual property protection for our product candidates, and the scope of such protection;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if approved, and any other approved products;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 and the success of competing therapies that are or may become available;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16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our annual total addressable markets, future revenue, expenses, capital requirements and needs for additional financing;</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overcome challenges posed to the conduct of our business in the event of a global pandemic or similar event;</w:t>
      </w:r>
    </w:p>
    <w:p>
      <w:pPr>
        <w:spacing w:after="0" w:line="21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inflationary pressures, volatile interest rates, or intensified disruptions in the global financial markets, the change in the U.S. presidential administration, the conflict in Ukraine, the conflict in Israel and Gaza, disruptions in the banking industry, economic sanctions and economic slowdowns or recessions that may result from such developments; and</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 of Nasdaq and expectations regarding the period during which we qualify as an emerging growth company under the Jumpstart Our Business Startups Act of 2012, as amended ("JOBS Act").</w:t>
      </w:r>
    </w:p>
    <w:p>
      <w:pPr>
        <w:spacing w:after="0" w:line="200" w:lineRule="exact"/>
        <w:rPr>
          <w:sz w:val="20"/>
          <w:szCs w:val="20"/>
          <w:color w:val="auto"/>
        </w:rPr>
      </w:pP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Annual Report and the documents that we reference in this Annual Report with the understanding that our actual future results may be materially different from what we expect. We qualify all of our forward-looking statements in this Annual Report by these cautionary statements.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Annual Report to the terms “Barinthus Bio,” “the Company,” “we,” “us,” “our,” and similar designations refer to Barinthus Biotherapeutics plc and, where appropriate, our majority-owned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20" w:lineRule="exact"/>
        <w:rPr>
          <w:sz w:val="20"/>
          <w:szCs w:val="20"/>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complete the Contemplated Transactions would have a material adverse effect on our business, results of operations, financial condition and stock price.</w:t>
      </w:r>
    </w:p>
    <w:p>
      <w:pPr>
        <w:spacing w:after="0" w:line="19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integrate our business with that of Clywedog in the expected timeframe would adversely affect our future business and financial performance and the value of our stockholders’ investment following the Combinations.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and Clywedog’s stockholders may not realize a benefit from the Contemplated Transactions commensurate with the ownership dilution they will experience in connection with the Contemplated Transactions.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prior to the closing of the Contemplated Transactions, our business is exposed to certain inherent risks due to the effect of the announcement or pendency of the Contemplated Transactions on our business relationships, financial condition, operating results and business.</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may arise in connection with the Contemplated Transactions, which could be costly, prevent consummation of the Contemplated Transactions, divert management’s attention and otherwise materially harm our business.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restrictions on our business activities under the Merger Agreement.</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generated any material revenue from our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engage in further acquisitions or future strategic partnerships, this may increase our capital requirements, dilute our shareholders, cause us to incur debt or assume contingent liabilities, and subject us to other risks.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21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shareholders, restrict our operations or require us to relinquish rights to our technologies or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7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novel approaches to the treatment of diseases, which makes it difficult to predict the time and cost of product candidate development.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authorization for our product candidates, we will be subject to ongoing regulatory obligations and continued regulatory review, which may result in significant additional expenses, and we may be subject to penalties if we fail to comply with regulatory requirements or experience unanticipated problems with our product candidates.</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pipeline prioritization and restructuring may be unsuccessful, lead to additional costs, disrupt our operations, create unintended problems in our workforce, or increase litigation, in which case our business could be harmed.</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of our organization and we may experience difficulties in managing this growth.</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classified as a passive foreign investment company, it could result in adverse U.S. federal income tax consequences to U.S. Holders (as defined below).</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regain compliance with the continued listing requirements of Nasdaq Stock Market LLC ("Nasdaq"), our ADSs may be delisted and the price of our ADSs and our ability to access the capital markets could be negatively impacted.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risks associated with operating our business internationally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prioritizing the development of a pipeline for I&amp;I indications enabled by our proprietary and highly differentiated platform for promoting immune tolerance, referred to as SNAP-TI, that are designed to guide patient's T cells to reduce inflammation and restore the natural state of immune non-responsiveness to healthy tissue. Our lead candidate, VTP-1000, is designed to restore immune non-responsiveness to gluten in patients with celiac disease, and is currently being assessed in a Phase 1 clinical trial. Based on encouraging preclinical data, we believe that the SNAP-TI platform has the potential to impact multiple other I&amp;I indications.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also exploring partnership opportunities for VTP-300, a product candidate to treat chronic hepatitis B ("CHB") that harnesses viral vector platform technologies, consisting of Chimpanzee Adenovirus Oxford ("ChAdOx") and Modified Vaccinia Ankara ("MVA"), which are designed to increase disease-specific CD8+ T cells. VTP-300 is a Phase 2 immunotherapeutic treatment modality that is a component of a treatment regimen to establish functional cure in patients who are chronically infected by the hepatitis B virus.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our core capabilities at the intersection of T cell immunology and immunotherapeutic technology platforms combined with our track record of successfully executing development path activities uniquely position us to navigate towards delivering promising new treatments for patients with autoimmune and inflammatory diseases and building value for shareholders.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leveraging the latest understanding of how the immune system's T cells naturally function to control disease. Research has shown that T cells are key to our body’s ability to identify and respond to threats through recognition of antigens. Disease can occur when the T cell response is either inappropriate, as occurs in autoimmunity, or inadequate, as often occurs in chronic viral infections or cancer.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autoimmune and inflammatory diseases are characterized by an inappropriate or overactive immune response caused by an imbalance in the T cell population. T effector ("Teff") cells that normally fight infections and cancer can inappropriately attack the body and overwhelm the regulatory T ("Treg") cells that are meant to prevent inflammation. While there has been incredible progress in the treatment options over the last two decades, current therapies still rely heavily on the use of non-specific immunosuppressive agents and supportive therapies. These may efficiently dampen inflammation and slow disease progression, but they often require lifelong treatment and their lack of specificity for the pathogenic mechanism can lead to several, sometimes life-threatening, side effects. Therefore, there remains a need for more targeted, curative therapies that directly address the T cell (Treg/Teff) imbalance underlying many autoimmune and inflammatory diseases. Fortunately, improved understanding of the cause of inflammatory diseases is allowing the identification of the specific antigens that Teff cells are attacking. In autoimmunity, Teff cells recognize and attack tissues harboring self-antigens, such as pancreatic beta islet cell associated antigens in type-1 diabetes. Knowledge of the problematic antigens that the Teff cells are responding to allows for the development of highly specific treatments that only target the T cells involved in the disease and may provide a less aggressive and potentially curative approach.</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aim to directly address the disease process underlying autoimmunity and other inflammatory diseases by developing antigen-specific immune tolerance ("ASIT") therapies based on our proprietary SNAP-TI technology platform. Our approach is to use SNAP-TI to provide the immune system with problematic antigens within an appropriate tolerogenic context that promotes a reduction in Teff cells and increase in Treg cells, aiming to restore the natural state of immune tolerance and control over disease. Properties that differentiate SNAP-TI from other ASIT therapies are the use of synthetic, self-assembling nanoparticles to improve manufacturability of multiple antigen compositions; ability to administer by preferred intramuscular or subcutaneous routes; and use of an immunomodulator that aims to improve the Treg/Teff ratio and prevent unwanted inflammation associated with the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achieved a number of strategic, operational, and financial objectives, which we believe position us to deliver on our long-term plans:</w:t>
      </w:r>
    </w:p>
    <w:p>
      <w:pPr>
        <w:spacing w:after="0" w:line="239" w:lineRule="exact"/>
        <w:rPr>
          <w:sz w:val="20"/>
          <w:szCs w:val="20"/>
          <w:color w:val="auto"/>
        </w:rPr>
      </w:pPr>
    </w:p>
    <w:p>
      <w:pPr>
        <w:jc w:val="both"/>
        <w:ind w:left="660" w:hanging="328"/>
        <w:spacing w:after="0" w:line="23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announced a strategic business refocus and restructuring to prioritize immunology and inflammation indications, including the development of VTP-1000 in celiac disease and deprioritization of VTP-300 in CHB until a partner is identified. Partners are also being sought for the other assets that are based upon the viral vector platforms. As part of this refocus, we announced a reduction in workforce of approximately 65% and the expected closure of the U.K. site, focusing future operations at the U.S. site in Germantown, Maryland and extending the cash runway into 2027.</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2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presented data from two Phase 2 clinical trials of VTP-300 in CHB at the European Association for the Study of the Liver (“EASL”) Congress 2025 showing VTP-300 induced meaningful and sustained reductions in hepatitis B surface antigen (“HBsAg”). Data from the HBV003 trial, evaluating VTP-300 in combination with low-dose nivolumab (“LDN”) showed in CHB participants with HBsAg levels of &lt;200 IU/mL, meaningful reductions in HBsAg (&gt;1 log decline) occurred soon after dosing on Day 29 in all treatment groups and were maintained to Day 169. In the two best treatment arms HBsAg declines of ≥1 log at Day 169 were observed in 33% (15/45) of participants with HBsAg ≤200 IU/mL at baseline, and 22% (10/45) of participants achieved HBsAg loss at any timepoint with two patients achieving functional cure. In partnership with Arbutus Biopharma, we presented end-of-study data from the Phase 2a clinical trial (IM-PROVE II, AB-729-202) in CHB evaluating the combination of imdusiran (“IDR”), Arbutus’ RNAi therapeutic, followed by VTP-300, with or without LDN. The end of study data show 25% (2/8) of participants with starting baseline HBsAg levels less than 1000 IU/mL receiving the combination of IDR, VTP-300 and LDN achieved functional cure. 3 of 13 participants (23%) receiving IDR+VTP-300+LDN had undetectable HBsAg levels at week 48; all (3/3) of participants with HBsAg loss seroconverted. Treatment with VTP-300 in both studies was generally well-tolerated, with no serious adverse events or treatment discontinuations reported.</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entered into the Merger Agreement to combine in an all-stock transaction with Clywedog, a private company advancing breakthrough medicines in diabetes. The newly combined company will advance a differentiated portfolio of clinical-stage candidates targeting metabolic and autoimmune diseases, with four clinical data milestones expected within 18 months of the closing of the transaction. Upon the closing of the transaction, the combined company ("Topco") will be renamed “Clywedog Therapeutics Holdings, Inc.” and is expected to trade on the Nasdaq under the new ticker symbol “CLYD.” The transaction is expected to close in the second quarter of 2026.</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announced an update on the Phase 1 AVALON clinical trial of VTP-1000 for the treatment of celiac disease. The single ascending dose ("SAD") portion of the Phase 1 AVALON trial (NCT06310291) enrolled 18 patients in three placebo-controlled cohorts of ascending doses. VTP-1000 was well tolerated at all dose levels with no treatment-related SAEs. Pharmacological data collected showed a dose-dependent effect.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VTP-1000: Antigen-specific Immune Tolerance Candidate for Celiac Disease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with celiac disease have an unwanted immune response against gluten proteins and can become severely ill following exposure to gluten found in various cereal grains, especially wheat.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VTP-1000 is designed to suppress the unwanted immune response to gluten by restoring a beneficial regulatory T cell to effector T cell ratio. It is based on SNAP-TI and comprises multiple gluten antigens (representing the key antigens linked to celiac disease) and an immunomodulator co-delivered in nanoparticles of precise size and composition that are optimized to target the appropriate immune cells that promote tolerance. The immunomodulator is a key component of VTP-1000 and is intended to drive regulatory T cell expansion and prevent pro-inflammatory responses.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AVALON - Currently enrolling, ongoing Phase 1</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AVALON clinical trial is designed to evaluate the safety, tolerability, pharmacokinetics and pharmacodynamics of VTP-1000. The trial aims to enroll 42 participants with celiac disease and will be conducted in two parts: a randomized double-blind placebo-controlled SAD part, followed by a randomized double-blind placebo-controlled multiple ascending dose ("MAD") part, incorporating a controlled gluten challenge to assess the impact of VTP-1000 administration on patients’ exposure to gluten. In the AVALON trial, we are enrolling adults with celiac disease in the two-part trial,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657850" cy="1217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 A - SAD Data</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2025, we announced an update on the Phase 1 AVALON clinical trial of VTP-1000 for the treatment of celiac disease. The SAD portion of the Phase 1 AVALON trial (NCT06310291) enrolled 18 patients in three placebo-controlled cohorts of ascending doses. VTP-1000 was well tolerated at all dose levels with no treatment-related SAEs. Pharmacological data collected showed a dose-dependent effect.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MAD portion of the trial, which includes a gluten challenge, is currently ongoing, with data expected in the second half of 2026.</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VTP-1000 is our first product candidate directed towards the treatment of an inflammatory disease, we believe demonstration of T regulatory cell induction and/or suppression of unwanted immune responses to gluten would pave the way for other therapeutic candidates based on SNAP-TI, including alternative autoimmune disease indications.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Legacy Infectious Disease and Oncology Pipeline ("Barinthus Legacy Assets"):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2025, we announced a strategic focus on developing a pipeline in I&amp;I, and the deprioritization of our programs in infectious disease and oncology. The following assets shall be referred to collectively as "Barinthus Legacy Assets", and the future clinical development of which will only be advanced by a partner: VTP-300 HBV, VTP-500 MERS, VTP-850 Prostate Cancer.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VTP-300: Our Legacy Hepatitis B Immunotherapy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In 2025, we announced that our Phase 2 Hepatitis B immunotherapy, VTP-300, would only be advanced in the future, with support from a partner. VTP-300 is based on two viral vector platforms (ChAdOx and MVA), each encoding the same antigen sequence based on HBV genotype C antigen sequences, and is designed to stimulate the production of very high levels of Teff cells, such as CD8+ T cells that can recognize viral antigens or tumor antigens.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with chronic hepatitis B infection live with the disease in the absence of symptoms for decades after initial infection. However, as the disease progresses and symptoms occur, it can cause serious health problems, including development of hepatocellular carcinoma or liver cirrhosis, especially if left untreated. There is an urgent need to develop an effective therapeutic strategy for CHB infection as less than 10% of patients achieve a functional cure with existing therapies. Experts agree that achieving functional cure in CHB patients will likely require a combination of agents with complementary mechanisms of action. VTP-300 has been designed to be one of those components by stimulating a highly potent and polyfunctional disease-specific immune response, mostly led by disease-specific effector T-cells.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VTP-300 has completed three clinical trials to date. Meaningful, durable reductions of HBsAg were seen in patients receiving VTP-300 monotherapy and those receiving VTP-300 followed by a single low dose of nivolumab together with MVA. VTP-300, based on HBV genotype C sequences, was observed to lead to a decline in HBsAg in both genotype B- and C-infected CHB patients. Additionally, T cell responses to HBV core protein induced by VTP-300 in healthy subjects were shown to cross-react with other prevalent genotypes (A to E). Together, these results highlighted that T cell responses induced by VTP-300, based on genotype C, were cross-reactive to other common HBV genotypes.</w:t>
      </w:r>
    </w:p>
    <w:p>
      <w:pPr>
        <w:spacing w:after="0" w:line="19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In May 2025, we announced primary endpoint data from the Phase 2 HBV003 clinical trial (NCT05343481). The preliminary analysis showed that in CHB participants with hepatitis B surface antigen (“HBsAg”) levels of &lt;200 IU/mL, meaningful reductions in HBsAg (&gt;1 log decline) occurred soon after dosing on Day 29 in all treatment groups and were maintained to Day 169. In the two best treatment arms HBsAg declines of ≥1 log at Day 169 were observed in 33% (15/45) of participants with HBsAg ≤200 IU/mL at baseline, and 22% (10/45) of participants achieved HBsAg loss at any timepoint. 71% of participants (48 of 68) met the criteria for discontinuation of NUC therapy. Treatment with VTP-300 in combination with LDN was generally well-tolerated, with no related serious adverse events reported.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clinical data to date suggest that VTP-300 contributes to HBsAg loss, and could become part of a regimen that can attain and maintain functional cure. We are actively seeking a partner to take advantage of VTP-300's differentiated ability to achieve sustained HBsAg loss and functional cure in patients with low levels of HBsAg.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and Team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founded in May 2016 as a spin-out from a leading institution in the U.K., the Jenner Institute at the University of Oxford, with the aim of developing and commercializing innovative immunotherapeutics and vaccines to treat and prevent infectious diseases and cancer. Our strategic trajectory has grown with the acquisition of Avidea Technologies, Inc. ("Avidea") and the SNAP-TI platform in 2021, expanding our product candidate pipeline and strengthening our scientific leadership in immunotherapies and the autoimmune space.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assembled a management team with extensive expertise in building and operating biopharmaceutical organizations that have discovered, developed and delivered innovative medicines to patients. Our management team has broad experience and successful track records in biopharmaceutical drug discovery, clinical development, regulatory affairs, manufacturing and commercialization, as well as in business, operations, and finance. Our management team’s experience was gained at leading institutions that include Altimmune, Celltech, GenVec and Roche.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extensive expertise in the fields of science, business, and finance and works with our management team on business and scientific development initiatives and strategies.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and License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License Agreement with OUI (Barinthus Biotherapeutics North America, Inc.)</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2017, Avidea entered into a license agreement (the "March 2017 OUI License Agreement") with Oxford University Innovation ("OUI") for the development and commercialization of products comprising thermo-responsive adjuvant scaffolds for use in all indications. All of Avidea’s rights, duties and obligations under this March 2017 OUI License Agreement were assumed by Barinthus Bio NA following the acquisition of Avidea by Barinthus Biotherapeutics plc on December 10, 2021.</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Pursuant to the March 2017 OUI License Agreement, OUI granted us a worldwide license under certain patent rights of OUI related to the use of thermo-responsive adjuvant scaffolds, among other rights (the "March 2017 Licensed Technology"), to develop, manufacture, use and commercialize licensed products. The license to patent rights are exclusive in all fields, and the license to know how is non-exclusive. The March 2017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March 2017 OUI License Agreement, all intellectual property rights resulting from improvements made by us belong to us. OUI retains the right for the University of Oxford, the U.S. National Institutes of Allergy and Infectious Diseases (“NIAID”), the Institute of Macromolecular Chemistry of the Czech Republic (“IMC”) and any person who works or has worked on the March 2017 Licensed Technology to use the March 2017 Licensed Technology and any licensee improvements for non-commercial use. Furthermore, the University of Oxford, NIAID or IMC may publish the March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March 2017 Licensed Technology to encourage basic research for education and limited clinical patient care but may not grant licenses for commercialization of the March 2017 Licensed Technology that is exclusively licensed to us, nor for development or marketing or products or services that are produced or supplied using the March 2017 Licensed Technology.</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execution of the March 2017 OUI License Agreement, we paid OUI a one-time upfront fee of £3,000. We are obligated to pay OUI a low single-digit royalty on net sales of any product or process produced by or using the March 2017 Licensed Technology. If we sublicense the March 2017 Licensed Technology, we will be required to pay OUI a mid-single-digit royalty on any non-royalty sublicensing income. As of March 6, 2026, OUI has not been paid any royalties under the 2017 OUI License Agreement. In the event that the royalties (excluding the royalty on sublicensing income) owed to OUI do not amount to a specified minimum ranging from the low to mid five figures based on the license year in each year following March 2020, the licensee must also pay OUI the difference between the royalty paid and the applicable minimum sum payable. In 2025, we paid £59,360 to OUI, representing the difference between royalties paid and the minimum sum payable. In addition, we are required to pay OUI milestone payments of up to an aggregate of £2.43 million upon the achievement of specified development, regulatory and commercial milestones.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Unless earlier terminated, the 2017 OUI License Agreement will continue for as long as anything within the definition of the licensed patent remains in effect or 20 years from the date of the agreement. The patent licensed under the March 2017 OUI License Agreement, if granted, is expected to expire in October 2035, without giving effect to any potential patent term extensions or patent term adjustments. Either party may terminate for the uncured breach of the other party. We may terminate the agreement at any time upon six months’ prior written notice. OUI may terminate the agreement upon us filing for bankruptcy or in the event of liquidation or receivership proceedings, or upon 30 days’ prior written notice upon the occurrence of certain other events. Upon termination of the March 2017 OUI License Agreement, we are required to, among other things, grant to OUI an irrevocable, transferable, non-exclusive license to develop, make and use any improvements to the March 2017 Licensed Technology which we made prior to the second anniversary of the date of the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Cooperative Research and Development Agreement with NIH (Barinthus Biotherapeutics North America, Inc)</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February 2017, Avidea entered into a Cooperative Research and Development Agreement (“CRADA”) with the U.S. National Institutes of Health (“NIH”) to carry out collaborative research for the evaluation of Avidea’s synthetic, polymer-based vaccine technology, “Immunotherapeutic Nanoscaffolds” (IMNs) for infectious disease prevention and cancer treatment in animal models. Under this CRADA Avidea committed to providing scientific staff together with materials for use in experiments to evaluate their performance in various animal models of infectious disease and cancer. Under this CRADA NIH committed to evaluating Avidea materials in animal models and to perform comprehensive immune analysis. No funding was exchanged under this CRADA.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October 2019, the CRADA was amended (“1st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Under this 1st CRADA Amendment Avidea committed to increase its scientific staffing contribution and to provide funding of $22,500 by October 15, 2019 and a further $62,500 by October 15, 2020.</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2020, the CRADA was further amended (“2nd CRADA Amendment”) to defer payment of Avidea’s October 2020 funding contribution of the 1st CRADA Amendment to April 15,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the CRADA was further amended (“3rd CRADA Amendment”) to extend the term of the CRADA by 2 additional years and to defer payment of Avidea’s April 2021 funding contribution of the 2nd CRADA Amendment to October 31, 2021.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CRADA was further amended (“4th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(e.g., induction of suppression and/or tolerance for treating or preventing allergies, autoimmunity, and transplant rejection).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2022, the CRADA was further amended (“5th CRADA Amendment”) to acknowledge that all of Avidea’s rights, duties and obligations under the CRADA were assumed by Barinthus Bio NA following the acquisition of Avidea by Barinthus Biotherapeutics plc on December 10,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CRADA as amended we own inventions made solely by our staff, and we have an option to enter an exclusive or nonexclusive license to any inventions made solely by NIH staff or made jointly by our staff and NIH under the CRADA (the "CRADA Licensed Technology"). NIH retains rights on behalf of the U.S. Government in the CRADA Licensed Technology as required by statute and NIH policy. The CRADA gave us the option to exclusively license any further inventions made under the CRADA. The CRADA expired on February 23,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License Agreement with NIH (Barinthus Biotherapeutics North America, Inc)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2019, Avidea entered into a license agreement with the NIH for the commercial development of products and processes for the prevention and/or treatment of cancer and infectious diseases within the scope of Licensed Patent rights that had been developed under a CRADA entered into by NIH and Avidea in February 2017 and amended in March 2019, December 2020, May 2021, November 2021 and October 2022. We are co-owners of all the Licensed Patents under this agreement, and we have an option to exclusively license NIH rights in all inventions made under this CRADA.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Avidea’s rights, duties and obligations under the 2019 License Agreement with NIH were assumed by Barinthus Bio NA following the acquisition of Avidea by Barinthus Biotherapeutics plc on December 10, 2021. The 2019 License Agreement with NIH was amended in September 2022 to note Barinthus Bio NA’s rights, duties and obligations and also to include newly filed patents developed under the 2017 CRADA as amended.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2019 License Agreement with NIH, NIH granted us a worldwide exclusive license under certain patent rights co-owned by us and NIH related to the use of the SNAP-TI and SNAP-CI platforms, among other rights (the "2019 Licensed Technology"), to develop, manufacture, use and commercialize licensed products. The license to patent rights are exclusive in all fields. The 2019 Licensed Technology is sublicensable subject to obtaining NIH’s prior written consent (such consent not to be unreasonably withheld) and inclusion of other customary provisions. NIH retains rights on behalf of the U.S. Government in the 2019 Licensed Technology as required by statute and NIH policy.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execution of the 2019 License Agreement with NIH, we paid NIH a one-time upfront fee of $20,000. We are obligated to pay NIH a low single-digit royalty on net sales of any product or process produced by or using the 2019 Licensed Technology. If we sublicense the 2019 Licensed Technology, we will be required to pay NIH a low-single-digit royalty on any non-royalty sublicensing income. As of March 6, 2026, NIH has not been paid any royalties under the 2019 License Agreement with NIH. In the event that the royalties (excluding the royalty on sublicensing income) owed to NIH do not amount to a specified minimum ranging from the low to mid five figures based on the license year in each year following September 2019, the licensee must also pay NIH the difference between the royalty paid and the applicable minimum royalty payment. In 2025, we paid $45,000 to NIH, representing the difference between royalties paid and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minimum sum payable. In addition, we are required to pay NIH milestone payments of up to an aggregate of $3.24 million upon the achievement of specified development, regulatory and commercial milestones for each Licensed Product.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earlier terminated, the 2019 License Agreement with NIH will continue until expiry of the last to expire Licensed Patent. 5 patent families licensed under the 2019 License Agreement with NIH that cover the SNAP-TI and SNAP-CI platforms, if granted, are expected to expire in April 2038, in May 2039, in October 2039, in February 2042 and in June 2042, without giving effect to any potential patent term extensions or patent term adjustments. Two patent families licensed under the 2019 License Agreement with NIH that cover the syntholytic platform, if granted, are expected to expire in April 2040 and in October 2041, without giving effect to any potential patent term extensions or patent term adjustments. Either party may terminate for the uncured breach of the other party. We may terminate the agreement at any time upon 60 days’ prior written notice. NIH may terminate the agreement upon the occurrence of certain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know-how and trade secrets, and to operate without infringing the proprietary rights of others. We seek to protect our product candidates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of third-party intellectual property to develop and maintain our proprietary position. We, or our licensors, file patent applications directed to our key product candidates in an effort to establish intellectual property positions to protect our product candidates as well as uses of our product candidates for the prevention and/or treatment of diseases.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6, 2026, we control a patent portfolio comprising in-licensed and co-owned patent families relating to our key SNAP-TI, SNAP-CI and star polymer technology platforms and product candidates, including one issued U.S. patent, twelve pending U.S. patent applications, seven issued foreign patents, 61 pending foreign patent applications.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SNAP platform (SNAP-TI</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b w:val="1"/>
          <w:bCs w:val="1"/>
          <w:color w:val="auto"/>
        </w:rPr>
        <w:t xml:space="preserve"> and SNAP-CI</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proprietary synthetic SNAP platform is covered by a patent portfolio that includes eight patent families that we co-own and one patent family that we in-license from OUI. As of March 6, 2026,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6, 2026, we co-own a patent family that includes one issued U.S. patent, five issued foreign patents, one pending U.S. patent application, one pending European patent application and a further eleven pending foreign patent applications that are expected to expire in 2038,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with the NIH. As of March 6, 2026, we co-own a patent family that includes one issued foreign patent, one pending U.S. patent application, one pending European patent application and a further five pending foreign patent applications that are expected to expire in 2039,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with the NIH. As of March 6, 2026, we co-own a patent family that includes one pending U.S. patent application and a further two pending foreign patent applications that are expected to expire in 2039,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6, 2026, we co-own a patent family that includes one pending U.S. patent application, one pending European patent application and a further ten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6, 2026, we co-own a patent family that includes one pending U.S. patent application, one pending European patent application and a further four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6, 2026, we co-own a patent family that includes one pending U.S. patent application, one pending European patent application and a further two pending foreign patent applications that are expected to expire in 2041, without giving effect to any potential patent term extensions and patent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term adjustments and assuming payment of all appropriate maintenance, renewal, annuity or other governmental fees. We have licensed exclusive rights in this patent family, which resulted from work carried out under a RCA with the IMC. As of March 6, 2026, we co-own a patent family that includes two pending U.S. patent applications, one pending European patent application and a further nine pending foreign patent applications that are expected to expire in 2043,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6, 2026, we co-own a patent family that includes one pending U.S. patent application, one pending European patent application and a further two pending foreign patent applications that are expected to expire in 2043,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VTP-1000 product candidate includes SNAP-TI platform technology to provide tolerizing immunotherapy for celiac disease. We co-own a patent family with claims directed to compositions and methods for treating celiac disease. As of March 6, 2026, the patent family includes two pending U.S. patent applications, one pending European patent application and a further nine pending foreign patent applications. If a patent were to issue from either of these pending applications or from a patent application claiming the benefit of either of these applications, such a patent would be expected to expire in 2043, without giving effect to any potential patent term extensions or patent term adjustments and assuming payment of all appropriate maintenance, renewal, annuity or other governmental fees. In addition, we rely on patent protection afforded by the patent families directed to the SNAP technology platforms, which are expected to expire between 2030 and 2042, as discussed above.</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The duration of foreign patents varies in accordance with provisions of applicable local law, but typically is also 20 years from the earliest effective filing date. All taxes, annuities or maintenance fees for a patent, as required by the USPTO and certain foreign jurisdictions, must be timely paid in order for the patent to remain in force during this period of time.</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actual protection afforded by a patent may vary on a product by 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 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about the risks associated with our efforts to obtain adequate intellectual property protection for our product candidates, and the enforcement of such intellectual property rights, as well as the risks associated with third party intellectual property rights, see the section titled “Risk Factors — Risks Related to Our Intellectual Property.”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"FD&amp;C Act") and biological products under the FD&amp;C Act and the Public Health Service Act (the “PHS Act”), and other federal, state, and local statutes and regulations. Both the FD&amp;C Act and the PHS Act and their corresponding regulations govern, among other things, the research, development, testing, manufacturing, quality control, approval, safety, efficacy, labeling, packaging, storage, record keeping, distribution, reporting, marketing, promotion, export and import, advertising, post-approval monitoring, and post-approval reporting involving drugs and biological products. The process of obtaining regulatory approvals and the subsequent compliance with appropriate federal, state, local and foreign statutes and regulations, and international guidelines require the expenditure of substantial time and financial resources and we may not be able to obtain the required regulatory approvals.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Drug and Biological Products Development Process</w:t>
      </w: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the FDA is responsible for enforcing the laws in place to protect public health by ensuring the safety, efficacy, and security of drugs and biological products. The process required by the FDA before a product may be marketed in the United States generally involves the following:</w:t>
      </w:r>
    </w:p>
    <w:p>
      <w:pPr>
        <w:spacing w:after="0" w:line="230" w:lineRule="exact"/>
        <w:rPr>
          <w:sz w:val="20"/>
          <w:szCs w:val="20"/>
          <w:color w:val="auto"/>
        </w:rPr>
      </w:pPr>
    </w:p>
    <w:p>
      <w:pPr>
        <w:ind w:left="660" w:hanging="328"/>
        <w:spacing w:after="0" w:line="227"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completion of extensive preclinical laboratory tests and animal studies performed in accordance with applicable regulations, including the FDA’s Good Laboratory Practices ("GLPs"), regulations and standards;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approval by an independent institutional review board ("IRB") or ethics committee representing each clinical site before the trial is commenced;</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Practices ("GCPs"), and other clinical trial-related regulations to establish the safety, purity and potency of the proposed product candidate for its intended purpose;</w:t>
      </w:r>
    </w:p>
    <w:p>
      <w:pPr>
        <w:spacing w:after="0" w:line="9"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preparation of and submission to the FDA of an NDA or BLA, which includes not only the results of the clinical trials, but also, detailed information on the chemistry, manufacture and quality controls for the product candidate and proposed labeling;</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payment of user fees for FDA review of the NDA or BLA (unless a fee waiver applies);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 determination by the FDA within 60 days of its receipt of a NDA or BLA to file the application for review;</w:t>
      </w:r>
    </w:p>
    <w:p>
      <w:pPr>
        <w:spacing w:after="0" w:line="14" w:lineRule="exact"/>
        <w:rPr>
          <w:rFonts w:ascii="Arial" w:cs="Arial" w:eastAsia="Arial" w:hAnsi="Arial"/>
          <w:sz w:val="22"/>
          <w:szCs w:val="22"/>
          <w:color w:val="auto"/>
        </w:rPr>
      </w:pPr>
    </w:p>
    <w:p>
      <w:pPr>
        <w:jc w:val="both"/>
        <w:ind w:left="660" w:hanging="328"/>
        <w:spacing w:after="0" w:line="22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requirements ("cGMPs") and to assure that the facilities, methods and controls are adequate to preserve the investigational product’s identity, strength, quality and purity, and of selected clinical trial sites that generated the data in support of the application to assess compliance with the FDA’s GCPs;</w:t>
      </w:r>
    </w:p>
    <w:p>
      <w:pPr>
        <w:spacing w:after="0" w:line="2"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FDA review and approval, or licensure, of an NDA or BLA to permit commercial marketing of the product for particular indications for use in the United States.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Before testing any investigational product candidate in humans, the product candidate enters the preclinical development stage. The preclinical development stage generally involves laboratory evaluations of drug chemistry, formulation and stability, as well as studies to evaluate toxicity in animals, which support subsequent clinical testing. The conduct of the preclinical studies must comply with federal regulations, including GLPs. The sponsor must submit the results of the preclinical studies, together with manufacturing information, analytical data, any available clinical data or literature and a proposed clinical protocol, as well as other information,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other issues affecting the integrity of the trial. Accordingly, we cannot be sure that submission of an IND will result in the FDA allowing clinical trials to begin, or that, once begun, issues will not arise that could cause the trial to be suspended or terminated.</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under the supervision of qualified investigators which generally are physicians not employed by, or under the control of, the trial sponsor. Clinical trials are conducted under written trial protocols detailing, among other things, the objectives of the clinical trial, dosing procedures, subject selection (inclusion and exclusion criteria) and the parameters and criteria to be used to monitor subject safety, including stopping rules that assure a clinical trial will be stopped if certain adverse events should occur. Each protocol, and any subsequent amendments to the protocol, must be submitted to the FDA as part of the IND.</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IRB representing each institution participating in the clinical trial must review and approve the plan for any clinical trial before it commences at that institution, and the IRB must conduct continuing review and reapprove the trial at least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(if blinded) or to data available also to the sponsor (unblinded) from the trial and may recommend halting the clinical trial if it determines that there is an unacceptable safety risk for subjects or other grounds, such as no demonstration of efficacy.</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about certain clinical trials must also be submitted within specific timeframes to the NIH for public dissemination on its ClinicalTrials.gov website.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39" w:lineRule="exact"/>
        <w:rPr>
          <w:sz w:val="20"/>
          <w:szCs w:val="20"/>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investigational product is initially introduced into healthy human volunteers or patients with the target disease or condition. Phase 1 clinical trials are typically designed to test the safety, dosage tolerance, absorption, metabolism and distribution of the investigational product in humans, including any side effects associated with increasing doses, and, if possible, to gain early evidence of effectiveness.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evaluated in a limited patient population to identify possible adverse side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207"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substantial evidence of clinical efficacy and to further test for safety, generally at multiple geographically dispersed clinical trial sites. These clinical trials are intended to establish the overall benefit to risk ratio of the investigational product and to provide an adequate basis for physician labeling. Generally, two adequate and well-controlled Phase 3 clinical trials are required by the FDA for approval of an NDA or BLA.</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trial activities, clinical data, and clinical trial investigators. Annual progress reports detailing the results of the clinical trials must be submitted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submit an IND safety report within seven days of the sponsor’s initial receipt of the information of any unexpected fatal or life-threatening suspected adverse reaction. Phase 1, Phase 2 and Phase 3 clinical trials may not be completed successfully within any specified period, if at all. The FDA or the sponsor, acting on its own or based on a recommendation from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chemistry and physical characteristics of the investigational product and finalize a process for manufacturing the product in commercial quantities in accordance with cGMP.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high quality batches of the product candidate and, among other things, the sponsor must develop methods for testing the identity, strength, quality, potency, stability,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This application must include results of product development, laboratory and animal studies, human trials, information on the manufacture and composition of the product, proposed labeling and other relevant information.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FDA accepts it for filing. The FDA may refuse to file any application that it deems incomplete or not properly reviewable at the time of submission and may request additional information. In this event, the application must be resubmitted with the required additional information. The resubmitted application also is subject to review to determine if it is substantially complete before the FDA accepts it for filing. In most cases, the submission of an NDA or BLA is subject to a substantial application user fee, although the fee may be waived under certain circumstances. Under the performance goals and policies implemented by the FDA under the Prescription Drug User Fee Act ("PDUFA") for original applications,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can be significantly extended by FDA requests for additional information or clarification.</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substantive review of the application. The FDA reviews the NDA or BLA to determine, among other things, whether the proposed product is safe and effective for its intended use, conducting a benefit-risk assessment based on the information provided as to whether the benefits (with their uncertainties) of the investigational product outweigh the risks (with their uncertainties and approaches to managing risks) under the conditions of use described in the proposed product labeling, and whether the product is being manufactured in accordance with cGMP to ensure its continued safety, purity and potency. The FDA may refer applications for novel investigational products or products that present difficult or novel questions of safety or efficacy to an advisory committee, typically a panel that includes clinicians, patient representatives,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product. If the FDA concludes a REMS is needed, the sponsor of the application must submit a proposed REMS; the FDA will not approve the NDA or BLA without a REMS, if required.</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To assure cGMP and GCP compliance, an applicant must incur significant expenditure of time, money and effort in the areas of training, record keeping, production and quality control. Additionally, before approving an NDA or BLA, the FDA will typically inspect one or more clinical sites to assure that the clinical trials were conducted in compliance with the protocol and following GCP.</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the Pediatric Research Equity Act ("PREA") an NDA, BLA or supplement to either for a novel product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new active ingredient, new indication, etc.)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After the FDA evaluates an NDA or BLA and conducts inspections of manufacturing facilities where the drug substance and/or drug product for commercial supply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application,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application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2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including to subpopulations of patients, which could restrict the commercial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section 526 of the FD&amp;C Act, the FDA may grant orphan designation to a drug or biological product intended to treat a rare disease or condition, which is defined as a disease or condition that affects fewer than 200,000 individuals in the United States, or 200,000 or more individuals in the United States and for which there is no reasonable expectation that the cost of developing and making available in the United States a drug or biological product for such disease or condition will be recovered from sales of the product in the United States of such drug. Orphan product designation must be requested before submitting a marketing application for the orphan indication.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indication for which it has such designation, the product is entitled to orphan product exclusivity, which means that the FDA may not approve any other applications to market the same product for the same approved use or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approved use or indication, or the same drug or biologic for a different use or indication. Among the other benefits of orphan drug designation are tax credits for qualified clinical testing expenses and a waiver of the NDA or BLA application user fee.</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the approved indication for a use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Orphan drug designation may also entitle a party to additional financial incentives such as opportunities for grant funding towards clinical trial costs.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or fulfill an unmet medical need. To be eligible for fast track designation, new drugs and biological product candidates must be intended to treat a serious or life-threatening disease or condition and demonstrate the potential to address unmet medical needs for that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However, the review of the marketing application (NDA or BLA) does not formally start until the full application has been received by the FDA.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FDA’s breakthrough therapy program, a sponsor may seek FDA designation of its product candidate as a breakthrough therapy if the product candidate is intended, alone or in combination with one or more other drugs 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biologics, to treat a serious or life-threatening disease or condition and preliminary clinical evidence indicates that it may demonstrate substantial improvement over existing therapies on one or more clinically significant endpoints, defined as those that measure an effect on irreversible morbidity or mortality or on symptoms that represent serious consequences of the disease.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product candidate is eligible for priority review if when approved, it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drug or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currently requires sponsors, unless otherwise informed by the agency, to request pre-approval of promotional materials for products receiving accelerated approval,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Rigorous and extensive FDA regulation of drugs and biological products continues after approval, particularly with respect to cGMP requirements, as well as requirements relating to record-keeping, reporting of adverse experiences, periodic reporting, product sampling and distribution, and advertising and promotion of the product. We currently rely, and may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drugs and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Failure to comply with the applicable United States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physicians or other stakeholders, debarment, restitution, disgorgement of profits, or civil or criminal penalties. Any agency or judicial enforcement action could have a material adverse effect on us.</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Drug and biological product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including applicable tracking and tracing requirements.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Exclusivity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marketing application (NDA/BLA) plus the time between the submission date of an NDA or BLA and the approval of that application. Only one patent applicable to an approved product is eligible for the extension and the application for the extension must be submitted prior to the expiration of the patent. In addition, a patent can only be extended once and only for a single product. The United States Patent and Trademark Office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NDA or BLA.</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product candidates are regulated as biologics. 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 year reference product exclusivity period. Other aspects of the BPCIA, some of which may impact the BPCIA exclusivity provisions, have also been the subject of litigation. As a result, the ultimate implementation and impact of the BPCIA is subject to significant uncertainty.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new drug or biological product can also obtain pediatric market exclusivity in the United States. Pediatric exclusivity, if granted, adds six months to existing exclusivity for all formulations, dosage forms, and indications of the most active moiety and, for drugs, patent terms. This six-month exclusivity, which runs from the end of other exclusivity protection, and, for drugs, patent term, may be granted based on the voluntary completion of a pediatric trial in accordance with an FDA-issued “Written Request” for such a trial, provided that at the time pediatric exclusivity is granted there is not less than nine months of term remaining.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Outside of the United States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which replaced the current Clinical Trials Directive 2001/20/EC on January 31, 2022. The Regulation, which is directly applicable in all EU Member States (meaning that no national implementing legislation in each EU Member State is required), aims at simplifying and streamlining the approval of clinical trials in the EU. The main characteristics of the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Drug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European Union, medicinal products, including biological medicinal products, are subject to extensive pre- and post-market regulation by regulatory authorities at both the European Union and national levels.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obtain regulatory approval of a new medicinal product under the European Union regulatory system, we must submit a marketing authorization application ("MAA") either under a centralized procedure administered by the EMA or one of the procedures administered by competent authorities in the European Union: the decentralized procedure, national procedure, or mutual recognition procedure. A marketing authorization may be granted only to an applicant established in the European Economic Area (comprising the EU Member States plus Norway, Iceland and Liechtenstein) ("EEA").</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entire territory of the EU and the additional Member States of the EEA. Pursuant to Regulation (EC) No. 726/2004, the centralized procedure is compulsory for specific products, including for medicines produced by certain biotechnological processes, products designated as orphan medicinal products, advanced-therapy medicinal products (gene-therapy, somatic-cell therapy and tissue-engineered medicines) and products with a new active substance indicated for the treatment of certain diseases, including products for the treatment of viral diseases, autoimmune and other immune dysfunctions and cancer. For those products for which the use of the centralized procedure is not mandatory, applicants may elect to use the centralized procedure where the product contains a new active substance not yet authorized in the European Union, and where the applicant can show that the product constitutes a significant therapeutic, scientific or technical innovation or for which a centralized process is in the interest of public health at a European Union level.</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(the "CHMP"), established at the EMA is responsible for conducting an initial assessment of whether a product meets the required quality, safety and efficacy requirements, and whether a product has a positive benefit-risk profile. The maximum timeframe for the evaluation of an MAA is 210 days from receipt of a valid MAA, excluding clock stops when additional information or written or oral explanation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products not falling within the mandatory scope of the centralized procedure, national marketing authorizations may be obtained, which are issued by the competent authorities of the European Union Member States and only cover their respective territory. Where a product has already been authorized for marketing in an European Union Member State, this national marketing authorization can be recognized in another European Union Member State through the mutual recognition procedure. If the product has not received a national marketing authorization in any European Union Member State at the time of application, it can be approved simultaneously in various European Union Member States through the decentralized procedure. As with the centralized procedure, the competent authorities of the European Union Member States assess the risk-benefit balance of the product on the basis of scientific criteria concerning its quality, safety and efficacy before granting the marketing authorization.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marketing application (BLA/NDA) submitted in the United States is similar to that required in the European Union, with certain exceptions. Directive 2001/83/EC and the laws in the European Union Member States transposing this Directive into national law set out the requirements for an MAA. An MAA for a biological medicinal product must contain certain additional requirements to compared applications for other medicinal products, such as a description of the origin and history of the starting materials used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Upon receiving marketing authorization in the European Union, innovative medicinal products (reference products), approved on the basis of a complete and independent package of data, generally receive eight years of data exclusivity and an additional two years of market exclusivity. Data exclusivity prevents generic or biosimilar applicants from referencing the innovator’s preclinical/nonclinical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in the European Union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Even if an innovative medicinal product gains the prescribed period of data exclusivity, another company could nevertheless also market another version of the product if such company obtained a marketing authorization based on an MAA with a complete and independent data package of pharmaceutical tests, nonclinical tests and clinical trials.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Products with an orphan designation in the European Union can receive ten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where an agreed pediatric investigation plan for pediatric trials has been complied with. No extension to any supplementary protection certificate ("SPC") can be granted on the basis of pediatric trials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In the European Union under Article 3 of Regulation (EC) 141/2000, a medicinal product may be designated as an orphan medicinal product if it meets the following criteria: (i) it is intended for the diagnosis, prevention or treatment of a life-threatening or chronically debilitating condition; (ii) either (a) the prevalence of such condition must not be more than five in 10,000 persons in the European Union when the application is made, or (b) without the benefits derived from orphan status, it must be unlikely that the marketing of the medicine would generate sufficient return in the European Union to justify the investment needed for its development; and (iii) there exists no satisfactory method of diagnosis, prevention or treatment of such condition, or if such a method exists, the product would be of significant benefit to those affected by the condition, as defined in Regulation (EC) 847/2000. Orphan medicinal products are eligible for financial incentives such as reduction of fees or fee waivers made available by the European Union and its Member States to support research into, and the development and availability of, orphan medicinal products. The application for orphan designation must be submitted before the MAA. The applicant will receive a fee reduction for the MAA if the orphan drug designation has been granted, but not if the designation is still pending at the time the MAA is submitted. Orphan designation does not convey any advantage in, or shorten the duration of, the regulatory review and approval process.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marketing authorization may be granted to a similar medicinal product to an authorized orphan product during the period of market exclusivity only in very select cases, specifically:</w:t>
      </w:r>
    </w:p>
    <w:p>
      <w:pPr>
        <w:spacing w:after="0" w:line="19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established that a similar medicinal product is safer, more effective or otherwise clinically superior to the authorized orphan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consent from the marketing authorization holder for the authorized orphan product; or</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holder for the authorized orphan product cannot supply enough orphan medicinal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European Union, companies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in which case the pediatric clinical trials must be completed at a later date. Further, the obligation to provide pediatric clinical trial data can be waived by the PDCO when this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pediatric clinical trials conducted in accordance with the PIP are eligible for a six-month extension of the protection under a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w:t>
      </w:r>
    </w:p>
    <w:p>
      <w:pPr>
        <w:spacing w:after="0" w:line="52"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PRIME scheme is intended to encourage product development in areas of unmet medical need (where there is no satisfactory method of diagnosis, prevention or treatment in the European Union or, if there is, the new medicine will bring a major therapeutic advantage) and provides accelerated assessment of products representing substantial innovation. The PRIME scheme is open to medicines under development and for which the applicant intends to apply for an initial MAA through under the centralized procedure.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products from small- and medium-sized enterprises may qualify for earlier entry into the PRIME scheme than larger companies, if compelling non-clinical data in a relevant model provide early evidence of promising activity, and first in human trials indicate adequate exposure for the desired pharmacotherapeutic effects and tolerability.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VTP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500, under development for the prevention of MERS caused by the MERS coronavirus, was accepted onto the PRIME scheme by the EMA in December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Controls</w:t>
      </w:r>
    </w:p>
    <w:p>
      <w:pPr>
        <w:spacing w:after="0" w:line="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203" w:lineRule="exact"/>
        <w:rPr>
          <w:sz w:val="20"/>
          <w:szCs w:val="20"/>
          <w:color w:val="auto"/>
        </w:rPr>
      </w:pPr>
    </w:p>
    <w:p>
      <w:pPr>
        <w:jc w:val="both"/>
        <w:ind w:left="500" w:right="20" w:hanging="330"/>
        <w:spacing w:after="0" w:line="24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34"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to prevent or minimize the risks associated with the product. The regulatory authorities may also impose specific obligations as a condition of the marketing authorization. Such risk-minimization measures or post- authorization obligations may include additional safety monitoring, more frequent submission of PSURs, or the conduct of additional clinical trials or post-authorization safety trials. RMPs and PSURs are routinely available to third parties requesting access, subject to limited redactions.</w:t>
      </w:r>
    </w:p>
    <w:p>
      <w:pPr>
        <w:spacing w:after="0" w:line="3" w:lineRule="exact"/>
        <w:rPr>
          <w:rFonts w:ascii="Times New Roman" w:cs="Times New Roman" w:eastAsia="Times New Roman" w:hAnsi="Times New Roman"/>
          <w:sz w:val="18"/>
          <w:szCs w:val="18"/>
          <w:color w:val="auto"/>
        </w:rPr>
      </w:pPr>
    </w:p>
    <w:p>
      <w:pPr>
        <w:jc w:val="both"/>
        <w:ind w:left="500" w:hanging="330"/>
        <w:spacing w:after="0" w:line="234"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advertising and promotional activities for the product must be consistent with the approved SmPC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U.K.</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U.K. formally left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 There is now no pre-marketing authorization orphan designation in the U.K. Instead, the MHRA reviews applications for orphan designation in parallel to the corresponding MAA. The criteria are essentially the same, but have been tailored for the U.K. market, i.e., the prevalence of the condition in U.K. (rather than the EU) must not be more than five in 10,000. Should an orphan designation be granted, the period of market exclusivity will be set from the date of first approval of the product in the U.K.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may seek regulatory approval. Sales of any product, if approved, depend, in part, on the extent to which such product will be covered by third-party payors, such as federal, state, and foreign government healthcare programs, commercial insurers, and managed healthcare organizations.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Moreover,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 consuming and costly process that will require us to provide scientific and clinical support for the use of our product candidates to each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of the product.</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the United States government and state legislatures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of pharmaceutical or biological products; reviewing the cost-effectiveness of such products; and questioning the safety and efficacy of such products. Adoption of new price controls and cost-containment measures, or adoption of more restrictive policies in jurisdictions with existing controls and measures, could further limit sales of any product that receives approval.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 Decreases in third-party reimbursement for any product or a decision by a third party not to cover a product could reduce physician usage and patient demand for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United States federal Anti-Kickback Statute ("AKS"); the civil False Claims Act ("FCA"); the federal Health Insurance Portability and Accountability Act of 1996 ("HIPAA"); and similar foreign, federal, and state fraud and abuse, transparency, and privacy laws.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AKS prohibits, among other things, persons and entities from knowingly and willfully soliciting, receiving, offering, or paying remuneration to induce, or in return for, either the referral of an individual, or the purchase, lease, ordering, or arranging for or recommending the purchase, lease, or ordering, of any item or service for which payment may be made under any federal healthcare program. The term remuneration has been interpreted broadly to include anything of value, whether given directly or indirectly, in cash or in kind. The AKS has been interpreted to apply to arrangements between pharmaceutical manufacturers on one hand and prescribers, third-party payors, patients,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submitted to a federal healthcare program that includes items or services resulting from a violation of the AKS constitutes a false or fraudulent claim that may result in civil liability under the FCA.</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Civil and criminal false claims laws, and civil monetary penalty laws, including the FCA,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FCA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United States government. Several pharmaceutical companies have been prosecuted under these laws for allegedly providing free product to customers with the expectation that the customers would bill federal healthcare programs for the product, or for subsidizing copays for patients, including indirectly through charitable patient assistance programs, as an inducement for patients to utilize their products.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AKS, a person or entity can be found guilty of violating HIPAA’s fraud and abuse provisions without actual knowledge of the statute or specific intent to violate it.</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("HITECH") and their respective implementing regulations, impose certain requirements on HIPAA covered entities, which include certain healthcare providers, healthcare clearinghouses, and health plans, and individuals and entities that provide services on their behalf that involve individually identifiable health information, known as business associates, relating to the privacy, security, and transmission of individually identifiable health information. In particular, regulations promulgated pursuant to HIPAA establish privacy and security standards that limit the use and disclosure of protected health information and require the implementation of administrative, physical and technological safeguards to protect the privacy of protected health information and ensure the confidentiality, integrity and availability of electronic protected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health information. Determining whether protected health information has been handled in compliance with applicable privacy standards and our contractual obligations can require complex factual and statistical analyses, and may be complicated by the fact that the applicable rules are subject to changing interpretation. HIPAA mandates the reporting of certain breaches of health information to the United States Department of Health and Human Services ("HHS") affected individuals, and if the breach is large enough, the media. In addition to reputational harm,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civil actions.</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U.S. federal Physician Payments Sunshine Act ("Sunshine Act") requires certain manufacturers of drugs, devices, biologics, and medical supplies for which payment is available under Medicare, Medicaid, or the Children’s Health Insurance Program, with specific exceptions, to annually report to the CMSs, information related to payments or other transfers of value made to physicians (currently defined to include doctors of medicine or osteopathy, dentists, optometrists, podiatrists, and chiropractors), other licensed non-physician health care practitioners, and teaching hospitals, as well as ownership and investment interests held by physicians and their immediate family members. Additionally, we may be subject to federal government price reporting laws, which require us to calculate and report complex pricing metrics in an accurate and timely manner to government programs and federal consumer protection and unfair competition laws, which broadly regulate marketplace activities and activities that potentially harm consumers.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or our officers, directors, employees, contractors, or agents may be subject to penalties, including, without limitation, significant civil, criminal, and administrative penalties; damages; fines; exclusion from government-funded healthcare programs, such as Medicare and Medicaid or similar programs in other countries or jurisdictions; entry into a corporate integrity agreement or similar reporting obligations to resolve allegations of non-compliance; disgorgement; imprisonment; contractual damages; reputational harm; diminished profits; and the curtailment or restructuring of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Cybersecurity Laws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may also be subject to data privacy and cybersecurity laws in the U.S. and various jurisdictions around the world in which we operate or process personally identifiable information (“personal information” or “personal data”). In addition to HIPAA U.S. federal enforcement agencies, such as the Federal Trade Commission (the "FTC") require businesses to take appropriate steps to keep consumers’ personal information secure. In addition, numerous U.S. states have enacted laws that govern the privacy and security of health information and other personal information, some of which may be more stringent than HIPAA and which differ from each other in significant ways thus complicating compliance efforts. For example, the California Consumer Privacy Act (the "CCPA") establishes certain requirements for data use, sharing and transparency, and provides California residents the ability to limit the sharing of their personal information. Similarly comprehensive laws have passed in a number of states. Certain states have passed or proposed more targeted privacy laws that focus on the privacy of health and medical information, such as Washington’s My Health My Data Act, which has a private right of action that may increase potential damages for noncompliance. Connecticut and Nevada have also passed similar laws regulating consumer health data. Such laws are continuously evolving and are likely to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Failure to comply with these laws, where applicable, can result in the imposition of significant civil and/or criminal penalties and private litigation as well as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Outside of the United States, we also face stringent privacy and data protection requirements. For example, in Europe, the collection, use, storage, disclosure, transfer, or other processing of personal data, including personal health data in the EEA and the U.K. is subject to the EU General Data Protection Regulation ("EU GDPR") (with regards to the EEA) and the U.K. General Data Protection Regulation ("U.K. GDPR") (with regards to the U.K.), as well as applicable data protection laws in effect in the Member States of the EEA and in the U.K. (including the U.K. Data Protection Act 2018). In this Annual Report, “GDPR” refers to both the EU GDPR and the U.K. GDPR, unless specified otherwise. The GDPR is wide-ranging in scope and imposes numerous requirements on companies that process personal data, including requirements relating to processing special categories of personal data (such as health data), implementing safeguards to protect the security and confidentiality of personal data, providing notification of data breaches, conducting data protection impact assessments for high risk processing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(£17.5 million for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Data protection authorities from the different EU member states may interpret the GDPR and national laws differently and impose additional requirements, which add to the complexity of processing personal data in the EU.</w:t>
      </w:r>
    </w:p>
    <w:p>
      <w:pPr>
        <w:spacing w:after="0" w:line="21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various jurisdictions around the world continue to propose new laws that regulate the privacy and/or security of certain types of personal data. Complying with these laws, as they are enacted, would require significant additional resources and leave us vulnerable to possible fines, penalties, litigation, and reputational harm if we are unable to comply.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 and Legislative Changes</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biological products, especially under government-funded healthcare programs, and increased governmental control of drug pricing.</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and expanding enrollment in commercial health plans through new Health Insurance Marketplaces operated by the federal and state governments;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the ACA’s individual mandate to carry health insurance, delaying the implementation of certain ACA-mandated fees, and increasing the point-of-sale discount that is owed by pharmaceutical manufacturers who participate in Medicare Part 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w:t>
      </w:r>
    </w:p>
    <w:p>
      <w:pPr>
        <w:spacing w:after="0" w:line="239" w:lineRule="exact"/>
        <w:rPr>
          <w:sz w:val="20"/>
          <w:szCs w:val="20"/>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2031, absent further legislative action.</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or IRA, includes several provisions that will impact our business to varying degrees, including provisions that require Medicare Part D plans to cover with $0 in cost sharing the cost of adult vaccines recommended by the U.S. Advisory Committee on Immunization Practices, or ACIP. The IRA also includes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 more rare disease designation and for which the only approved indications are for rare diseases or conditions. The effects of the IRA on our business and the healthcare industry in general are not yet known.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In addition, the One Big Beautiful Bill Act of 2025 imposed significant reductions in Medicaid funding, additional work requirements for certain Medicaid beneficiaries and more frequent eligibility redeterminations. These changes are expected to place increased pressure on state Medicaid budgets and could reduce enrollment, utilization and reimbursement levels for prescription drugs, including our products, which could adversely affect our business.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Trump Administration has issued executive orders and supported proposed regulatory initiatives in 2025 that could have a significant impact on the prices that we, or any collaborators, may receive for any approved products.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 legislative and regulatory changes under the Affordable Care Act remain possible. It is unknown what form any such changes or any law would take, and how or whether it may affect our business in the future. We expect that changes or additions to the Affordable Care Act, the Medicare and Medicaid programs,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if approved, or additional pricing pressures.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2025, we had 14 full-time and part-time employees, of which 4 were located in the U.K., and 10 located in the United States. As of December 31, 2025, 57% of our workforce and 43% of our leadership (at Director level and above) were female. In addition, 14% of our workforce were racially or ethnically diverse. Of our full and part-time employees, 2 have Ph.D. or M.D. degrees, and 6 are engaged in research and clinical development activities.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We engage with our employees in multiple ways including through company-wide events, social events and team events. We also have a bonus scheme and equity incentive plan in which all employees are entitled to participate. The principal purposes of our equity incentive plans are to attract, retain and reward personnel through the grant of equity-based compensation awards. We believe that attracting and retaining talent increases shareholder value and furthers the success of our company by motivating our employees to perform to the best of their abilities and achieve our objectives.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employ individuals based on their experience and ability. We focus on hiring and retaining qualified candidates by promoting a supportive and inclusive working environment for all. We believe that fostering a workforce with a wide range of experiences and backgrounds is a key element to discovering, developing, and bringing transformative therapies to patients.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of our workforce, including consultants and visitors to our office/laboratory, has and remains of paramount importance to us. We have a Health and Safety Committee that focuses on implementing policies and training programs to enhance workplace safety.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emissions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calculated the emissions for the year ended December 31, 2025 and 2024 in tons of carbon dioxide equivalent (“tCO2e”). The carbon emissions for our company for the years ended December 31, 2025 and 2024 are as follows:</w:t>
      </w:r>
    </w:p>
    <w:p>
      <w:pPr>
        <w:spacing w:after="0" w:line="223"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0" w:type="dxa"/>
            <w:vAlign w:val="bottom"/>
          </w:tcPr>
          <w:p>
            <w:pPr>
              <w:spacing w:after="0"/>
              <w:rPr>
                <w:sz w:val="16"/>
                <w:szCs w:val="16"/>
                <w:color w:val="auto"/>
              </w:rPr>
            </w:pPr>
          </w:p>
        </w:tc>
        <w:tc>
          <w:tcPr>
            <w:tcW w:w="2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Scope</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gridSpan w:val="2"/>
            <w:vMerge w:val="continue"/>
          </w:tcPr>
          <w:p>
            <w:pPr>
              <w:spacing w:after="0"/>
              <w:rPr>
                <w:sz w:val="16"/>
                <w:szCs w:val="16"/>
                <w:color w:val="auto"/>
              </w:rPr>
            </w:pP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tCO2e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Total emissions</w:t>
            </w: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tCO2e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Total emissions</w:t>
            </w:r>
          </w:p>
        </w:tc>
        <w:tc>
          <w:tcPr>
            <w:tcW w:w="0" w:type="dxa"/>
            <w:vAlign w:val="bottom"/>
          </w:tcPr>
          <w:p>
            <w:pPr>
              <w:spacing w:after="0"/>
              <w:rPr>
                <w:sz w:val="1"/>
                <w:szCs w:val="1"/>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Scope 1</w:t>
            </w:r>
          </w:p>
        </w:tc>
        <w:tc>
          <w:tcPr>
            <w:tcW w:w="10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5.41</w:t>
            </w:r>
          </w:p>
        </w:tc>
        <w:tc>
          <w:tcPr>
            <w:tcW w:w="2240" w:type="dxa"/>
            <w:vAlign w:val="bottom"/>
            <w:gridSpan w:val="3"/>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1"/>
              </w:rPr>
              <w:t>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6.23</w:t>
            </w:r>
          </w:p>
        </w:tc>
        <w:tc>
          <w:tcPr>
            <w:tcW w:w="224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Scope 2</w:t>
            </w:r>
          </w:p>
        </w:tc>
        <w:tc>
          <w:tcPr>
            <w:tcW w:w="100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442.94</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391.91</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rPr>
              <w:t>448.35</w:t>
            </w:r>
          </w:p>
        </w:tc>
        <w:tc>
          <w:tcPr>
            <w:tcW w:w="2240" w:type="dxa"/>
            <w:vAlign w:val="bottom"/>
            <w:gridSpan w:val="3"/>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b w:val="1"/>
                <w:bCs w:val="1"/>
                <w:color w:val="auto"/>
              </w:rPr>
              <w:t>398.14</w:t>
            </w:r>
          </w:p>
        </w:tc>
        <w:tc>
          <w:tcPr>
            <w:tcW w:w="2240" w:type="dxa"/>
            <w:vAlign w:val="bottom"/>
            <w:gridSpan w:val="3"/>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clarity, Scope 1 emissions are direct emissions produced from activities owned or controlled by Barinthus Bio. Scope 2 emissions are indirect emissions related to the generation of the electricity consumed and purchased by Barinthus Bio. We have used the most recent evidence or estimates provided by our energy supply partners to generate our disclosure of emissions for the period. Standard emissions factors from the "U.K. Government GHG Conversion Factors for Company Reporting (2025)” guidance were applied to estimate emissions. Electricity usage at our leased facilities in the United States and U.K. are responsible for a significant amount of our greenhouse gas emissions, with the remainder due to operations conducted within our laboratory. The increase in emissions is primarily attributable to an increase in utilities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activity in the U.S. laboratory and office, offset by a reduction in activity in the U.K. laboratory and office following the reduction in workforce with the wind down of the facility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not to include the voluntary disclosure for Scope 3 emissions.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the split of emissions by geography is as follows:</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Total</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Scope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tCO2e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emissions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Scope 1</w:t>
            </w: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U.K.</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7"/>
        </w:trPr>
        <w:tc>
          <w:tcPr>
            <w:tcW w:w="6020" w:type="dxa"/>
            <w:vAlign w:val="bottom"/>
            <w:gridSpan w:val="2"/>
            <w:vMerge w:val="continue"/>
            <w:shd w:val="clear" w:color="auto" w:fill="CCEEFF"/>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Scope 2</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U.K.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60.27</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382.67</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85.4%</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448.35</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amount less than one percent.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the intensity ratio of tons of carbon dioxide per full-time employee, as a suitable metric for its operations for the years ended December 31, 2025, and 2024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8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tCO2e /employee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employees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tCO2e /employee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employees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Intensity ratio</w:t>
            </w:r>
          </w:p>
        </w:tc>
        <w:tc>
          <w:tcPr>
            <w:tcW w:w="16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tons of carbon dioxide per employee has increased year on year, primarily as a result of our increased activity in the United States, notwithstanding the reduction in the number of employees that occurred during the year across both sites.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have established that the nominations and corporate governance committee are to have oversight of the assessment and strategy on how to reduce our energy consumption and thereby reducing our carbon footprint.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maintain an internet website at https://www.barinthusbio.com/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titled “Investors,” as a source of information about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and should not be considered to be a part of this Annual Report.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included in this Annual Report as an inactive technical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Investing in our American Depositary Shares ("ADSs")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ADSs could decline, and you could lose part or all of your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Contemplated Transactions with Clywedog</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complete the Contemplated Transactions would have a material adverse effect on our business, results of operations, financial condition and stock price.</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Completion of the Contemplated Transactions is subject to the satisfaction of various conditions, including (i) the effectiveness of a registration statement to register shares of common stock, $0.0001 par value per share, of Topco (the “Topco Common Stock”), to be issued in connection with the Combinations;</w:t>
      </w:r>
    </w:p>
    <w:p>
      <w:pPr>
        <w:spacing w:after="0" w:line="1" w:lineRule="exact"/>
        <w:rPr>
          <w:sz w:val="20"/>
          <w:szCs w:val="20"/>
          <w:color w:val="auto"/>
        </w:rPr>
      </w:pPr>
    </w:p>
    <w:p>
      <w:pPr>
        <w:jc w:val="both"/>
        <w:ind w:firstLine="8"/>
        <w:spacing w:after="0" w:line="234"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that enjoins, prevents, prohibits, or makes illegal the consummation of the Contemplated Transactions; (iii) approvals by our shareholders of the Scheme Transaction and certain related matters, and sanction by the Court of the Scheme Transaction; (iv) approval by Clywedog’s stockholders of the Merger Agreement, the Merger and Contemplated Transactions; (v) the approval for listing by Nasdaq of the shares of Topco Common Stock issuable in the Combinations; (vi) certain consents, clearances and expirations or terminations of waiting periods under applicable antitrust laws; (vii) the absence of a material adverse effect with respect to either party; (viii) the completion of the Self-Tender Offer to the extent that Topco elects to commence the Self-Tender Offer; (ix) minimum cash requirements for each party; and (xi) subject to certain materiality and material adverse effect qualifiers, the accuracy of the representatives and warranties of the parties contained in the Merger Agreement and the compliance by each party with the covenants contained in the Merger Agreement. As of the date of this report, the transaction is expected to close in the second quarter of 2026, subject to the satisfaction or waiver of these conditions. There is no assurance that all of the various conditions will be satisfied or waived, or that the Contemplated Transactions will be completed on the proposed terms, within the expected timeframe, or at all.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Contemplated Transactions may be delayed, and may ultimately not be completed, due to a number of factors, including the following:</w:t>
      </w:r>
    </w:p>
    <w:p>
      <w:pPr>
        <w:spacing w:after="0" w:line="279" w:lineRule="exact"/>
        <w:rPr>
          <w:sz w:val="20"/>
          <w:szCs w:val="20"/>
          <w:color w:val="auto"/>
        </w:rPr>
      </w:pPr>
    </w:p>
    <w:p>
      <w:pPr>
        <w:jc w:val="both"/>
        <w:ind w:left="660" w:hanging="328"/>
        <w:spacing w:after="0" w:line="231"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obtain the approval of the Scheme Transaction by our shareholders. Despite our board of directors having carefully and thoroughly considered a variety of strategic options and having determined that such strategic options either were unavailable to the Company, or would not provide value to shareholders greater than the value that would be provided in the Contemplated Transactions, we may be unable to secure the requisite approval of our shareholders.</w:t>
      </w:r>
    </w:p>
    <w:p>
      <w:pPr>
        <w:spacing w:after="0" w:line="252"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fail to obtain regulatory approvals from various governmental entities (or conditions, limitations or restrictions may be imposed on such approvals). We cannot provide any assurance that we will not face regulatory hurdles, blocks or delays with respect to the Contemplated Transactions. Material delays in obtaining any required approvals may result in the termination of the Contemplated Transactions, as either party may terminate the Contemplated Transactions if the Contemplated Transactions is not consummated by September 30, 2026, subject to certain extensions as further described in the Merger Agreement.</w:t>
      </w:r>
    </w:p>
    <w:p>
      <w:pPr>
        <w:spacing w:after="0" w:line="23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shareholder litigation and other legal and regulatory proceedings may delay or prevent the Contemplated Transactions.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parties may fail to satisfy one or more of the conditions to the completion of the Contemplated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if the Contemplated Transactions are not completed include:</w:t>
      </w:r>
    </w:p>
    <w:p>
      <w:pPr>
        <w:spacing w:after="0" w:line="279" w:lineRule="exact"/>
        <w:rPr>
          <w:sz w:val="20"/>
          <w:szCs w:val="20"/>
          <w:color w:val="auto"/>
        </w:rPr>
      </w:pPr>
    </w:p>
    <w:p>
      <w:pPr>
        <w:ind w:left="660" w:hanging="328"/>
        <w:spacing w:after="0" w:line="227"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the extent the current market price of our ADSs reflects an assumption that the Contemplated Transactions will be completed, the price of our ADSs could decrease;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hanging="328"/>
        <w:spacing w:after="0" w:line="230"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confidence could decline, stockholder litigation could be brought against us, relationships with existing and prospective customers, distributors, retailers, service providers, investors, lenders and other business partners may be adversely impacted, we may be unable to retain key personnel, and profitability may be adversely impacted due to costs incurred in connection with the Contemplated Transactions.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integrate our business with that of Clywedog in the expected timeframe would adversely affect our future business and financial performance and the value of our stockholders’ investment following the Combinations.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combination of two independent companies is a complex, costly and time-consuming process. As a result, Topco will be required to devote significant management attention and resources to integrate our business practices and operations with those of Clywedog. The integration process may disrupt the business of either or both of the companies and, if implemented ineffectively, could preclude realization of the full benefits expected by us and our shareholders from the Contemplated Transactions. The failure of Topco to meet the challenges involved in successfully integrating our operations with those of Clywedog or otherwise to realize the anticipated benefits of the Contemplated Transactions could cause an interruption of the activities of Topco and could seriously harm its results of operations. In addition, the overall integration of the two companies may result in material unanticipated problems, expenses, liabilities, competitive responses, loss of customer relationships and diversion of management’s attention, and may cause Topco’s stock price to decline. The difficulties of combining our operations with those of Clywedog include, among others:</w:t>
      </w:r>
    </w:p>
    <w:p>
      <w:pPr>
        <w:spacing w:after="0" w:line="23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managing a significantly larger company;</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coordinating geographically separate organizations, including extensive international operations;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potential diversion of management’s focus and resources from other strategic opportunities and from operational matters;</w:t>
      </w:r>
    </w:p>
    <w:p>
      <w:pPr>
        <w:spacing w:after="0" w:line="251"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performance shortfalls at one or both of the companies as a result of the diversion of management’s attention caused by completing the Combinations and integrating the companies’ operations;</w:t>
      </w:r>
    </w:p>
    <w:p>
      <w:pPr>
        <w:spacing w:after="0" w:line="2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aligning and executing the strategy of the combined companies;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retaining existing business relationships and executing new strategic or commercial relationships;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251"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disruption of, or the loss of momentum in, each company’s ongoing business or inconsistencies in standards, controls, systems, procedures and policies;</w:t>
      </w:r>
    </w:p>
    <w:p>
      <w:pPr>
        <w:spacing w:after="0" w:line="2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integrating two unique business cultures, which may prove to be incompatible;</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possibility of faulty assumptions underlying expectations regarding the integration process;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consolidating corporate and administrative infrastructures and eliminating duplicative operations;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integrating IT, communications and other systems;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applicable laws and regulations;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managing tax costs or inefficiencies associated with integrating the operations of each company;</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unforeseen expenses or delays associated with the Contemplated Transactions; and</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taking actions that may be required in connection with obtaining regulatory approvals.</w:t>
      </w: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these factors will be outside of our control and any one of them could result in increased costs and diversion of management’s time and energy, which could materially impact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Topco. In addition, even if our operations are integrated successfully with those of Clywedog, Topco may not realize the full benefits of the Contemplated Transactions, including the synergies, cost savings or growth opportunities that we and our shareholders expect. These benefits may not be achieved within the anticipated timeframe, or at all. As a result, we cannot assure our shareholders that the Contemplated Transactions will be completed successfully, that the integration will be accomplished within the expected timeframe, or that Topco will realize the full benefits anticipated from the Contemplated Transactions, any of which could adversely affect the value of our shareholders’ investment.</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shareholders and Clywedog’s stockholders may not realize a benefit from the Contemplated Transactions commensurate with the ownership dilution they will experience in connection with the Contemplated Transactions.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Topco is unable to realize the full strategic and financial benefits currently anticipated from the Contemplated Transactions, our shareholders and Clywedog’s stockholders will have experienced substantial dilution of their ownership interests without receiving any commensurate benefit, or only receiving part of the commensurate benefit to the extent Topco is able to realize only part of the strategic and financial benefits currently anticipated from the Contemplated Transactions.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shareholders and Clywedog’s stockholders will generally have a reduced ownership and voting interest in, and will exercise less influence over the management of, Topco following the completion of the Contemplated Transactions as compared to their current ownership and voting interests in the respective companies.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After the completion of the Contemplated Transactions, our current shareholders and the current stockholders of Clywedog will generally own a smaller percentage of Topco than their ownership of their respective companies prior to the Contemplated Transactions. Immediately after the Contemplated Transactions, our shareholders as of immediately prior to the Scheme Transaction are expected to own approximately 34% of the outstanding shares of Topco and former Clywedog stockholders are expected to own approximately 66% of the outstanding shares of Topco.</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During the period prior to the closing of the Contemplated Transactions, our business is exposed to certain inherent risks due to the effect of the announcement or pendency of the Contemplated Transactions on our business relationships, financial condition, operating results and business.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risks to our business during the period prior to the closing of the Contemplated Transactions that may adversely affect our business relationships, financial condition, operating results and business include:</w:t>
      </w:r>
    </w:p>
    <w:p>
      <w:pPr>
        <w:spacing w:after="0" w:line="21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possibility of disruption to our business and operations, including diversion of management attention and resources;</w:t>
      </w:r>
    </w:p>
    <w:p>
      <w:pPr>
        <w:spacing w:after="0" w:line="251"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attract and retain key personnel, and the possibility that our current employees could be distracted, and their productivity decline as a result, due to uncertainty regarding the Contemplated Transactions;</w:t>
      </w:r>
    </w:p>
    <w:p>
      <w:pPr>
        <w:spacing w:after="0" w:line="253"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pursue alternative business opportunities or make changes to our business pending the completion of the Contemplated Transactions, and other restrictions on our ability to conduct our business included in the Merger Agreement;</w:t>
      </w:r>
    </w:p>
    <w:p>
      <w:pPr>
        <w:spacing w:after="0" w:line="2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inability to solicit other acquisition proposals during the pendency of the Contemplated Transactions;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of the costs, fees, expenses and charges related to the Contemplated Transactions and the Contemplated Transactions; and</w:t>
      </w:r>
    </w:p>
    <w:p>
      <w:pPr>
        <w:spacing w:after="0" w:line="251"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developments beyond our control, including, but not limited to, changes in domestic or global economic conditions that may affect the timing or success of the Contemplated Transactions.</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Litigation may arise in connection with the Contemplated Transactions, which could be costly, prevent consummation of the Contemplated Transactions, divert management’s attention and otherwise materially harm our business.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Regardless of the outcome of any future litigation related to the Contemplated Transactions, such litigation may be time-consuming and expensive and may distract our management from running the day-to-day operations of our business. The litigation costs and diversion of management’s attention and resources to address the claims and counterclaims in any litigation related to the Contemplated Transactions may materially adversely affect our business, financial condition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results, including by decreasing our cash reserves for related expenses. If the Contemplated Transactions are not consummated, for any reason, litigation could be filed in connection with the failure to consummate the Contemplated Transactions. Any litigation related to the Contemplated Transactions may result in negative publicity or an unfavorable impression of our company, which could adversely affect the price of our common stock, impair our ability to recruit or retain employees, damage our relationships with our clients, or otherwise materially harm our operations and financial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restrictions on our business activities under the Merger Agreement.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While the Merger Agreement is in effect, we are generally required to conduct our business in the ordinary course consistent with past practice, and are restricted from taking certain actions without Clywedog’s prior consent, which is not to be unreasonably withheld, conditioned or delayed. These limitations include, among other things, certain restrictions on our ability to amend our organizational documents, acquire other businesses and assets, dispose of our assets, make investments, repurchase, reclassify or issue securities, make loans, pay dividends, incur indebtedness, make capital expenditures, enter into, amend or terminate certain contracts, change accounting policies or procedures, initiate or settle certain litigation, change tax classifications and elections, or take certain actions relating to intellectual property.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Capital Needs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and we are in the early stages of our product development efforts. Investment in biopharmaceutical product development is highly speculative because it entails substantial upfront capital expenditures and significant risk that any potential product candidate will fail to demonstrate adequate efficacy or an acceptable safety profile, obtain marketing authorization and become commercially viable. Currently, we have no products approved for commercial sale and are not generating any revenue from product sales. To date, we have devoted substantially all of our resources to organizing and staffing our company, business planning, raising capital, undertaking preclinical studies and clinical trials of our product candidates, securing related intellectual property rights and conducting discovery, research and development activities for our programs.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net losses each year since inception through to December 31, 2021. For the year ended December 31, 2022, we generated net income of $5.3 million, primarily as a result of revenues (royalties/milestone payments) arising from AstraZeneca sales of Vaxzevria and our agreement with OUI, as amended (the "OUI License Agreement"). In December 2025, we delivered written notice to OUI to terminate the OUI License Agreement. The OUI License Agreement will remain in effect during the three-month notice period and terminated on March 2, 2026 in accordance with its terms. For the years ending December 31, 2025 and 2024, we incurred net losses of $66.5 million and $61.2 million, respectively. As of December 31, 2025 and 2024, we had an accumulated deficit of $304.1 million and $237.7 million, respectively, and we do not currently expect profits or positive cash flows from operations in the foreseeable future. We anticipate that our expenses will increase substantially if, and as we:</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clinical and preclinical development of our current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technologies to advance additional product candidates into preclinical and clinical development;</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authorizations for product candidates that successfully complete clinical trials, if any;</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regulatory, quality control and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product candidates based on our proprietary synthetic platform, SNAP-TI and our other technologies;</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capabilities through third parties or by ourselves and scale-up manufacturing to provide adequate supply for clinical trials and commercialization;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protect and enforce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products for which we may obtain marketing approval and intend to commercialize on our own or through a selected partner;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for development and commercialization; and</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our business, including the additional costs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unless and until such losses are eliminated by revenue.</w:t>
      </w:r>
    </w:p>
    <w:p>
      <w:pPr>
        <w:spacing w:after="0" w:line="16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 our business or continue our operations. A decline in the value of our company also could cause you to lose all or part of your investment.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generated any material revenue from our current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do not expect to generate significant revenue from our current or future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 candidates unless or until we successfully complete clinical development and obtain marketing authorization for, and then successfully commercialize, at least one of our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product candidates are in the preclinical stages of development and will require additional preclinical studies, and all of our product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candidates will require additional clinical development, regulatory review and approval, substantial investment, access to sufficient commercial manufacturing capacity and significant marketing efforts before we can generate any revenue from product sales. We have not yet administered certain of our product candidates to humans and, as such, we face significant translational risk as our product candidates advance into and through the clinical stage,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promising results in preclinical studies may not be replicated in subsequent clinical trials, and testing on animals may not accurately predict human experience. Our ability to generate revenue depends on a number of factors, including, but not limited to:</w:t>
      </w:r>
    </w:p>
    <w:p>
      <w:pPr>
        <w:spacing w:after="0" w:line="157" w:lineRule="exact"/>
        <w:rPr>
          <w:sz w:val="20"/>
          <w:szCs w:val="20"/>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manufacturing, preclinical studies and clinical trials, which may be significantly slower or cost more than we currently anticipate and will depend substantially upon the performance of third-party contractors;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out of our control, such as participant willingness to enroll in our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INDs, enabling trials and successfully submit INDs or comparable applications, for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the EMA, or the MHRA or similar foreign regulatory authorities, to conduct additional clinical trials or other studies beyond those planned to support the approval and commercialization of our product candidates or any future product candidates;</w:t>
      </w:r>
    </w:p>
    <w:p>
      <w:pPr>
        <w:spacing w:after="0" w:line="158" w:lineRule="exact"/>
        <w:rPr>
          <w:rFonts w:ascii="Times New Roman" w:cs="Times New Roman" w:eastAsia="Times New Roman" w:hAnsi="Times New Roman"/>
          <w:sz w:val="18"/>
          <w:szCs w:val="18"/>
          <w:color w:val="auto"/>
        </w:rPr>
      </w:pPr>
    </w:p>
    <w:p>
      <w:pPr>
        <w:jc w:val="both"/>
        <w:ind w:left="660" w:right="20" w:hanging="328"/>
        <w:spacing w:after="0" w:line="23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development strategy;</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similar foreign regulatory authorities;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approaches, including immune modulators, monoclonal antibodies, CRISPR editing, or other small molecules, RNA, DNA, nanoparticle, peptide, protein, other technologies;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immunotherapies and competitive product candidates and technologies; 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protect and enforce intellectual property rights in and to our product candidates or any future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licensees and collaborators to develop and commercialize our products effectively;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immune tolerance with our SNAP-TI platform may not translate into clinical benefit;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costs and complexities associated with manufacturing.</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marketing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authorizations for,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future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evaluate acquisitions and strategic partnerships in the future, including licensing or acquiring complementary product candidates, intellectual property rights, technologies or businesses. Any acquisition or strategic partnership may entail numerous risks, including:</w:t>
      </w:r>
    </w:p>
    <w:p>
      <w:pPr>
        <w:spacing w:after="0" w:line="14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existing shareholders;</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an acquisition or strategic partnership;</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to achieve marketing authorizations;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disagreements or other relationship-related matters with the other party to such a transaction; and</w:t>
      </w:r>
    </w:p>
    <w:p>
      <w:pPr>
        <w:spacing w:after="0" w:line="23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generate revenue from acquired intellectual property, technology and/or products sufficient to meet our objectives or even to offset the associated transaction and maintenance costs.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we may assume or incur debt obligations, incur large one-time expenses and/or acquire intangible assets that could result in significant future amortization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are a clinical-stage biopharmaceutical company with no approved products and a limited operating history. Our operations to date have been limited to organizing and staffing our company, business planning, raising capital, filing patent applications, identifying potential product candidates, undertaking preclinical studies, in-licensing product candidates for development, and establishing arrangements with third parties for the manufacture of initial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quantities of our product candidates and component materials, as well as sponsoring and conducting clinical trials up to Phase 2b. We have not yet demonstrated our ability to successfully complete clinical trials beyond Phase 2b, obtain marketing approvals, manufacture a commercial-scale product or arrange for a third party to do so on our behalf, or conduct sales, marketing and distribution activities necessary for successful product commercialization.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may not be as accurate as they could be if we had a longer operating history.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We will need to transition at some point from a company with a research and development focus to a company capable of supporting additional commercial activities. We may not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in such a transition.</w:t>
      </w:r>
    </w:p>
    <w:p>
      <w:pPr>
        <w:spacing w:after="0" w:line="16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currently advancing current and future product candidates based on our proprietary synthetic platform, SNAP-TI, and our other technologies through clinical development. Developing and commercializing products for therapeutic indications is expensive, and we do not expect to generate meaningful product revenues in the foreseeable future.</w:t>
      </w:r>
    </w:p>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of December 31, 2025, our cash, cash equivalents and restricted cash were $71.9 million. Based on our current business plan, our management believes that we have sufficient cash and other financial resources to support our operations for at least the next 12 months, without additional financing. Our fundraising efforts to raise additional capital may divert our management from their day-to-day activities, which may adversely affect our ability to develop</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platforms. In addition, we cannot guarantee that financing will be available in sufficient amounts or on terms acceptable to us, if at all. Moreover, the terms of any financing may adversely affect the holdings or the rights of our existing shareholders and the issuance of additional securities, whether equity or debt, by us, or the possibility of such issuance, may cause the market price of our shares to decline. The sale of additional equity or convertible securities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would dilute our existing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revise our current business plan and strategy, which may result in us significantly curtailing, delaying or discontinuing one or more of our clinical trials, decreasing headcount or may result in our being unable to expand our operations or otherwise capitalize on our business opportunities. As a result, our business, financial condition and results of operations could be materially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considerations, even if we believe that we have sufficient funds for our current or future operating plans.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ordinary shares, convertible securities or other equity securities, your ownership interest may be diluted, and the terms of these securities could include liquidation or other preferences and anti-dilution protections that could adversely affect your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adversely affect our management’s ability to oversee the development of our product candidates.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raise additional funds when needed, we would be required to delay, limit, reduce or terminate our product development or future commercialization efforts or grant rights to third parties to develop and market our product candidates that we would otherwise prefer to develop and market ourselves.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Since our inception, we have invested a significant portion of our efforts and financial resources in research and development activities for our platforms and our product candidates developed using our platforms. Preclinical studies, clinical trials and additional research and development activities will require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substantial funds to complete. We expect the research and development expenses for our programs to increase in parallel with the ongoing activities, particularly as we continue our preclinical and clinical development activities to identify new product candidates and conduct clinical trials of, and seek marketing approval for, our product candidates. In addition, if we obtain marketing approval for any of our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product candidates, we expect to incur significant commercialization expenses related to product launch, product sales, marketing, manufacturing and distribution. Furthermore, we expect to incur significant additional costs associated with operating as a public company. Accordingly, we will need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substantial additional funding in connection with our continuing operations.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parties. If we are unable to raise capital or generate revenue when needed or on attractive terms, we would be forced to delay, reduce or eliminate our discovery and preclinical development programs or any future commercialization efforts.</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had cash, cash equivalents and restricted cash of $71.9 million as of December 31, 2025. Our future capital requirements will depend on many factors, including:</w:t>
      </w:r>
    </w:p>
    <w:p>
      <w:pPr>
        <w:spacing w:after="0" w:line="149" w:lineRule="exact"/>
        <w:rPr>
          <w:sz w:val="20"/>
          <w:szCs w:val="20"/>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and future product candidates and programs, and of conducting preclinical studies and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of other indications for our current product candidates that we may pursue;</w:t>
      </w:r>
    </w:p>
    <w:p>
      <w:pPr>
        <w:spacing w:after="0" w:line="15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licensing or other arrangements and the financial terms of such agreements;</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launch, product sales, marketing, manufacturing and distribution, for any of our current and future product candidates for which we receive marketing approval;</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commercial sales revenues, milestones or royalties or other income from, our future products, should any of our product candidates receive marketing approval;</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success or otherwise of competing autoimmune disease therapies and other market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Identifying potential product candidates, manufacturing them and conducting preclinical testing and clinical trials is a time-consuming, expensive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to achieve our business objectives. Adequate additional financing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many securities may affect our ability to access new capital through sales of shares of our ordinary shares or issuance of indebtedness, which may harm our liquidity, limit our ability to grow our business, pursue acquisitions or improve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infrastructure and restrict our ability to compete in our markets.</w:t>
      </w:r>
    </w:p>
    <w:p>
      <w:pPr>
        <w:spacing w:after="0" w:line="16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maintain optimal levels of personnel, enhance our operating infrastructure, and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potentially acquire complementary businesses and technologies. Our future capital requirements may be significantly different from our current estimates and will depend on many factors, including the need to:</w:t>
      </w:r>
    </w:p>
    <w:p>
      <w:pPr>
        <w:spacing w:after="0" w:line="157"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significant limitations on our ability to invest in our operations and otherwise suffer harm to our business.</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results of operations.</w:t>
      </w:r>
    </w:p>
    <w:p>
      <w:pPr>
        <w:spacing w:after="0" w:line="16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Actual national and international events involving limited liquidity, defaults, non-performance or other adverse developments that affect financial institutions, transactional counterparties or other companies in the financial services industry or the financial services industry generally, or concerns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rumors about any events of these kinds or other similar risks, have in the past and may in the future lead to market-wide liquidity problems.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institutions with which we have financial arrangements directly, or the financial services industry or the global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about the prospects for companies in the financial services industry or the life sciences industry. These factors could involve financial institutions or financial services industry companies with which we have financial or business relationships, but could also include factors involving financial markets or the financial services industry or life sciences industry generally.</w:t>
      </w:r>
    </w:p>
    <w:p>
      <w:pPr>
        <w:spacing w:after="0" w:line="17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5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inability or reductions in our ability to refund, roll over or extend the maturity of, or enter into new credit facilities or other working capital resources;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or life sciences industry could lead to losses or defaults by our third-party manufacturers or suppliers, which in turn, could have a material adverse effect on our current and/or projected business operations and results of operations and financial condition. For example, a third-party manufacturer or supplier may default under their agreements with us, become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insolvent or declare bankruptcy, or determine that they will no longer deal with us as a customer. In addition, a third-party manufacturer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failed financial institution. Any third-party manufacturer or supplier bankruptcy or insolvency, or any breach or default by a third-party manufacturer or supplier, or the loss of any significant third-party manufacturer or supplier relationships, could result in material losses to us and may have a material adverse impact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 and Risks Related to Clinical Development</w:t>
      </w:r>
    </w:p>
    <w:p>
      <w:pPr>
        <w:spacing w:after="0" w:line="18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All of our product candidates are in early stages of development, including our lead product candidate VTP-1000, and as such will require extensive preclinical and clinical testing, as applicable. Product candidates may not meet targeted clinical or safety endpoints during clinical trials such as the MVA-based influenza vaccine candidate, VTP-100, which did not meet defined primary clinical endpoints in two concurrent Phase 2b trials and we subsequently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discontinued further development of this program. Our ability to generate product revenues, which we do not expect to occur for several years, if ever, will depend heavily on the successful development and eventual commercialization or out-license of the product candidates we develop, which may never occur. Before we are able to generate any revenues from product sales, our current product candidates, and any future product candidates we develop, will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 additional preclinical and clinical development, management of preclinical, clinical, and manufacturing activities, marketing approval in the United States and other markets, the demonstration of effectiveness to pricing and reimbursement authorities, the obtaining of sufficient manufacturing supply of product for both clinical development and commercial sales, the building of a commercial organization, and substantial investment in significant marketing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for product launch. The success of our current and future product candidates will depend on several factors, including the following:</w:t>
      </w:r>
    </w:p>
    <w:p>
      <w:pPr>
        <w:spacing w:after="0" w:line="16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with sufficient safety and efficacy profiles, of preclinical studies and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or equivalent clinical trial authorizations in other regions for our planned clinical trials or future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our ongoing and future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data from our clinical program that support an acceptable risk-benefit profile of our product candidates in the intended populations;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authorizations from applicable regulatory authorities;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of our manufacturing processes and formulation of our product candidates for later stages of development and commercialization;</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own manufacturing capabilities or agreements with third-party manufacturers for clinical supply for our clinical trials and commercial manufacturing, if our product candidate is approved;</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product candidate designs and formulations that provide sufficient genetic and thermal stability for long term storage and shipment to meet market requirements;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where needed, to further the development of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our product candidates, if and when approved to generate product sales;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candidate’s benefits and uses, if and when approved, by patients, the medical community and third-party payors;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benefit/risk profile of the product candidates following authorization;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new therapies that may be developed and approved;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maintaining, enforcing, and defending intellectual property rights and claims;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our HBV002 clinical trial conducted in South Korea experienced delays due to additional regulatory review of our clinical protocol. We have limited experience obtaining such approvals in foreign jurisdictions and therefore may need more time to navigate the regulatory process as a result.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commercialize the product candidates we develop, which would materially harm our business.</w:t>
      </w:r>
    </w:p>
    <w:p>
      <w:pPr>
        <w:spacing w:after="0" w:line="1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experience delays in obtaining the FDA’s or other regulatory agencies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participants on time, or be completed on schedule, if at all. We may experience numerous adverse or unforeseen events during, or as a result of, preclinical studies and clinical trials that could delay or prevent our ability to receive marketing authorization or commercialize our product candidates, including:</w:t>
      </w:r>
    </w:p>
    <w:p>
      <w:pPr>
        <w:spacing w:after="0" w:line="15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treatments may become standard of care during the process of completing a clinical trial, which may impact the initial clinical trial design or future patient care pathways;</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relevant regulatory requirements may cause a delay in the start of a clinical trial, due to additional requirements needing to be met;</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produce differentiated or clinically significant results across the disease areas that we focus on;</w:t>
      </w:r>
    </w:p>
    <w:p>
      <w:pPr>
        <w:spacing w:after="0" w:line="18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or be unable to provide us with sufficient or timely product supply to conduct and complete preclinical studies or clinical trials of our product candidates in a timely manner, or at all;</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undesirable side effects or other unexpected characteristics or a finding that the participants are being exposed to unacceptable health risks;</w:t>
      </w:r>
    </w:p>
    <w:p>
      <w:pPr>
        <w:spacing w:after="0" w:line="185" w:lineRule="exact"/>
        <w:rPr>
          <w:sz w:val="20"/>
          <w:szCs w:val="20"/>
          <w:color w:val="auto"/>
        </w:rPr>
      </w:pPr>
    </w:p>
    <w:p>
      <w:pPr>
        <w:jc w:val="both"/>
        <w:ind w:left="660" w:hanging="328"/>
        <w:spacing w:after="0" w:line="23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participants with the eligibility criteria required for our clinical trials, we may have to reimburse sites for the cost of testing of additional participants in order to encourage enrollment of additional participants;</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collaborators may conduct clinical trials in ways they view as advantageous to them but that are suboptimal for us.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even after any of our product candidates obtain regulatory marketing authorization, the announcement of adverse events observed in individuals who receive these products may impact public perception and may result in increased regulatory scrutiny across our platform. If we are required to conduct additional clinical trials or other testing of our product candidates beyond those that we currently contemplate, if we are unable to successfully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ethics committees of the institutions in which such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clinical trials are being conducted, or by the FDA or other regulatory authorities, or suspended or terminated based on recommendations by the Data Safety Monitoring Board or equivalent for such clinical trial.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authorities may suspend or terminate a clinical trial due to a number of factors, including failure to conduct the clinical trial in accordance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 In addition, any disclosure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data of clinical trials being conducted by our collaborators could have an adverse impact on our business.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experience delays in the completion of any preclinical study or clinical trial of our product candidates, or our preclinical studies or clinical trials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terminated,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authorization procedure and jeopardize our ability to commence product sales and generate revenues. Any of these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occurrences may significantly harm our business, financial condition and prospects. In addition, many of the factors that cause, or lead to, a delay in the commencement or completion of clinical trials may also ultimately lead to the denial of marketing authorization for our product candidates. If one or more of our product candidates generally prove to be ineffective, unsafe or commercially unviable, this would have a material and adverse effect on our business, financial condition, results of operations and prospects.</w:t>
      </w:r>
    </w:p>
    <w:p>
      <w:pPr>
        <w:spacing w:after="0" w:line="16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participant data becomes available and are subject to audit and verification procedures that could result in material changes in the final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analysis of then-available data, and the results and related findings and conclusions are subject to change, following a more comprehensive review of the more complete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may differ from future results of the same studies or clinical trials, or different conclusions or considerations may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caution until the final data is available. From time to time, we may also disclose interim data from our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preliminary or interim data and final data could significantly harm our business prospects. Further, disclosure of interim data by us or by our competitors could result in volatility in the price of our ADSs.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shareholders may not agree with what we determine is material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information to include in our disclosure.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operating results, prospects or financial condition.</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approach to the treatment of autoimmunity, which makes it difficult to predict the time and cost of product candidate development.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components of our proprietary platforms to develop product candidates that promote immune tolerance for suppressing unwanted inflammation. Our future success depends on the successful development of these platforms. There can be no assurance that any development problems we experience in the future will not cause significant delays or unanticipated costs, or that such development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problems can be solved. Should we encounter development problems, including unfavorable preclinical or clinical trial results, the FDA or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FDA, there would be no guarantee that the FDA would accept them or approve our product candidates. We may also experience delays in developing a sustainable, reproducible and scalable manufacturing process, or developing other testing and manufacturing methods, which may prevent us from completing our clinical trials or commercializing our product candidates on a timely or profitable basis, if at all.</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novel immunotherapies. Any novel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immunotherapies that are approved may be subject to extensive post- approval regulatory requirements, including requirements pertaining to manufacturing, distribution and promotion. We may need to devote significant time and resources to compliance with these requirements.</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Difficulty in enrolling participants could delay or prevent clinical trials of our product candidates and prevent us from realizing the full commercial potential of any products we may develop.</w:t>
      </w:r>
    </w:p>
    <w:p>
      <w:pPr>
        <w:spacing w:after="0" w:line="14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Identifying and qualifying participants to participate in clinical trials of our product candidates is critical to our success. The timing of completion of our clinical trials depends in part on the speed at which we can recruit participants to participate in testing our product candidates, and we may experience delays in our clinical trials if we encounter difficulties in enrollment. We may not be able to initiate or continue clinical trials for our product candidates if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are unable to locate and enroll a sufficient number of eligible participants to participate in these trials as required by the FDA, the EMA or other foreign regulatory authorities. We cannot anticipate the next pandemic or how that may or may not impact future clinical trial enrollment. In addition, some of our competitors have ongoing clinical trials for product candidates that treat the same indications as our product candidates, and participants who would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eligible for our clinical trials may instead enroll in clinical trials of our competitors’ product candidates.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enrollment of patients and participants further depends on many factors, including:</w:t>
      </w:r>
    </w:p>
    <w:p>
      <w:pPr>
        <w:spacing w:after="0" w:line="18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clinical testing;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participants to clinical trial sites;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inconvenience to patients by participating in a clinical trial, such as increased doctor visits, missed work, travel costs and time;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number of site visits, whether the clinical trial includes a placebo arm and invasive assessments required;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participant consents;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participants enrolled in clinical trials will drop out of the clinical trials before clinical trial completion; and</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participants, principal investigators or staff or clinical site availability.</w:t>
      </w:r>
    </w:p>
    <w:p>
      <w:pPr>
        <w:spacing w:after="0" w:line="172"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7"/>
          <w:szCs w:val="17"/>
          <w:color w:val="auto"/>
        </w:rPr>
        <w:t>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Moreover, because certain of our product candidates represent a departure from more commonly used methods for treatment of disease, and because certain of our product</w:t>
      </w:r>
    </w:p>
    <w:p>
      <w:pPr>
        <w:ind w:right="140"/>
        <w:spacing w:after="0" w:line="226" w:lineRule="auto"/>
        <w:rPr>
          <w:sz w:val="20"/>
          <w:szCs w:val="20"/>
          <w:color w:val="auto"/>
        </w:rPr>
      </w:pPr>
      <w:r>
        <w:rPr>
          <w:rFonts w:ascii="Times New Roman" w:cs="Times New Roman" w:eastAsia="Times New Roman" w:hAnsi="Times New Roman"/>
          <w:sz w:val="18"/>
          <w:szCs w:val="18"/>
          <w:color w:val="auto"/>
        </w:rPr>
        <w:t>candidates have not been tested in humans before, potential participants and their doctors may be inclined to use conventional therapies, rather than enroll participants in a future clinical trial.</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4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Serious side effects caused by our product candidates could cause us or regulatory authorities, including IRBs and ethics committees, to interrupt, delay or halt clinical trials and could result in a more restrictive label or the delay or denial of marketing authorization by the FDA, the EMA or other comparable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foreign regulatory authorities. Further, clinical trials by their nature utilize a sample of the potential patient population. Because of our dose escalation design for our clinical trials, undesirable side effects in initial cohorts could also result in the need to expand the size of our clinical trials, increasing the expected costs and timeline of our clinical trials. Results of our clinical trials could reveal a high and unacceptable severity and prevalence of side effects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unexpected characteristics. If we do observe serious side effects in our clinical trials, our ongoing clinical trials may be halted or put on clinical hold prior to completion if there is an unacceptable safety risk for participants.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unacceptable toxicities arise in the development of our product candidates, we could suspend or terminate our trials or the FDA, the EMA or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comparable foreign regulatory authorities, or local regulatory authorities such as IRBs or ethics committees, could order us to cease clinical trials. Competent national health authorities, such as the FDA, could also deny approval of our product candidates for any or all targeted indications and if an approval is granted for an indication, the regulatory authority may require us to include a warning in the patient information leaflet. Even if the side effects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presented do not preclude the product from obtaining or maintaining marketing authorization, treatment-related side effects could also affect participant recruitment for a clinical trial, or the ability of enrolled participants to complete their participation in a clinical trial or result in potential product liability claims, particularly if they have not been described in the patient information leaflet. In addition, these side effects may not be appropriately recognized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by the treating medical staff.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Approach</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certain of our product candidates may be relatively small as it may be limited to those patients who are ineligible for or have failed prior treatments and our estimates of the prevalence of our target patient populations may be inaccurate.</w:t>
      </w:r>
    </w:p>
    <w:p>
      <w:pPr>
        <w:spacing w:after="0" w:line="172"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Immunotherapies for treating patients with autoimmune and other inflammatory diseases are sometimes staged based on disease severity or may be characterized by line of therapy (first line, second line, third line, fourth line, etc.), and the regulatory authorities, including the FDA, often approve new therapies initially only for a particular line or lines of use. Our product candidate VTP-1000 based on SNAP-TI is at an early stage of development and there is currently uncertainty as to how the may fit into existing treatment paradigms. We expect to seek approval of VTP-1000 as a first line therapy, but FDA or other regulatory authorities may disagree with this plan, and we may need to seek approval for use as a second or later line of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disease that we are targeting, as well as the subset of people with these conditions in a position to receive a particular line of therapy and who have the potential to benefit from treatment with our product candidates, are based on our beliefs and estimates. These estimates have been derived from a variety of sources, including scientific literature, commissioned reports, surveys of clinics, patient foundations or market research, and may prove to be incorrect. Further, new therapies may change the estimated incidence or prevalence of these conditions.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within our addressable patient population, because the potential target populations are small, we may never achieve profitability without obtaining marketing authorization for additional indications, including use as first or second line therapy.</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in the field of immunotherapeutics could damage public perception of any of our product candidates and negatively affect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in part on public acceptance of the use of immunotherapies and nanoparticle-based antigen-delivery platforms. Adverse events in clinical trials of VTP-1000, or in clinical trials of similar products developed by others and the resulting publicity, as well as any other negative developments in the field of immunotherapeutics that may occur in the future, including in connection with competitor therapies, could result in a decrease in demand for any product candidates that we may develop. These events could also result in the suspension, discontinuation, or clinical hold of or modification to our clinical trials. If public perception is influenced by claims that the use of immunotherapies is unsafe, whether related to our therapies or those of our competitors, our product candidates may not be accepted by the general public or the medical community and potential clinical trial participants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marketing authorization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VTP-1000 utilizes SNAP-TI to induce immune tolerance. Adverse developments in clinical trials of other immunotherapy products that promote antigen-specific immune tolerance, may result in a disproportionately negative effect for our platform, as compared to other products within the I&amp;I field that do not rely on antigen-specific immune tolerance.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successfully commercialize additional product candidates.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of our strategy involves researching and developing novel product candidates. We have developed a pipeline of product candidates and intend to pursue clinical development of additional product candidates. The process by which we identify product candidates may fail to yield product candidates for clinical development for a number of reasons, including those discussed in these risk factors and also:</w:t>
      </w:r>
    </w:p>
    <w:p>
      <w:pPr>
        <w:spacing w:after="0" w:line="18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 or less attractive;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we develop may nevertheless be covered by third parties’ patents or other exclusive rights;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 or symptoms;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potential product candidate may change so that the continued development of that product candidate is no longer reasonable;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in commercial quantities at an acceptable cost, or at all;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candidate is highly complex and difficult to navigate successfully or economically.</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Developing, obtaining marketing authorization for and commercializing additional product candidates will require substantial additional funding and is prone to the risks of failure inherent in all medicinal product development. We cannot provide you any assurance that we will be able to successfully advance any of these additional product candidates through the development process, which is a risk that applies to all medicinal product development.</w:t>
      </w:r>
    </w:p>
    <w:p>
      <w:pPr>
        <w:spacing w:after="0" w:line="16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choose to focus our efforts on and allocate resources to a potential product candidate that ultimately proves to be unsuccessful, or to license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cases in which it would have been advantageous for us to retain sole development and commercialization rights. Our spending on current and future research and development programs and product candidates for specific indications may not yield any commercially viable products because of the risks inherent in conducting clinical trials. If we are unable to evaluate the commercial potential or target market for a particular product candidate, identify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commercialize additional suitable product candidates, this would adversely impact our business strategy and our financial position.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Sales, Marketing and Competition</w:t>
      </w:r>
    </w:p>
    <w:p>
      <w:pPr>
        <w:spacing w:after="0" w:line="23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obtaining marketing authorization approval or commercializing products before or more successfully than we do, which may adversely affect our financial</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 and our ability to successfully market or commercialize our product candidates.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as well as public and private research institutes that conduct research, development, manufacturing and commercialization. Many of our competitors have significantly greater financial resources and expertise in research and development, manufacturing, preclinical testing, marketing authorizations and product marketing than we do. In addition, many of these competitors are active in seeking patent protection and licensing arrangements in anticipation of collecting milestone payments and royalties for use of technology that they have developed. Our competitors may compete with us in recruiting and retaining qualified scientific and management personnel and establishing clinical trial sites and participant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candidates that we successfully develop and commercialize will compete with existing therapies and new therapies that may become available in the future. Specifically, we expect that our product candidates based on SNAP-TI will compete against alternative or more conventional approaches, including anti-inflammatory compounds, monoclonal antibodies against cytokines or other pathways, immune cell depletion regimens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antibodies, CAR-T cells and T cell engagers) immunomodulatory small molecules, transgenic T cells, genetic therapies and other antigen-specific immune tolerance therapies based on proteins, DNA, RNA and peptides or other technologies.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product candidates are approved for the indications for which we are currently conducting or planning clinical trials, they will likely compete with the competitor products mentioned above and with other products that are currently in development. Key product features that would affect our ability to effectively compete with other therapeutics include the safety, efficacy, formulation, stability,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marketing authorizations from the FDA or other regulatory authorities for their products more rapidly than we may obtain approval for ours, which could result in our competitors establishing a strong market position before we are able to enter the market.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of Our Product Candidates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adequately the safety, potency, purity, and efficacy of any of our product candidates, which would prevent or delay development, marketing authorization and commercialization. Furthermore, success in preclinical studies or clinical trials may not be indicative of results in future clinical trials for the same or other product candidates.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obtaining marketing authorization for the commercial sale of our product candidates, we must demonstrate the safety, purity and potency of our investigational biologics and drugs for use in each target indication through lengthy, complex and expensive preclinical studies and clinical trials.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candidates in later stages of clinical trials may fail to show the desired risk-benefit profile despite having progressed through preclinical studies and initial clinical trials. Likewise, early, smaller-scale clinical trials may not be predictive of eventual safety or effectiveness in large-scale pivotal clinical trials. For example, VTP-100 demonstrated tolerability and immunogenicity during small Phase 1 clinical trials but did not demonstrate sufficient clinical activity during adequately powered Phase 2b clinical trials to warrant continued development of this product candidate. A number of companies in the biopharmaceutical industry have suffered significant setbacks in later phase clinical trials due to lack of potency or efficacy, insufficient durability of potency or efficacy or unacceptable safety issues, notwithstanding promising results in earlier trials. The vast majority of product candidates that commence preclinical studies and early phase clinical trials are never approved as products.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preclinical studies or clinical trials that we may conduct may not demonstrate the safety, potency, purity and efficacy necessary to obtain regulatory authorization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authorization for certain of our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all investigational biologics and drugs, including novel immunotherapeutics such as those based on our SNAP-TI platform, it is likely that there may be side effects associated with their use. Results of our trials could reveal a high and unacceptable severity and prevalence of these side effects. In such an event, our trials could be suspended or terminated and the FDA or comparable foreign regulatory authorities could order us to cease further development of or deny authorization of certain of our product candidates for any or all targeted indications. Treatment-related side effects could also affect participant recruitment or the ability of enrolled participants to complete the trial or result in potential product liability claims. Any of these occurrences may harm our business, financial condition and prospects significantly.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some of the clinical trials we conduct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authorization for our product candidates, the products may not gain market acceptance among physicians, patients, hospitals and others in the medical community.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use of novel immunotherapeutics, such as our SNAP-TI product candidate to target the treatment and prevention of autoimmune diseases is a recent development and may not become broadly accepted by physicians, patients, hospitals and others in the medical community. Various factors will influence whether our product candidates are accepted in the market, including:</w:t>
      </w:r>
    </w:p>
    <w:p>
      <w:pPr>
        <w:spacing w:after="0" w:line="18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licensed;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 including the adoption of our treatment as the standard of care;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medicines;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immunotherapeutics and public perception of other immunotherapeutics;</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nanoparticle-based therapeutics and public perception of other nanoparticle-based therapeutics;</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antigen-specific immune tolerance therapies or those utilizing rapamycin and public perception of other antigen-specific immune tolerance therapies and those utilizing rapamycin;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our product candidates are licensed but fail to achieve market acceptance among physicians, patients, hospitals or others in the medical community, we will not be able to generate significant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immunotherapeutic based approaches, serious adverse events or deaths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clinical trials involving immunotherapeutic based product candidates, even if not ultimately attributable to our product or product candidates, could result in increased government regulation, unfavorable public perception and publicity, potential regulatory delays in the testing or licensing of our product candidates, stricter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labeling requirements for those product candidates that are licensed, and a decrease in demand for any such product candidates.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4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pharmaceutical and biotechnology companies to recruit, hire, train and retain marketing and sales personnel. 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efforts of our product candidates.</w:t>
      </w:r>
    </w:p>
    <w:p>
      <w:pPr>
        <w:spacing w:after="0" w:line="1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policies are expensive and protect us only from some business risks, which leaves us exposed to significant uninsured liabilities.</w:t>
      </w:r>
    </w:p>
    <w:p>
      <w:pPr>
        <w:spacing w:after="0" w:line="18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umbrella, and directors’ and officers’ insurance.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Insurance coverage is becoming increasingly expensive and in the future we may not be able to maintain insurance coverage at a reasonable cost or in sufficient amounts to protect us against losses due to liability. We do not carry specific biological or hazardous waste insurance coverage, and our property, casualty and general liability insurance policies specifically exclude coverage for damages and fines arising from biological or hazardous waste exposure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contamination. Accordingly, in the event of contamination or injury, we could be held liable for damages or be penalized with fines in an amount exceeding our resources, and our clinical trials or marketing authorizations could be suspended.</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do not know if we will be able to maintain existing insurance with adequate levels of coverage. Any significant uninsured liability may require us to pay substantial amounts, which would adversely affect our cash position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Reliance on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certain of our preclinical studies and clinical trials. If these third parties do not</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properly and successfully carry out their contractual duties or meet expected deadlines, we may not be able to obtain marketing authorizations for, or commercialize, our product candidates and our business could be substantially harmed.</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utilize and depend, and expect to continue to utilize and depend, upon independent investigators and collaborators, such as medical institutions, contract research organizations ("CROs"), contract manufacturing organizations ("CMOs"), and strategic partners to conduct and support certain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preclinical studies and clinical trials under agreements with us.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expect to have to continue to negotiate budgets and contracts with CROs, trial sites and CMOs and we may not be able to do so on favorable terms, which may result in delays to our development timelines and increased costs. We will rely heavily on these third parties over the course of our preclinical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preclinical studies and clinical trials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is conducted in accordance with applicable protocol, legal and regulatory requirements and scientific standards, and our reliance on third parties does not relieve us of our regulatory responsibilities. We and these third parties are required to comply with GCP, which are regulations and guidelines enforced by the FDA and comparable foreign regulatory authorities for product candidates in clinical development.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Regulatory authorities enforce GCP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MAAs. We cannot assure you that, upon inspection,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regulatory authorities will determine that any of our clinical trials comply with the GCP regulations. In addition, our clinical trials must be conducted with pharmaceutical product produced under cGMP regulations and will require a large number of test participants. Our failure or any failure by these third parties to comply with these regulations or to recruit a sufficient number of participants may require us to repeat clinical trials, which would delay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marketing authorization process. Moreover, our business may be implicated if any of these third parties performing services or otherwise acting on our behalf violates federal or state fraud and abuse or false claims laws and regulations or healthcare privacy and security laws.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third parties conducting our clinical trials are not and will not be our employees and, except for remedies available to us under our agreements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marketing authorization for, or successfully commercialize, our product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candidates. As a result, our financial results and the commercial prospects for our product candidates would be harmed, our costs could increase and our ability to generate revenue could be delayed.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focus. In addition, there is a natural transition period when a new third party commences work. As a result, delays occur, which can materially impact our ability to meet our desired clinical development timelines.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5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8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agreements, collaborators may develop our product candidates to standards that only meet their local regulatory requirements and therefore clinical data cannot be applied in support regulatory submissions in other jurisdictions;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in certain countries may require joint ventures to manufacture and commercialize products in their territory, which may increase costs, increase dilution to shareholders, and offer lack of clarity on revenue and intellectual property sharing;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and grant funding agreements may be terminated and, if terminated, may result in a need for additional capital to pursue further development or commercialization of the applicable product candidates; and</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third parties to manufacture our product candidates, if approved.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manufactured our product candidates on a commercial scale and may not be able to do so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Manufacturing of biologic and synthetic products is complex and requires significant expertise and capital investment, including the development of advanced manufacturing techniques and process controls. Manufacturers of synthetic products often encounter difficulties in production, particularly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Furthermore, if contaminants are discovered in our supply of our product candidates or in the manufacturing facilities,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85" w:lineRule="exact"/>
        <w:rPr>
          <w:sz w:val="20"/>
          <w:szCs w:val="20"/>
          <w:color w:val="auto"/>
        </w:rPr>
      </w:pPr>
    </w:p>
    <w:p>
      <w:pPr>
        <w:jc w:val="both"/>
        <w:ind w:left="660" w:hanging="328"/>
        <w:spacing w:after="0" w:line="23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process for our product candidates is complex and requires specific know-how that only a limited number of CMOs can provide, as a result, we compete with other companies in the field for the scarce capacities of these organizations and may not be able to secure sufficient manufacturing capacity when needed;</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or other regulatory authorities may inspect any manufacturers for current cGMP compliance as part of our marketing application;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prioritize another customer’s needs in front of ours, especially in the event of a global pandemic;</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 may be in short supply, and may significantly increase in price;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suppliers may be subject to inclement weather, pandemics, as well as natural or man- made disasters; and</w:t>
      </w:r>
    </w:p>
    <w:p>
      <w:pPr>
        <w:spacing w:after="0" w:line="19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5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our collaborators or other third parties on which we rely, depend on China-based suppliers or service providers for certain raw materials,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legislation known as the BIOSECURE Act or a similar law were to be enacted.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the CMOs that supply our product candidates, changes in manufacturers often involve changes in manufacturing procedures and processes, which could require that we conduct bridging or comparability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0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clinical trials or the approval of any of our product candidates by the FDA, EMA or other appropriate regulatory authorities and result in higher costs or adversely impact commercialization of our product candidates. In addition, we will rely 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third parties to perform certain specification tests on our product candidates prior to delivery to patients. If these tests are not appropriately done and test data are not reliable, patients could be put at risk of serious harm and the FDA, or other regulatory authorities could place significant restrictions on our company until deficiencies are remedied.</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and comparable foreign regulatory authority regulations relating to the quality and reliability of such processes. Any failure to comply with relevant regulations could result in delays in or termination of our clinical programs and suspension or withdrawal of any marketing authorizations.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and similar requirements from comparable foreign regulatory authorities. We may encounter difficulties in achieving quality control and quality assurance and may experience shortages in qualified personnel. We are subject to inspections by the FDA and comparable foreign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regulatory authorities to confirm compliance with applicable regulatory requirements. Any failure to follow cGMP or other regulatory requirements or delay, interruption or other issues that arise in the manufacture, fill-finish, packaging, or storage of our biologic products as a result of a failure of our facilities or the facilities or operations of third parties to comply with regulatory requirements or pass any regulatory authority inspection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significantly impair our ability to develop and commercialize our product candidates, including leading to significant delays in the availability of our biological products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biological materials, by our third-party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manufacturers. Our manufacturers are subject to national,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materials. As a result of any such contamination or injury, we may incur liability or local, city, state or national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impair our research, development and production efforts, which could harm our business, prospects,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marketing authorization processes of the FDA, the EMA, MHRA and other comparable foreign regulatory authorities are lengthy, time-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required to obtain marketing approval from the FDA, the EMA, MHRA and other comparable foreign regulatory authorities is unpredictable but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yet obtained a marketing authorization for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 and it is possible that none of our current or future product candidates will ever obtain marketing authorizations.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marketing authorizations for many reasons, including the following:</w:t>
      </w:r>
    </w:p>
    <w:p>
      <w:pPr>
        <w:spacing w:after="0" w:line="18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planned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MHRA or other comparable foreign regulatory authorities may disagree with the design or implementation of our clinical trials;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NDA to the FDA, or an MAA to the EMA or other comparable submission to regulatory authorities in other regions, to obtain authorization in the United States, the European Union, or elsewhere;</w:t>
      </w:r>
    </w:p>
    <w:p>
      <w:pPr>
        <w:spacing w:after="0" w:line="15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MHRA or regulatory authorities in other regions that a product candidate has an overall suitable benefit/risk profile for its proposed indication;</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MHRA or other comparable foreign regulatory authorities may find deficiencies with or fail to approve the manufacturing processes or facilities of third-party manufacturers with which we contract for clinical and commercial supplies;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the SEC and other government agencies, including from prolonged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2"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MHRA or other comparable foreign regulatory authorities may significantly change in a manner rendering our clinical data insufficient for approval; and</w:t>
      </w:r>
    </w:p>
    <w:p>
      <w:pPr>
        <w:jc w:val="both"/>
        <w:ind w:left="660" w:hanging="328"/>
        <w:spacing w:after="0" w:line="21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the conduct of our HBV002 clinical trial in South Korea experienced delays due to additional regulatory review of our clinical protocol. We have limited experience obtaining such approvals in foreign jurisdictions and therefore may need more time to navigate the regulatory process as a result.</w:t>
      </w:r>
    </w:p>
    <w:p>
      <w:pPr>
        <w:spacing w:after="0" w:line="17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unpredictability of clinical trial results may result in our failing to obtain marketing authorizations for any product candidate we develop, which would significantly harm our business, results of operations and prospects. The lengthy approval process in many regions may cause delays in market access, particularly if regulatory authorities have a large number of objections to the initial applications for marketing authorization which need to be addressed.</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conducted, and intend to conduct, clinical trials of certain of our product candidates outside the United States. Although the FDA may accept data from clinical trials conducted outside the United States, acceptance of these data are subject to certain conditions imposed by the FDA, including compliance with all applicable U.S. laws and regulations. For example, the clinical trial must be well designed and conducted and performed by qualified investigators in accordance with GCP, including review and approval by an independent ethics committee and informed consent from participants. The trial population must also adequately represent the U.S. population, and the data must be applicable to the U.S. population and U.S. medical practice in ways that the FDA deems clinically meaningful. In general, the participant population for any clinical trial conducted outside of the United States must be representative of the population for whom we intend to label the product in the United States. There can be no assurance the FDA will accept data from trials conducted outside of the United States. Additionally, recent policy proposals in the U.S., if enacted in the future, may make acceptance by the FDA or inclusion in a marketing application of foreign data more difficult or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FDA, the EMA and other comparable foreign regulatory authorities have substantial discretion in the approval process, and determining when or whether marketing authorization will be obtained for any product candidate that we develop. For example, even if we believe the data collected from future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clinical trials of our product candidates are promising, such data may not be sufficient to support approval by the FDA, the EMA, MHRA or any other comparable foreign regulatory authorities. In addition, U.S. Supreme Court’s July 2024 decision to overturn prior established case law giving deference to regulatory agencies’ interpretations of ambiguous statutory language has introduced uncertainty regarding the extent to which FDA’s regulations,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decisions may become subject to increasing legal challenges, delays, and/or changes.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Even if we were to obtain a marketing authorization, regulatory authorities may approve any of our product candidates for fewer or more limited indications than we request, may not approve the price we intend to charge for our products, may grant approval conditional on the performance of costly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 In addition, even if we obtain orphan drug exclusivity for any of our product candidates, such exclusivity may not protect us from competition.</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tax advantages and user-fee waivers.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ten years in the EU. The EU exclusivity period can be reduced to six years if a drug no longer meets the criteria for Orphan Drug Designation or if the drug is sufficiently profitable such that market exclusivity is no longer justified.</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Even if we obtain orphan drug exclusivity for a drug candidate, that exclusivity may not effectively protect the drug candidate from competition because different therapies can be approved for the same indication. Even after an orphan drug is approved, the FDA can subsequently approve a second drug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 for the same indication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later determines that the request for designation was materially defective or if the manufacturer is unable to assure manufacture of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The FDA may further reevaluate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While we may seek Orphan Drug Designation for applicable indications for our current and any future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drug candidates, we may never receive such designations. Even if we do receive such designations, there is no guarantee that we will enjoy the benefits of those designations.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seek Breakthrough Therapy designation for certain of our current and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 endpoints, defined as those that measure an effect on irreversible morbidity or mortality or on symptoms that represent serious consequences of the disease.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regimens. Drugs and biologics designated as breakthrough therapies by the FDA may also be eligible for other expedited approval programs, including accelerated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more of our product candidates qualify as breakthrough therapies, the FDA may later decide that the product no longer meets the conditions for qualification. Thus, even though we intend to seek Breakthrough Therapy designation for certain of our current and future product candidates, there can be no assurance that we will receive breakthrough therapy designation.</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certain of our current or future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drug or biologic is intended for the treatment of a serious or life-threatening condition and the product demonstrates the potential to address unmet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medical needs for this condition, the product sponsor may apply for FDA Fast Track designation for a particular indication. We may seek Fast Track designation for certain of our current or future product candidates, but there is no assurance that the FDA will grant this status to any of our proposed product candidates. Marketing applications filed by sponsors of products in Fast Track development may qualify for priority review under the policies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seek approval of certain of our current or future product candidates using the FDA’s accelerated approval pathway. A product may be eligible for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and the FDA is permitted to require, as appropriate, that such studies be underway prior to approval or within a specified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sponsors, unless otherwise informed by the agency, to request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approved through an abbreviated regulatory pathway.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ACA, includes a subtitle called the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safety, purity, and potency of the other company’s product. The law is complex and is still being interpreted and implemented by the FDA. As a result, its ultimate impact, implementation, and meaning are subject to uncertainty.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 year period of exclusivity. However,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 is a risk that this exclusivity could be shortened due to congressional action or otherwise, or that the FDA will not consider our investigational medicines to be reference products for competing products, potentially creating the opportunity for biosimilar competition sooner than anticipated. Moreover, the extent to which a biosimilar, once licensed, will be substituted for any one of our reference products in a way that is similar to traditional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generic substitution for non-biologic products is not yet clear, and will depend on a number of marketplace and regulatory factors that are still developing, including the potential for sponsors under FDA draft guidance issued in 2024 to demonstrate interchangeability without conducting so-called "switching" studies and the potential for sponsors under FDA draft guidance issued in 2025 to demonstrate biosimilarity without conducting comparative efficacy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studies. Although the FDA has yet to finalize these draft guidance documents, these or similar efforts may increase the risk of competition for our biologic product candidates, if approved.</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4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if we obtain FDA, European Commission or MHRA approval for our current or future product candidates that we may identify and pursue in the United States, the European Union or the </w:t>
      </w:r>
      <w:r>
        <w:rPr>
          <w:rFonts w:ascii="Times New Roman" w:cs="Times New Roman" w:eastAsia="Times New Roman" w:hAnsi="Times New Roman"/>
          <w:sz w:val="18"/>
          <w:szCs w:val="18"/>
          <w:color w:val="auto"/>
        </w:rPr>
        <w:t>U.K.</w:t>
      </w:r>
      <w:r>
        <w:rPr>
          <w:rFonts w:ascii="Times New Roman" w:cs="Times New Roman" w:eastAsia="Times New Roman" w:hAnsi="Times New Roman"/>
          <w:sz w:val="18"/>
          <w:szCs w:val="18"/>
          <w:b w:val="1"/>
          <w:bCs w:val="1"/>
          <w:i w:val="1"/>
          <w:iCs w:val="1"/>
          <w:color w:val="auto"/>
        </w:rPr>
        <w:t>, we may never obtain approval to commercialize any such product candidates outside of those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Obtaining and maintaining marketing authorization for our product candidates in one jurisdiction does not guarantee that we will be able to obtain or maintain marketing authorizations in any other jurisdiction, while a failure or delay in obtaining marketing authorization in one jurisdiction may have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negative effect on the approval process in others. In order to market any products outside of the United States, we must establish and comply with numerous and varying regulatory requirements of other countries regarding safety and effectiveness. Approval processes vary among countries and can involve additional product testing and validation and additional or different administrative review periods from those in the United States, including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Seeking foreign marketing authorization could result in difficulties and costs and require additional preclinical studies or clinical trials which could be costly and time-consuming. Regulatory requirements can vary widely from country to country and could delay or prevent the introduction of our current or future product candidates in those countries. The foreign marketing authorization process may include all of the risks associated with obtaining FDA, European Commission or MHRA approval, in addition to country-specific risks and challenges. We do not have any product candidates approved for sale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any jurisdiction, including international markets, and we do not have experience in obtaining marketing authorizations in international markets for our current or future product candidates. If we fail to comply with regulatory requirements in international markets or to obtain and maintain required approvals, or if marketing authorization in international markets is delayed, our target market will be reduced and our ability to realize the full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of our current or future product candidates will be harmed.</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financial condition and results of operations, and reduce net returns to our shareholders.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conduct business globally and file tax returns in multiple jurisdictions. The tax treatment of the Company or any of the group companies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Base Erosion and Profit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Shifting Project, the European Commission’s state aid investigations and other initiatives); the practices of tax authorities in jurisdictions in which we operate; the resolution of issues arising from tax audits or examinations and any related interest or penalties. Such changes (which may be retroactive) may include (but are not limited to) the taxation of operating income, investment income, dividends received or (in the specific context of withholding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operate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laws. A tax authority may disagree with tax positions that we have taken, which could result in increased tax liabilities. For example HMRC,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assessment, the implications could increase our anticipated effective tax rate, where applicable, or result in other liabilities. If we are assessed with additional taxes, this may result in a material adverse effect on our results of operations and/or financial condition.</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or tax credits to reduce future tax payments or to benefit from favorable U.K. tax legislation.</w:t>
      </w:r>
    </w:p>
    <w:p>
      <w:pPr>
        <w:spacing w:after="0" w:line="7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U.K. incorporated and tax resident entities are subject to U.K. corporation tax. Due to the nature of our business, we have generated losses since inception and therefore have not paid any U.K. corporation tax. As of December 31, 2025, we had cumulative carryforward tax losses of approximately $160.4 million (December 31, 2024: $101.7 million). Subject to any relevant criteria and restrictions (including those that limit the percentage of profits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can be reduced by carried forward losses and those that can restrict the use of carried forward losses where there is a change of ownership of more than half of our ordinary shares and a major change in the nature, conduct or scale of the trade), we expect these to be eligible for carry forward and utilization against future operating profits, if any. The use of loss carryforwards in relation to U.K. profits incurred on or after April 1, 2017 is generally limited each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£5.0 million plus an incremental 50% of U.K. taxable profits.</w:t>
      </w:r>
    </w:p>
    <w:p>
      <w:pPr>
        <w:spacing w:after="0" w:line="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activities, we seek to benefit from the U.K. research and development tax relief programs. From 2025, we benefit from the applicable United Kingdom research and development tax credit regime which is the merged scheme Research</w:t>
      </w:r>
    </w:p>
    <w:p>
      <w:pPr>
        <w:spacing w:after="0" w:line="1" w:lineRule="exact"/>
        <w:rPr>
          <w:sz w:val="20"/>
          <w:szCs w:val="20"/>
          <w:color w:val="auto"/>
        </w:rPr>
      </w:pPr>
    </w:p>
    <w:p>
      <w:pPr>
        <w:jc w:val="both"/>
        <w:ind w:firstLine="8"/>
        <w:spacing w:after="0" w:line="236" w:lineRule="auto"/>
        <w:tabs>
          <w:tab w:leader="none" w:pos="2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expenditure credit ("RDEC") and enhanced R&amp;D intensive support ("ERIS") that replaces the old RDEC and small and medium-sized enterprise ("SME") schemes for accounting periods beginning on or after April 1, 2024. For expenditure under the merged scheme, the rate of Research and Development expenditure credit is 20%, which is the same as the rate under the old RDEC scheme for expenditure incurred on or after April 1, 2023. For loss-makers and small profit-makers, a lower rate of notional tax restriction (currently 19%) applies at payment. The amount of the Pay As You Earn ("PAYE") cap for claims under both the merged scheme and ERIS is £20,000 plus 300% of the company’s relevant PAYE and National Insurance contributions liabilities. The PAYE cap (where applicable) will limit the amount of payable credit that can be received in the accounting period under consideration. Any excess over the cap will be carried forward and treated as an amount of Research and Development expenditure credit to which the company will be entitled for the next accounting period. Based on prior claims and the split of qualifying spend it is expected that the PAYE cap is unlikely to affect the net benefit. Furthermore, legislation included in Finance Act 2024 restricts the extent to which payments to contractors for R&amp;D, and externally provided workers can qualify for R&amp;D relief where R&amp;D activity takes place outside the U.K., which may restrict the ability to include cost incurred on externally provided workers based in the U.S.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large portion of our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based on the eligibility criteria. Unsurrendered U.K. losses may be carried forward indefinitely to be offset against future taxable profits, subject to numerous utilization criteria and restrictions. The amount that can be offset each year is limited to £5.0 million plus an incremental 50% of U.K. taxable profits. There was no tax loss restriction applied to the R&amp;D tax credits in the U.K. for the years ending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Under both the current RDEC scheme and the historic SME scheme (which we relevant to us in prior tax years), a company qualifies as an R&amp;D intensive business if R&amp;D expenditure constitutes at least 30% of total expenditure.</w:t>
      </w:r>
    </w:p>
    <w:p>
      <w:pPr>
        <w:spacing w:after="0" w:line="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From the analysis performed, we have not and do not currently expect to claim under the loss-making R&amp;D intensive scheme criteria primarily due to the proportion of total relevant expenditure occurring outside the U.K.</w:t>
      </w:r>
    </w:p>
    <w:p>
      <w:pPr>
        <w:spacing w:after="0" w:line="20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benefit in the future from the U.K.’s “patent box” regime, which allows certain profits attributable to revenue from patented products (and other qualifying income) to be taxed at an effective rate of 10% by giving an additional tax deduction. When taken in combination with the enhanced relief available on our research and development expenditures, we expect a long-term effective rate of corporation tax lower than the statutory rate to apply to us.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and the timeframes within which additional investment is required.</w:t>
      </w:r>
    </w:p>
    <w:p>
      <w:pPr>
        <w:spacing w:after="0" w:line="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completeness, it should be noted that the U.K. tax authority, His Majesty's Revenue and Customs ("HMRC"), currently has an increased focus on claims for R&amp;D tax credits and so the Company may be subject to increased scrutiny in respect of any claims it makes. In addition, the legislation on the U.K. R&amp;D tax credits regime is updated and changed frequently, so there can be no guarantee of our ability of to make use of such credits as we might currently expect to in future.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Ongoing Regulatory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authorization for our product candidates, we will be subject to ongoing regulatory obligations and continued regulatory</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review, which may result in significant additional expense and we may be subject to penalties if we fail to comply with regulatory requirements or experience unanticipated problems with our product candidates.</w:t>
      </w:r>
    </w:p>
    <w:p>
      <w:pPr>
        <w:spacing w:after="0" w:line="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Any marketing authorizations that we receive for our product candidates will require surveillance to monitor the safety and efficacy of the product candidate. The FDA may also require a REMS and the EMA may also require additional rapid microbiological method approvals or educational materials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regulations and GCPs, for any clinical trials that we conduct post-approval, and compliance with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applicable product tracking and tracing requirements.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72" w:lineRule="exact"/>
        <w:rPr>
          <w:sz w:val="20"/>
          <w:szCs w:val="20"/>
          <w:color w:val="auto"/>
        </w:rPr>
      </w:pPr>
    </w:p>
    <w:p>
      <w:pPr>
        <w:ind w:left="660" w:hanging="328"/>
        <w:spacing w:after="0" w:line="23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criminal, or administrative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under FDORA, sponsors of approved drugs and biologics must provide 6 months’ notice to the FDA of any changes in marketing status,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the withdrawal of a drug, and failure to do so could result in a letter citing such failure to comply and public posting of such letter and redacted company response, which could damage the company's reputation. The FDA’s and other regulatory authorities’ policies may change and additional government regulations may be enacted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that could prevent, limit or delay marketing authorization of our product candidates. We cannot predict the likelihood, nature or extent of government regulation that may arise from future legislation or administrative action, either in the United States or abroad. If we are slow or unable to adapt to changes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existing requirements or the adoption of new requirements or policies, or if we are not able to maintain regulatory compliance, we may lose any marketing approval that we may have obtained and we may not achieve or sustain profitability.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if approved. In particular, while the FDA permits the dissemination of truthful and non- misleading information about an approved product, a manufacturer</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may not promote a product for uses that are not approved by the FDA or such other regulatory authorities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In the United States, no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uniform policy of coverage and reimbursement for products exists among third-party payors and,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country. Adverse pricing limitations may hinder our ability to recoup our investment in one or more product candidates, even if any product candidates we may develop obtain marketing approval. See section entitled “Business – Government Regulation – Coverage and Reimbursement.”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commercialize our product candidates or any other products that we or they may develop also will depend in part on the extent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sufficient return on our investment.</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CMS, an agency within the HHS, as CMS decides whether and to what extent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new medicine will be covered and reimbursed under Medicare. Private payors tend to follow CMS to a substantial degree. It is difficult to predict what CMS will decide with respect to reimbursement for fundamentally novel products such as ours. Patients who are provided medical treatment for their conditions generally rely on third-party payors to reimburse all or part of the costs associated with their treatment. Adequate coverage and reimbursement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use of a product is:</w:t>
      </w:r>
    </w:p>
    <w:p>
      <w:pPr>
        <w:spacing w:after="0" w:line="16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profits.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for our product candidates.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Net prices for drugs may be reduced by mandatory discounts or rebates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by government healthcare programs or private payors and by any future relaxation of laws that presently restrict imports of drugs from countries where they may be sold at lower prices than in the United States. We expect to experience pricing pressures in connection with the sale of any of our product candidates, due to the trend toward managed healthcare, the increasing influence of health maintenance organizations and additional legislative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changes. The downward pressure on healthcare costs in general, particularly prescription drugs and surgical procedures and other treatments, has become very intense.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reduced by mandatory discounts or rebates required by government healthcare programs. As a result, increasingly high barriers are being erected to the entry of new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material adverse effect on our business and results of operations.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applicable laws, rules, and regulations or the interpretation of</w:t>
      </w:r>
    </w:p>
    <w:p>
      <w:pPr>
        <w:spacing w:after="0" w:line="204" w:lineRule="auto"/>
        <w:rPr>
          <w:sz w:val="20"/>
          <w:szCs w:val="20"/>
          <w:color w:val="auto"/>
        </w:rPr>
      </w:pPr>
      <w:r>
        <w:rPr>
          <w:rFonts w:ascii="Times New Roman" w:cs="Times New Roman" w:eastAsia="Times New Roman" w:hAnsi="Times New Roman"/>
          <w:sz w:val="18"/>
          <w:szCs w:val="18"/>
          <w:color w:val="auto"/>
        </w:rPr>
        <w:t>existing laws, rules, and regulations could impact our business in the future by requiring, for example: (i) changes to our manufacturing arrangements;</w:t>
      </w:r>
    </w:p>
    <w:p>
      <w:pPr>
        <w:spacing w:after="0" w:line="1" w:lineRule="exact"/>
        <w:rPr>
          <w:sz w:val="20"/>
          <w:szCs w:val="20"/>
          <w:color w:val="auto"/>
        </w:rPr>
      </w:pPr>
    </w:p>
    <w:p>
      <w:pPr>
        <w:jc w:val="both"/>
        <w:ind w:firstLine="8"/>
        <w:spacing w:after="0" w:line="218" w:lineRule="auto"/>
        <w:tabs>
          <w:tab w:leader="none" w:pos="2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modifications to product labeling; (iii) the recall or discontinuation of our products; or (iv) additional record-keeping requirements. If any such changes were to be imposed, they could adversely affect the operation of our business. See the section titled “Business – Government Regulation – Healthcare Reform and Legislative Changes.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product candidate. Any reduction in reimbursement from Medicare or other government programs may result in a similar reduction in payments from private payors. We cannot predict the reform initiatives that may be adopted in the future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whether initiatives that have been adopted will be modified or invalidated. The implementation of cost containment measures or other healthcare reforms may prevent us from being able to generate revenue, attain profitability, or commercialize our drugs, and could have a material adverse effect on our business, financial condition, and results of operations.</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("FCPA"), and similar anti-bribery and anti- corruption laws in other jurisdictions.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engage in and expand our business activities outside of the United States, including our clinical trial efforts, we will be subject to the FCPA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similar anti-bribery or anti-corruption laws, regulations or rules of other countries in which we operate. The FCPA generally prohibits offering, promising, giving, or authorizing others to give anything of value, either directly or indirectly, to a non- United States government official in order to influence official action, or otherwise obtain or retain business. The FCPA also requires public companies to make and keep books and records that accurately and fairly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pharmaceuticals are employed by their government, and the purchasers of pharmaceuticals are government entities; therefore, our dealings with these prescribers and purchasers will be subject to regulation under the FCPA. Recently the Securities and Exchange Commission, or the SEC, and Department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continuing to develop our products, and could materially damage our reputation, our brand, our international expansion efforts, our ability to attract and retain employees, and our business, prospects, operating results,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Without appropriation of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ability to hire and retain key personnel and accept the payment of user fees, and other events that may otherwise affect the FDA's ability to perform</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routine function.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activities, is subject to the political process, which is inherently fluid and unpredictable.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Disruptions and personnel turnover, including as a result of leadership changes, staff reductions or otherwise, at the FDA and other agencies may also slow the time necessary for new drugs and biologics or modifications to approved drugs and biologics to be reviewed and/or approved by necessary government agencies, which would adversely affect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19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Over the last several years the U.S. government has shut down several times and certain regulatory authorities, such as the FDA and the SEC, have had to furlough critical FDA, SEC and other government employees and stop critical activities. In addition, the current U.S. presidential administration has issued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policies and Executive Orders directed towards reducing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renewed global health concerns, funding shortages or staffing limitations hinder or prevent the FDA or other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regulatory authorities from conducting their regular inspections, reviews, or other regulatory activities, including formal and informal interactions with product developers, it could significantly impact the ability of the FDA to timely review and process our regulatory submissions, which could have a material adverse effect on our business.</w:t>
      </w:r>
    </w:p>
    <w:p>
      <w:pPr>
        <w:spacing w:after="0" w:line="11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principal investigators, healthcare providers, including physicians, consultants, third-party payors and customers may be subject, directly or indirectly, to U.S. federal and state, as well as foreign, healthcare fraud and abuse laws, false claims laws, health information privacy and cybersecurity laws, and other healthcare laws and regulations. If we are unable to comply, or have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fully complied, with such laws, we could face substantial penalties.</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U.S. federal and state fraud and abuse laws and other healthcare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laws, including, without limitation, the AKS, the federal civil and criminal false claims laws, and the law commonly referred to as the Sunshine Act, along with regulations promulgated under such laws. These laws impact, among other things, our clinical research activities, proposed sales, marketing and educational programs, and other arrangements and relationships with third-party payors, healthcare professionals, and other parties through which we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market, sell and distribute our product candidates for which we obtain marketing approval. In addition, we may be subject to patient data privacy and security regulation by both the U.S. federal government and the states in which we conduct our business, along with foreign regulators (including European data protection authorities). See section entitled “Business – Government Regulation – Other Healthcare Laws and Compliance Requirements.”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Even if precautions are taken, it is possible that governmental authorities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operations. If any of the physicians or other healthcare providers or entities with whom we expect to do business is found not to be in compliance with applicable laws, that person may be subject to significant criminal, civil or administrative sanctions, including exclusions from government funded healthcare programs. Prohibitions or restrictions on sales or withdrawal of future marketed products could materially affect business in an adverse way.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applicable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CROs or CMOs, principal investigators, suppliers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vendors may engage in fraudulent conduct or other illegal activity. Misconduct by these parties could include intentional, reckless and negligent conduct that fails to: comply with the regulations of the FDA and other comparable foreign regulatory bodies, provide true, complete and accurate information to the FDA and other comparable foreign regulatory bodies, comply with manufacturing standards we have established, comply with healthcare fraud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are also likely to increase.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other business arrangements generally. Misconduct by persons acting on our behalf could also involve the improper use of individually identifiable information, including, without limitation, information obtained in the course of clinical trials, which could result in regulatory sanctions and serious harm to our reputation.</w:t>
      </w:r>
    </w:p>
    <w:p>
      <w:pPr>
        <w:spacing w:after="0" w:line="17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curtailment or restructuring of our operations.</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data protection, privacy, and cybersecurity laws and regulations, we could become subject to fines or penalties or incur costs that could have a material adverse effect on the success of our business.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collaborators and third-party providers are subject to national, supranational, federal or state laws and regulations, regulatory guidance and industry standards relating to data protection, privacy and information security. With respect to Europe, the collection and processing of personal data</w:t>
      </w:r>
    </w:p>
    <w:p>
      <w:pPr>
        <w:jc w:val="both"/>
        <w:spacing w:after="0" w:line="242" w:lineRule="auto"/>
        <w:rPr>
          <w:sz w:val="20"/>
          <w:szCs w:val="20"/>
          <w:color w:val="auto"/>
        </w:rPr>
      </w:pPr>
      <w:r>
        <w:rPr>
          <w:rFonts w:ascii="Times New Roman" w:cs="Times New Roman" w:eastAsia="Times New Roman" w:hAnsi="Times New Roman"/>
          <w:sz w:val="18"/>
          <w:szCs w:val="18"/>
          <w:color w:val="auto"/>
        </w:rPr>
        <w:t>regarding (i) individuals in the EEA and U.K., and/or (ii) carried out in the context of the activities of our establishments in the EEA or U.K., is subject to the GDPR, as well as other national data protection legislation in force in relevant EEA member states and the U.K., (including the U.K. Data Protection Act 2018).</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is wide-ranging in scope and impose numerous obligations on companies that process personal data, including special requirements in respect of the processing of special categories of personal data (such as health data), requiring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requiring data protection impact assessments for high risk processing and requiring that certain measures (including contractual requirements) are put in place when engaging third-party processors. The GDPR also provides individuals with various rights in respect of their personal data, including rights of access, erasure, portability, rectification, restriction and objection. The GDPR defines personal data to include pseudonymized or coded data and requires different informed consent practices and more detailed notices for clinical trial participants and investigators than apply to clinical trials conducted in the United States. We are required to apply GDPR standards to any clinical trials that recruit participants in the EEA and U.K. as well as any clinical trials that our EEA and U.K. established businesses carry out anywhere in the world.</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to countries outside the EEA and U.K., including the United States in certain circumstances, unless a derogation exists or we incorporate a GDPR transfer mechanism (such as the European Commission approved standard contractual clauses (“SCCs”) or the U.K. International Data Transfer Addendum (“IDTA”)) into our agreements with third parties to govern such transfers of personal data and carry out transfer impact assessments to assess whether the data importer can ensure sufficient guarantees for safeguarding the personal information under the GDPR, including an analysis of the laws in the recipient’s country. Carrying out such restricted transfers, therefore, comes with a significant compliance burden, requiring significant effort and expense to overcome. Failure to implement valid mechanisms for personal data transfers from Europe may result in increased exposure to regulatory actions, substantial fines, and injunctions against processing personal data from Europe. If we are unable to export personal data, this may also restrict our activities outside of Europe and require us to increase processing capabilities within Europe at significant expense or otherwise segregate our systems and operations. Switzerland has adopted similar transfer restrictions as under the GDPR. Although the U.K. is regarded as a third country under the EU GDPR, the European Commission issued a decision recognizing the U.K. as providing adequate protection under the EU GDPR and, therefore, transfers of personal data originating in the EEA to the U.K. remain unrestricted. Personal data transfers from the U.K. to the EEA remain free flowing by virtue of a U.K. government adequacy decision.</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GDPR may increase our responsibility and liability in relation to personal data that we process where such processing is subject to the GDPR. While we have taken steps to comply with the GDPR, and implementing legislation in applicable EEA member states and the U.K.,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 Given the breadth and depth of the applicable obligations, complying with the GDPR and similar data protection laws’ requirements is rigorous and time intensive and require significant resources and a review of our technologies, systems and practices, as well as those of any third-party collaborators, service providers, contractors or consultants that process or transfer personal data.</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However following the U.K.'s departure from the European Union ("Brexit"), there will be increasing scope for divergence in application, interpretation and enforcement of the data protection laws between these territories. For example, the U.K. Data (Use and Access) Act 2025 (“U.K. Act"), now in force, further alters the similarities between the U.K. and EEA data protection regimes.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This lack of clarity on future U.K. laws and regulations and their interaction with those of the EU could add legal risk, uncertainty, complexity, and cost to our handling of European personal data and our privacy and security compliance programs; and any resulting divergence in laws could increase our risk profile and may require us to implement different compliance measures for the U.K. and EEA.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cybersecurity controls. Actual or alleged violations of these regulations may be punishable by criminal and/or civil sanctions and may result in exclusion from participation in federal and state programs.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federal health information privacy laws, state data breach notification laws, state health information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FTC Act), that govern the collection, use, disclosure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and protection of health-related and other personal information could apply to our operations or the operations of our collaborators and third-party providers. For example, the CCPA gives California residents expanded rights to access and delete their personal information, opt out of certain personal information sharing and receive detailed information about how their personal information is used. The CCPA applies to certain sensitive personal information and created a new state agency vested with authority to implement and enforce the CCPA. The CCPA provides for civil penalties for violations,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well as a private right of action for data breaches that may lead to increased litigation. U.S. states are constantly amending existing laws, requiring attention to frequently changing regulatory requirements, which may require us to modify our data collection or processing practices and policies and to incur substantial costs and expenses in an effort to comply with them. We are conducting a clinical trial in California, where the CCPA includes only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partial exemption for certain clinical trial data, and we may be subject to privacy compliance obligations on our business that raise new risks for potential fines and class 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Numerous other U.S. state privacy laws have been enacted that are substantially similar in scope and contain many of the same requirements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exceptions as the CCPA, including a general exemption for clinical trial data and information governed by HIPAA. Any of these laws may broaden their scope in the future, and similar laws have been proposed on both a federal level and in more than half of the states in the United States. State laws feature several key differences in scope, application, and enforcement, that collectively impact how regulated businesses collect and process personal sensitive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conduct data protection assessments, transfer personal data to affiliates, and respond to consumer rights requests.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to general privacy and data protection requirements, many jurisdictions around the world have adopted legislation that regulates how businesses operate online and enforces information security, including measures relating to privacy, cybersecurity, data security and data breaches. Many of these laws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require businesses to notify cybersecurity incidents and data breaches to applicable regulators and/or data subjects. These laws are not consistent, and compliance in the event of a widespread data breach is costly and burdensome.</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artificial intelligence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Europe, the European Union began implementing the Artificial Intelligence Act (the “AI Act”) on August 1, 2024, with a significant part of the law scheduled to come into effect in August 2026. As currently enacted, the AI Act, which may be 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many jurisdictions, enforcement actions and consequences for non-compliance with protection, privacy and information security laws and regulations are rising. In the EU and the U.K., data protection authorities may impose large penalties for violations of the data protection laws, including potential fines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up to €20 million (£17.5 million in the U.K.) or 4% of annual global revenue, whichever is greater. The authorities have shown a willingness to impose significant fines and issue orders preventing the processing of personal data on non-compliant businesses. Under the GDPR, data subjects also have a private right of action, as do consumer associations, to lodge complaints with supervisory authorities, seek judicial remedies, and obtain compensation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damages resulting from violations of applicable data protection laws. In the United States, possible consequences for non-compliance include enforcement actions in response to rules and regulations promulgated under the authority of federal agencies and state attorneys general, legislatures and consumer protection agencies.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their fact that the interpretation and enforcement is not entirely clear.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Compliance with data protection laws and regulations could require us to take on more onerous obligations in our contracts, restrict our ability to collect, use and disclose data, or in some cases, impact our ability to operate in certain jurisdictions. It could also require us to change our business practices and put in place additional compliance mechanisms, may interrupt or delay our development, regulatory and commercialization activities and increase our cost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doing business. Failure by us or our collaborators and third-party providers to comply with data protection laws and regulations could result in government enforcement actions (which could include civil or criminal penalties and orders preventing us from processing personal data), private litigation and result in significant fines and penalties against us. Moreover, clinical trial participants about whom we or our potential collaborators obtain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results of operations and prospects.</w:t>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contract manufacturing organizations, and a delay in our development timelines.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products we develop and for our technology, or if the scope of the patent protection</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candidates. We seek to protect our proprietary position by in-licensing intellectual property relating to our platform technology and filing patent applications relating to our technologies that are important to our business. If we or our licensors are unable to obtain or maintain patent protection with respect to our product candidates, our competitive position, business, financial conditions, results of operations, and prospects could be materially harmed.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do not own any issued patents with respect to our product candidates and rely primarily on in-licensed patents and patent applications. We can provide no assurance that any of our current or future patent applications will result in issued patents or that any issued patents will provide us with any competitive advantage. Failure to obtain issued patents could have a material adverse effect on our ability to develop and commercialize our product candidates.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In addition, it is uncertain whether the World Trade Organization ("WTO") will waive certain intellectual property protections now or in the future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certain technologies. It is unknown if such a waiver would be limited to patents, or would include other forms of intellectual property including trade secrets and confidential know-how. We cannot be certain that any of our current or future product candidates or technologies would not be subject to an intellectual property waiver by the WTO. We also cannot be certain that any of our current or future intellectual property rights, whether patents, trade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secrets, or confidential know-how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 be impacted. With respect to both our in-licensed and owned intellectual property, we cannot predict whether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patent applications that we and our licensors are currently pursuing or that we may pursue in the future will issue as patents in any particular jurisdiction or whether the claims of any issued patents will provide sufficient protection from competitors.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enforce,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offices in the United States and abroad. We or our licensors may become subject to a third party pre-issuance submission of prior art to the USPTO, or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and other similar proceedings challenging our patent rights or the patent rights of others. An adverse determination in any such submission, proceeding or litigation could reduce the scope of,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proceedings also may result in substantial cost and require significant time from our scientists and management, even if the eventual outcome is favorable to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to exclude others from commercializing products similar or identical to ours.</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w:t>
      </w: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third parties or otherwise experience disruptions to our business relationships with our licensors, we could lose license rights that are important to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from third parties that are important or necessary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development of our product candidates. These and other future agreements impose, and may continue to impose, numerous obligations, such as development, diligence, payment, commercialization, funding, milestone, royalty, sublicensing, insurance, patent prosecution and enforcement obligations on us and may require us to meet development timelines, or to exercise commercially reasonable efforts to develop and commercialize licensed products,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order to maintain the licenses. In spite of our best efforts, our current and future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licensors fail to</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termination of these licenses, or any failure of the underlying patents to provide the intended exclusivity, could result in the loss of significant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could harm our ability to commercialize our product candidates, and competitors or other third parties would have the freedom to seek marketing authorization for, and to market, products identical to ours and we may be required to cease our development and commercialization of certain of our product candidates. Any of the foregoing could have a material adverse effect on our competitive position, business, financial conditions,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us and our current and future licensors regarding intellectual property subject to a license agreement, including:</w:t>
      </w:r>
    </w:p>
    <w:p>
      <w:pPr>
        <w:spacing w:after="0" w:line="18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 and the amount of fees payable as a result of sublicensing arrangements;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and/or us and/or our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Moreover, if disputes over intellectual property that we license prevent or impair our ability to maintain our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is not patentable, processes for which patents are difficult to enforce and other elements of our product discovery and development processes.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collaborators and suppliers. We cannot be certain that we have or will obtain these agreements in all circumstances and we cannot guarantee that we have entered into such agreements with each party that may have or has had access to our trade secrets or proprietary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obtain adequate remedies for such breaches. In addition, competitors and other third parties may otherwise gain access to our trade secrets or independently develop substantially equivalent information and techniques. If any of our trade secrets were to be lawfully obtained or independently developed by a competitor or other third party, we would have no right to prevent them from using that technology or information to compete with us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competitive position would be materially and adversely harmed.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property to third parties, we will not be able to establish or maintain a competitive advantage in our market, which could materially adversely affect our business, financial condition, results of operations and prospects.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unpredictable. If we choose to go to court to stop a third party from using any of our trade secrets, we may incur substantial costs. These lawsuits may consume our time and other resources even if we are successful and could have a material adverse effect on our business, financial conditions, results of operations and prospects.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immunotherapeutic, nanoparticle and viral vector-based products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intellectual property landscape around immunotherapeutic, nanoparticle and viral vector-based products is crowded and dynamic,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USPTO or oppositions and other comparable proceedings in foreign jurisdictions. We or any of our licensors or strategic partners may be party to, exposed to, or threatened with, adversarial proceedings or litigation by third parties having patent or other intellectual property rights alleging that our current or future product candidates and/or proprietary technologies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including our competitors, exist in the fields in which we are developing our product candidates. As the biotechnology and pharmaceutical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industries expand and more patents are issued, the risk increases that our product candidates may give rise to claims of infringement of the patent rights of others. Thus, because of the large number of patents issued and patent applications filed in our fields, there may be a risk that third parties may allege they have patent rights encompassing our product candidates, technologies or methods.</w:t>
      </w:r>
    </w:p>
    <w:p>
      <w:pPr>
        <w:spacing w:after="0" w:line="17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If a third party (including any third party that controls the above referenced patents) claims that we infringe, misappropriate or otherwise violate its intellectual property rights (including the above referenced patents), we may face a number of risks, including, but not limited to:</w:t>
      </w:r>
    </w:p>
    <w:p>
      <w:pPr>
        <w:spacing w:after="0" w:line="158" w:lineRule="exact"/>
        <w:rPr>
          <w:sz w:val="20"/>
          <w:szCs w:val="20"/>
          <w:color w:val="auto"/>
        </w:rPr>
      </w:pPr>
    </w:p>
    <w:p>
      <w:pPr>
        <w:ind w:left="660" w:right="2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 consuming to litigate and may divert our management’s attention from our core business and may impact our reputation;</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3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our share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7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of matter, methods of manufacture or methods for treatment related to our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 candidates, their manufacture or use.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 exclusive basis. There may be currently pending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product candidates, process for their manufacture or methods of use, including combination therapies or participant selection methods, the holders of any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in-license or may own in the future is threatened, it could dissuade companies from collaborating with us to license, develop or commercialize current or future product candidates.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absence of litigation, we may need or may choose to obtain licenses from third parties to advance our research or allow commercialization of our product candidates. We may fail to obtain any of these licenses at a reasonable cost or on reasonable terms, if at all. Even if we were able to obtain a license, it could be non-exclusive, thereby giving our competitors and other third parties access to the same technologies licensed to us, and it could require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us to make substantial licensing and royalty payments. We also could be forced, including by court order, to cease developing, manufacturing, and commercializing the infringing technology or product candidates. In that event, we would be unable to further develop and commercialize our product candidates, which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develop and commercialize our product candidates. Many pharmaceutical companies, biotechnology companies, and academic institutions are competing with us in the fields of infectious disease, I&amp;I and oncology and filing patent applications potentially relevant to our business. Because our current and future product candidates may require the use of proprietary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held by third parties, the growth of our business will likely depend in part on our ability to acquire, in-license or use these proprietary rights.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product candidates may also require particular vector components or gene sequences encoding antigenic peptides to work effectively and efficiently and these rights may be held by others. Similarly, efficient production, delivery or use of our product candidates may also require specific compositions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may be required to expend significant time and resources to develop or license replacement technology. Moreover, the molecules that will be used with our product candidates may be covered by the intellectual property rights of others.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program and allowing third parties to compete with us. If we are unable to successfully obtain rights to required third-party intellectual property or to maintain the existing intellectual property rights we have, we may have to abandon development of such programs and our business and financial condition could suffer.</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enable us to make an appropriate return on our investment or at all. There can be no assurance that we will be able to successfully complete such negotiations and ultimately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intellectual property rights, including any patents we may own or in- license in the future, which could be expensive, time-consuming and unsuccessful.</w:t>
      </w:r>
    </w:p>
    <w:p>
      <w:pPr>
        <w:spacing w:after="0" w:line="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Competitors may infringe any patents we in-license or may own in the future. In addition, any patents we may in-license or own also may become involved in inventorship, priority, validity or unenforceability disputes. To counter infringement or unauthorized use, we may be required to file infringement claims,</w:t>
      </w:r>
    </w:p>
    <w:p>
      <w:pPr>
        <w:jc w:val="both"/>
        <w:spacing w:after="0" w:line="208" w:lineRule="auto"/>
        <w:rPr>
          <w:sz w:val="20"/>
          <w:szCs w:val="20"/>
          <w:color w:val="auto"/>
        </w:rPr>
      </w:pPr>
      <w:r>
        <w:rPr>
          <w:rFonts w:ascii="Times New Roman" w:cs="Times New Roman" w:eastAsia="Times New Roman" w:hAnsi="Times New Roman"/>
          <w:sz w:val="18"/>
          <w:szCs w:val="18"/>
          <w:color w:val="auto"/>
        </w:rPr>
        <w:t>which can be expensive and time-consuming. We may not prevail in any lawsuits that we initiate, and the damages or other remedies awarded, if any, may not be commercially meaningful. In addition, in an infringement proceeding, a court may decide that one or more of any patents we may in-license or own in the future is not valid or is unenforceable or that the other party’s use of our technology falls under the safe harbor to patent infringement under 35</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U.S.C. §271 (e)(1). There is also the risk that, even if the validity of these patents is upheld, the court may refuse to stop the other party from using the technology at issue on the grounds that our patents do not cover the technology in question or that such third party’s activities do not infringe our patents. An adverse result in any litigation or defense proceedings could put one or more of any patents we in-license or may own in the future at risk of being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in-license or own in the future. These proceedings are expensive and an unfavorable outcome could result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EPO, or similar proceedings in other foreign patent offices, where our foreign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patents are challenged. The costs of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adverse effect on the price of our ADSs.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may not be able to detect infringement of any patents we may in-license or own. Even if we detect infringement by a third party of any such patents, we may choose not to pursue litigation against or settlement with the third party. If we later sue such third party for patent infringement, the third party may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requirements imposed by governmental patent agencies, and patent protection could be reduced or eliminated for non- compliance with these requirements.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patents and patent applications are due to be paid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documents. In such an event, our competitors and other third parties might be able to enter the market with similar or identical products or platforms, which could have a material adverse effect on our business prospects and financial condition.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in-license or may own now or in the future covering our product candidates could be narrowed or found invalid or unenforceable if challenged in court or before administrative bodies in the United States or abroad, including the USPTO.</w:t>
      </w:r>
    </w:p>
    <w:p>
      <w:pPr>
        <w:spacing w:after="0" w:line="14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made a misleading statement, during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interference proceedings, derivation proceedings and equivalent proceedings in foreign jurisdictions (such as opposition proceedings). Such proceedings could result in revocation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amendment to our in-licensed patent applications or patents or any patent applications or patents we may own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applications or any patents we in-license or may own in the future, allow third parties to commercialize our product candidates or other technologies and compete directly with us, without payment to us, or result in our inability to manufacture or commercialize products without infringing third-party patent rights.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any intellectual property, including any patents we may in-license or own in the future.</w:t>
      </w:r>
    </w:p>
    <w:p>
      <w:pPr>
        <w:spacing w:after="0" w:line="14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any patents we in-license or may own in the future, trade secrets, or other intellectual property as an inventor or co-inventor. For example, we may have inventorship disputes arise from conflicting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time-consuming. Litigation may be necessary to defend against these and other claims challenging inventorship of any patents we in-license or may own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 solicitation agreements with our competitors or other third parties.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otherwise used or disclosed confidential information or trade secrets of these third parties. In addition, we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results of hearings, motions or other interim proceedings or developments, and, if securities analysts or investors perceive these results to be negative, it could have a substantial adverse effect on our share price. This type of litigation or proceeding could substantially increase our operating losses and reduce our resources available for development activities. We may not have sufficient financial or other resources to adequately conduct such litigation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that provide that all inventions conceived by the individual, and which are related to our current or planned business or research and development or made during normal working hours, on our premises or using our equipment or proprietary information, are our exclusive property, we may</w:t>
      </w:r>
    </w:p>
    <w:p>
      <w:pPr>
        <w:jc w:val="both"/>
        <w:spacing w:after="0" w:line="208" w:lineRule="auto"/>
        <w:rPr>
          <w:sz w:val="20"/>
          <w:szCs w:val="20"/>
          <w:color w:val="auto"/>
        </w:rPr>
      </w:pPr>
      <w:r>
        <w:rPr>
          <w:rFonts w:ascii="Times New Roman" w:cs="Times New Roman" w:eastAsia="Times New Roman" w:hAnsi="Times New Roman"/>
          <w:sz w:val="18"/>
          <w:szCs w:val="18"/>
          <w:color w:val="auto"/>
        </w:rPr>
        <w:t>be unsuccessful in executing such an agreement with each party who, in fact, develops intellectual property that we regard as our own. The assignment of intellectual property rights may not be self- executing, or the assignment agreements may be breached, and we may be forced to bring claims against third parties, or defend claims that they may bring against us, to determine the ownership of what we regard as our intellectual property. Such claims could have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of our current or future product candidates we may develop, our business may be materially harmed.</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current or future product candidates we may develop, one or more U.S. patents we in-license or may own in the future may be eligible for limited patent term extension under the Hatch-Waxman Amendments. The Hatch-Waxman Amendments permit a patent term extension of up to five years as compensation for patent term lost during the FDA regulatory review</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biologics, separate non-patent exclusivity under the BPCIA may apply. The FDA cannot make approval of a biosimilar effective until 12 years after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reference product’s first licensure, but policy changes could affect the scope or duration of this exclusivity, and competitors may nonetheless pursue full BLAs. As a result, even with patents and any extensions, competition from biosimilars or other biologics could occur earlier than anticipated.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obtain patent term extension or the term of any such extension is shorter than what we request, our competitors or other third parties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may obtain approval of competing products following expiration of any patents that issue from our patent applications, and our business, financial condition, results of operations, and prospects could be materially harmed.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 in the United States and in foreign jurisdictions could diminish the value of patents in general, thereby impairing our ability to protect our products.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both technological and legal complexity, and is therefore costly, time-consuming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courts, and the USPTO, the laws and regulations governing patents could change in unpredictable ways that would weaken our ability to obtain new patents or to enforce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U.S. Supreme Court held that certain claims to DNA molecules are not patentable. Any adverse changes in the patent laws of other jurisdictions could have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Recent or future patent reform legislation could also increase the uncertainties and costs surrounding the prosecution of our patent applications and the enforcement or defense of any patents we in-license or may own in the future. The United States has enacted and implemented wide-ranging patent reform legislation. On September 16, 2011, the Leahy-Smith America Invents Act ("America Invents Act"), was signed into law, which includes a number of</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countries are confidential for a period of time after filing or until issuance, we cannot be certain that we or our licensors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in-license or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in the future,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Unified Patent Court (UPC) for the European Union, that was fully ratified and came into being in 2023. We may decide to opt out our European patents and patent applications from the UPC. However, if certain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always have been adjudicated. Such a loss of patent protection could have a material adverse impact on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business and our ability to commercialize our technology and product candidates and, resultantly, on our business, financial condition, prospects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Consequently, we may not be able to prevent third parties from practicing our inventions in all countries outside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 with our products, and our patents or other intellectual property rights may not be effective or sufficient to prevent them from competing.</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advantage from the intellectual property that we develop or license.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remedies, which could materially diminish the value of the relevant patent rights.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5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or diluted, lapsed, abandoned, circumvented or declared generic or determined to be infringing on or become dilutive of other marks, or otherwise invalidated through administrative process or litigation. We intend to rely on both registration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common law protection for our trademarks. We may not be able to protect our rights to these trademarks and trade names or may be forced to stop using these names, which we need for name recognition by potential partners or customers in our markets of interest. Third parties may use trademarks similar to our trademarks and any potential confusion as to the source of goods or services could have an adverse effect on our business. However, if such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third party continues to assert its claims, we cannot provide any assurance whether we could reach a settlement relating to such claims or whether we would prevail in any litigation or action related to such claims.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during the trademark registration process, we may receive Office Actions from the USPTO objecting to the registration of our trademarks.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Although we would be given an opportunity to respond to those objections, we may be unable to overcome such rejections. In addition, at the USPTO and at comparable agencies in many foreign jurisdictions, third parties are given an opportunity to oppose pending trademark applications and/or to seek the cancellation of registered trademarks through opposition or cancellation proceedings against our trademarks, and if such third parties are successful,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trademarks may not survive such proceedings. In some cases, there may be third-party trademark owners who have prior rights to our trademarks or third parties who have prior rights to similar trademarks, and we may not be able to prevent such third parties from using and marketing any such trademarks. Litigation brought to protect and enforce our intellectual property rights could be costly, unpredictable, time-consuming and distracting to management,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whether we are successful in such litigation. If we are unable to obtain a registered trademark or establish name recognition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based on our trademarks and trade names, we may not be able to compete effectively and our business, results of operations and financial condition may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the relevant patent rights.</w:t>
      </w:r>
    </w:p>
    <w:p>
      <w:pPr>
        <w:spacing w:after="0" w:line="18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4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in-license may not lead to issued patents;</w:t>
      </w:r>
    </w:p>
    <w:p>
      <w:pPr>
        <w:spacing w:after="0" w:line="9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we in-license or may own in the future, may not provide us with any competitive advantages, may be narrowed in scope, or may be challenged and held invalid or unenforceable;</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in-license or may own in the future;</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9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a patent application that we own or in-license;</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a particular invention;</w:t>
      </w:r>
    </w:p>
    <w:p>
      <w:pPr>
        <w:spacing w:after="0" w:line="9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9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Employee Matters, Managing Our Growth and Other Risks Related to Our Employee Matters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pipeline prioritization and restructuring may be unsuccessful, lead to additional costs, disrupt our operations, create unintended problems in our workforce, or increase litigation risk, in which case our business could be harmed.</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2024, we announced plans to prioritize our pipeline to focus on the development of VTP-300 in CHB and VTP-1000 in celiac disease, including a workforce reduction of approximately 25%. On January 10, 2025, we announced a restructuring plan that aims to prioritize our immune tolerance research and development programs, including a reduction in workforce. As of December 31, 2025, we had 14 full-time and part-time employees.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Despite our efforts, the pipeline prioritization and restructuring may be unsuccessful, lead to additional costs, disrupt our operations, create unintended problems in our workforce, and increase litigation risk, which could harm our business and results of operations. We may incur additional costs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currently contemplated due to events that may occur as a result of, or that are associated with, the pipeline prioritization and restructuring. We may not realize, in full or in part, the anticipated benefits and savings from the pipeline prioritization and restructuring due to unforeseen difficulties, delays or unexpected costs. If we are unable to realize the expected operational efficiencies and cost savings from the pipeline prioritization and restructuring,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operating results and financial condition would be adversely affected. Moreover, our decision to focus on the development of VTP-1000 in celiac disease may cause us to fail to capitalize on viable commercial products or profitable market opportunities or limit the opportunities we are able to pursue.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we may need to undertake additional workforce reductions or restructuring activities in the future. Furthermore, the pipeline prioritization and restructuring could yield unanticipated consequences, such as increased difficulties in our day-to-day operations, the loss of institutional knowledge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expertise, attrition beyond planned workforce reductions, reduced employee morale, and difficulty attracting and retaining qualified management, scientific, and other personnel critical to our business. In addition, while positions have been eliminated, certain functions necessary to our operations remain, and we may be unsuccessful in distributing the duties and obligations of departed employees among our remaining employees. If employees who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were not affected by the workforce reduction pursue alternative employment, we may need to seek contractor support, which could harm our productivity and add unplanned expense. The implementation of the workforce restructuring could also lead to litigation brought by or on behalf of our former employees.</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Bill Enright, our Chief Executive Officer. The loss of the services of any of our executive officers, other key employees and other scientific and medical advisors, and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inability to find suitable replacements could result in delays in product development and harm our business.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may experience changes in key leadership or key positions in the future. The departure of key leadership personnel can result in loss of significant knowledge and experience from the company. This loss of knowledge and experience can be mitigated through successful hiring and transition, but there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would affect our ability to meet our challenges and may cause us to miss performance objectives or financial targets.</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conduct our operations at our facilities in Germantown, Maryland. This region is the headquarters to many other biopharmaceutical companies and many academic and research institutions. Competition for skilled personnel in these markets is intense and may limit our ability to hire and retain highly qualified personnel on acceptable terms, or at all. Changes to U.S. or similar foreign immigration and work authorization laws and regulations, including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those that restrain the flow of scientific and professional talent, can be significantly affected by political forces and levels of economic activity. Our business may be materially adversely affected if legislative or administrative changes to the U.S. or similar foreign immigration or visa laws and regulations impair our hiring processes and goals or projects involving personnel who are not U.S. citizens.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share price that are beyond our control, and may at any time be insufficient to counteract more lucrative offers from other companies. Despite our efforts to retain valuable employees, members of our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 scientific and development teams may terminate their employment with us on notice periods specified in their employment agreements. Although we have employment agreements with all our employees, these employment agreements with U.S. employees provide for at-will employment, which means that any of our U.S. employees could leave our employment at any time, by providing the required contractual notification of their intent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leave. The standard notice period for U.K. employed personnel is three calendar months or six calendar months for the senior executive team. Our success also depends on our ability to continue to attract, retain and motivate highly skilled junior, mid-level and senior managers as well as junior, mid-level and senior scientific and medical personnel.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of December 31, 2025, we had 14 full-time and part-time employees. As our development and commercialization plans and strategies develop, we expect to need additional managerial, operational, technical, sales, marketing, financial and other personnel, as well as additional facilities to expand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Future growth would impose significant added responsibilities on members of management, including:</w:t>
      </w:r>
    </w:p>
    <w:p>
      <w:pPr>
        <w:spacing w:after="0" w:line="5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and existing employees;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clinical trial sites in multiple countries;</w:t>
      </w:r>
    </w:p>
    <w:p>
      <w:pPr>
        <w:spacing w:after="0" w:line="90"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our product candidates, while complying with our contractual obligations to contractors and other third parties; and</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9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accuracy of the services provided by consultants is compromised for any reason, our clinical trials may be extended, delayed or terminated, and we may not be able to obtain marketing authorization for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16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CROs or other contractors or consultants, may fail or suffer security breaches, which could result in the disclosure of confidential or proprietary information, including personal data, damage to our reputation, and subject us to significant financial and legal exposure and cause a material disruption of the development programs of our product candidates.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and our third-party CROs and other contractors and consultants rely extensively on information technology systems to conduct and manage our business. Despite the implementation of security measures, our internal computer systems and those of our current and future third-party providers are vulnerable to damage from computer viruses and unauthorized access, including cybersecurity incidents and data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Cyberattacks could include wrongful conduct by insider employees or vendors, hostile foreign governments, industrial espionage, wire fraud and other forms of cyber fraud, the deployment of harmful malware, including ransomware, denial-of-service, social engineering fraud, including phishing attacks, data breaches, or other means to threaten data security, confidentiality, integrity and availability, and may be enhanced or facilitated by Artificial Intelligence (AI). Further, attempts to disrupt or gain unauthorized access to our and our third-party vendors’ information systems from malicious third-parties or insider threats may incorporate widely varying and frequently changing tactics, which may be enhanced or facilitated by AI. If such an event were to occur, it could result in the theft or destruction of intellectual property, data or other misappropriation of assets, or otherwise compromise our confidential or proprietary information and result in a material disruption of our development programs and our business operations, such as the loss of clinical trial data from completed or future clinical trials. Such loss could result in delays in our marketing authorization efforts and significantly increase our costs to recover or reproduce the data.</w:t>
      </w:r>
    </w:p>
    <w:p>
      <w:pPr>
        <w:spacing w:after="0" w:line="21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including organization-wide prevention software, we realize that cyberattacks are a threat, and there can be no assurance that our efforts will prevent information security breaches or data breaches that would result in business, legal, financial or reputational harm to us, or would have a material adverse effect on our business, financial condition, results of operations and prospects.</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Likewise, we rely on third parties for the manufacture of our product candidates and to conduct clinical trials, and similar events relating to their computer systems could also have a material adverse effect on our business. We rely on our third-party providers to implement effective security measures and identify and correct for any such failures, deficiencies or breaches.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threats and cybersecurity incidents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relating to our information technology systems and infrastructure. Any breach in our or our third-party providers’ information technology systems could lead to the unauthorized access, disclosure and use of non-public information, including information from our participant registry or other participant information, which is protected by HIPAA, and other laws. Any such access, disclosure, or other loss of information could result in legal notifications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disclosures, legal claims or proceedings, liability under laws that protect the privacy of personal information, damage to our reputation and the further development and commercialization of our product candidates could be delayed. If we or our third-party providers fail to maintain or protect our information technology systems and data integrity effectively or fail to anticipate, plan for or manage significant disruptions to our information technology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systems, we or our third-party providers could have difficulty preventing, detecting and controlling such cyberattacks and any such attacks could result in losses described above as well as disputes with physicians, participants and our partners, regulatory sanctions or penalties, increases in operating expenses, expenses or lost revenues or other adverse consequences, any of which could have a material adverse effect on our business, results of operations, financial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condition, prospects and cash flows. If we are unable to prevent or mitigate the impact of such cybersecurity or data privacy breaches, we could be exposed to litigation and governmental investigations, which could lead to a potential disruption to our business.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 candidates. Our ability to obtain clinical supplies of our product candidates could be disrupted if the operations of these suppliers are affected by a man-made or natural disaster or other business interruption.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 candidate for which we receive marketing authorization. For example, we may be sued if our product candidates cause or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4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participants;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inhibit the commercialization of products we develop, alone or with corporate collaborators. Although we have clinical trial insurance, our insurance policies also have various exclusions, and we may be subject to a product liability claim for which we have no coverage. In the future, we may be unable to maintain this insurance coverage, or we may not be able to obtain additional or replacement coverage at a reasonable cost, if at all. We may have to pay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economy or international trade disputes could also strain our third-party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International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internationally could materially adversely affect our business.</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plan to seek marketing authorization for our product candidates outside of the United States and, accordingly, we expect that we, and any potential collaborators in those jurisdictions, will be subject to additional risks related to operating in foreign countries, including:</w:t>
      </w:r>
    </w:p>
    <w:p>
      <w:pPr>
        <w:spacing w:after="0" w:line="37"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(including tariffs that have been or may in the future be imposed by the United States or other countries), trade protection measures, trade barriers (including further legislation or actions taken by the United States or other countries that restrict trade), price and exchange controls, and other regulatory requirements;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63"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63"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Office of Foreign Assets Control Anti-Money Laundering Program as required by the Bank Secrecy Act and its implementing regulations, or comparable foreign laws, including the U.K. Bribery Act 2010 ("Bribery Act");</w:t>
      </w:r>
    </w:p>
    <w:p>
      <w:pPr>
        <w:spacing w:after="0" w:line="3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6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ability to attain or maintain profitable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Accordingly, our future results could be harmed by a variety of factors, including the following:</w:t>
      </w:r>
    </w:p>
    <w:p>
      <w:pPr>
        <w:spacing w:after="0" w:line="2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in foreign economies and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potentially presenting different issues for securing, maintaining or obtaining freedom to operate in such jurisdictions;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63"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of the euro, U.S. dollar, pound sterling and currency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 or practice;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EU;</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terrorism, pandemics, or natural disasters including earthquakes, typhoons, floods and fires.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under English law and have our registered office in England. Many of the members of our senior management and certain members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board of directors are non-residents of the United States, and all or a substantial portion of our assets and the assets of such persons are held outside the United States. As a result, it may not be possible to serve process on such persons or us in the United States or to enforce judgments obtained in U.S. courts against them or us based on civil liability provisions of the U.S. federal securities laws.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the courts of England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Wales would entertain original actions brought in the U.K. against us or our directors or senior management predicated upon securities laws of the U.S.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a judgment for the sum payable under a U.S. judgment, the English judgment will be enforceable by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methods generally available for this purpose. These methods generally permit the courts of England and Wales discretion to prescribe the manner of enforcement.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U.S. investors may not be able to enforce against us or certain of our senior management, board of directors or certain experts named herein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who are residents of the U.K. or countries other than the United States any judgments obtained in U.S. courts in civil and commercial matters, including judgments under the U.S. federal securities laws.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exchange rate between the U.S. dollar and the pound sterling may increase the risk of holding our ADSs and may materially affect our results of operations and financial condition.</w:t>
      </w:r>
    </w:p>
    <w:p>
      <w:pPr>
        <w:spacing w:after="0" w:line="14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Our ADSs trade on Nasdaq in U.S. dollars. Due to the international scope of our operations, our assets, earnings and cash flows are influenced by movements in exchange rates of several currencies, particularly the U.S. dollar, the pound sterling and the euro. Our reporting currency is denominated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 dollars and our functional currency is the pound sterling (except that the functional currency of our U.S. subsidiaries is the U.S. dollar) and the majority of our operating expenses are paid in pound sterling. We also regularly acquire services, consumables and materials in U.S. dollars, pounds sterling, AUS dollars and the euro. Further potential future revenue may be derived particularly from the United States. As a result, our business and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price of our ADSs may be affected by fluctuations in foreign exchange rates between the pound sterling and these other currencies, which may also have a significant impact on our results of operations and cash flows from period to period. Currently, we do not have any exchange rate hedging arrangements in place. See Note 4 in the notes to our annual financial statements appearing elsewhere in this Annual Report for a description of foreign exchange risks.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euros on our ordinary shares represented by ADSs could also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ADSs may not be sustained.</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Prior to our IPO in May 2021, there had been no public trading market for our ADSs. Although our ADSs are listed on the Nasdaq Global Market, an active trading market for our shares may not be sustained. If an active market for our ADSs is not sustained, it may be difficult for holders of our ADSs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sell ADSs without depressing the market price for the shares, or at all. Further, an inactive market may also impair our ability to raise capital by selling our ADSs and may impair our ability to enter into strategic partnerships or acquire companies or products by using our ADSs as consideration.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management own a significant percentage of our stock and exert significant influence over matters subject to shareholder approval.</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of March 6, 2026, our executive officers, directors, and 5% shareholders beneficially owned approximately 46% of our voting stock. Depending on the level of attendance at our meetings of shareholders, these shareholders either alone or voting together as a group may be in a position to determine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significantly influence the outcome of decisions taken at any such meeting. Any shareholder or group of shareholders controlling more than 50% of the share capital present and voting at our meetings of shareholders may control any shareholder resolution requiring a simple majority, including the appointment of board members, certain decisions relating to our capital structure and the approval of certain significant corporate transactions. This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or discourage unsolicited acquisition proposals or offers for our ADSs that holders of our ADSs may feel are in their best interest as shareholders.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is volatile and holders of our ADSs could lose all or part of their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ADSs is highly volatile and subject to wide fluctuations in response to various factors, some of which are beyond our control,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including limited trading volume. In addition to the factors discussed in this “Risk Factors” section and elsewhere in this Annual Report, these factors include:</w:t>
      </w:r>
    </w:p>
    <w:p>
      <w:pPr>
        <w:spacing w:after="0" w:line="49" w:lineRule="exact"/>
        <w:rPr>
          <w:sz w:val="20"/>
          <w:szCs w:val="20"/>
          <w:color w:val="auto"/>
        </w:rPr>
      </w:pPr>
    </w:p>
    <w:p>
      <w:pPr>
        <w:ind w:left="660" w:hanging="328"/>
        <w:spacing w:after="0" w:line="250"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90"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marketing authorization for our product candidates;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9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or our shareholders in the future;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ADSs;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76"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shareholder litigation;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9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fail to regain compliance with the continued listing requirements of Nasdaq, our ADSs may be delisted and the price of our ADSs and our ability to access the capital markets could be negatively impacted.</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2025, we received a deficiency letter from Nasdaq indicating that, for the last 30 consecutive business days, the bid price for our ADSs had closed below the minimum $1.00 per share requirement for continued inclusion on the Nasdaq Global Market, referred to as the minimum bid price rule. In accordance with Nasdaq Listing Rules, we have 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initial period of 180 calendar days, or until June 29, 2026, to regain compliance with the minimum bid price rule. If we do not regain compliance with the minimum bid price rule by June 29, 2026, we may be eligible for an additional 180 calendar day compliance period. We intend to monitor the closing bid price of our ADSs and may, if appropriate, consider available options to regain compliance with the minimum bid price rule.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many factors that may adversely affect our ADS’ minimum bid price, including those described throughout this section titled “Item 1A. Risk Factors.” Many of these factors are outside of our control. As a result, we may not be able to sustain compliance with the minimum bid price rule in the long term. Any potential delisting of our ADSs from the Nasdaq would likely result in decreased liquidity and increased volatility for our ADSs and would adversely affect our ability to raise additional capital or to enter into strategic transactions. Any potential delisting of our ADSs from the Nasdaq would also make it more difficult for holders of our ADSs to sell our ADSs in the public market.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are not treated as holders of our ordinary shares.</w:t>
      </w:r>
    </w:p>
    <w:p>
      <w:pPr>
        <w:spacing w:after="0" w:line="2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Holders of ADSs are not treated as holders of our ordinary shares, unless they withdraw the ordinary shares underlying their ADSs in accordance with the deposit agreement and applicable laws and regulations. The depositary is the holder of the ordinary shares underlying our ADSs. Holders of ADSs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do not have any rights as holders of our ordinary shares, other than the rights that they have pursuant to the deposit agreement.</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will not have the same voting rights as the holders of our ordinary shares, and may not receive voting materials or any other documents that would need to be provided to our shareholders pursuant to English corporate law, including the Companies Act 2006, in time to be able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to exercise their right to vote.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Except as described elsewhere in this Annual Report and the deposit agreement, holders of the ADSs will not be able to exercise voting rights attaching to the ordinary shares represented by the ADSs. The deposit agreement provides that, upon receipt of notice of any meeting of holders of our ordinary shares,</w:t>
      </w:r>
    </w:p>
    <w:p>
      <w:pPr>
        <w:spacing w:after="0" w:line="2" w:lineRule="exact"/>
        <w:rPr>
          <w:sz w:val="20"/>
          <w:szCs w:val="20"/>
          <w:color w:val="auto"/>
        </w:rPr>
      </w:pPr>
    </w:p>
    <w:p>
      <w:pPr>
        <w:jc w:val="both"/>
        <w:ind w:right="20"/>
        <w:spacing w:after="0" w:line="203" w:lineRule="auto"/>
        <w:rPr>
          <w:sz w:val="20"/>
          <w:szCs w:val="20"/>
          <w:color w:val="auto"/>
        </w:rPr>
      </w:pPr>
      <w:r>
        <w:rPr>
          <w:rFonts w:ascii="Times New Roman" w:cs="Times New Roman" w:eastAsia="Times New Roman" w:hAnsi="Times New Roman"/>
          <w:sz w:val="18"/>
          <w:szCs w:val="18"/>
          <w:color w:val="auto"/>
        </w:rPr>
        <w:t>the depositary will fix a record date for the determination of ADS holders who shall be entitled to give instructions for the exercise of voting rights. Upon our request, the depositary shall distribute to the holders as of the record date (i) the notice of the meeting or solicitation of consent or proxy sent by us and</w:t>
      </w:r>
    </w:p>
    <w:p>
      <w:pPr>
        <w:spacing w:after="0" w:line="1" w:lineRule="exact"/>
        <w:rPr>
          <w:sz w:val="20"/>
          <w:szCs w:val="20"/>
          <w:color w:val="auto"/>
        </w:rPr>
      </w:pPr>
    </w:p>
    <w:p>
      <w:pPr>
        <w:ind w:right="20" w:firstLine="8"/>
        <w:spacing w:after="0" w:line="233" w:lineRule="auto"/>
        <w:tabs>
          <w:tab w:leader="none" w:pos="2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the manner in which instructions may be given by the holders. We cannot guarantee that ADS holders will receive the voting materials in time to ensure that they can instruct the depositary to vote the ordinary shares underlying their ADSs.</w:t>
      </w:r>
    </w:p>
    <w:p>
      <w:pPr>
        <w:spacing w:after="0" w:line="15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Otherwise, ADS holders will not be able to exercise their right to vote, unless they withdraw the ordinary shares underlying the ADSs they hold to vote them in person or by proxy in accordance with applicable laws and regulations and our articles of association. However, ADS holders may not know about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meeting far enough in advance to withdraw those ordinary shares. A shareholder is only entitled to participate in, and vote at, the meeting of shareholders, provided that it holds our ordinary shares as of the record date set for such meeting and otherwise complies with our Articles. In addition, the depositary’s liability to ADS holders for failing to execute voting instructions or for the manner of executing voting instructions is limited by the deposit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agreement. As a result, ADS holders may not be able to exercise their right to vote, and there may be nothing they can do if the ordinary shares underlying their ADSs are not voted as they requested or if their shares cannot be voted.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the transfer of their ADSs and the withdrawal of the underlying ordinary shares.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government or governmental body, or under any provision of the deposit agreement, or for any other reason, subject to the right of ADS holders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 agreement governing our ADSs representing our ordinary shares provides that, to the fullest extent permitted by law, holders and beneficial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owners of ADSs irrevocably waive the right to a jury trial of any claim they may have against us or the depositary arising out of or relating to our ADSs or the deposit agreement.</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this jury trial waiver provision is not permitted by applicable law, an action could proceed under the terms of the deposit agreement with a jury trial. If we or the depositary opposed a jury trial demand based on the waiver, the court would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trial waiver provision, courts will generally consider whether a 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favorable to the plaintiff(s) in any such action, depending on, among other things, the nature of the claims, the judge or justice hearing such claims, and the venue of the hearing.</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1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Although we have obtained research coverage from certain analysts, there can be no assurance that analysts will continue to cover us, or provide favorable coverage. If one or more of the analysts who cover us downgrades our stock or publishes inaccurate or unfavorable research about our business, our stock price may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decline. If one or more of these analysts ceases coverage of our company or fails to publish reports on us regularly, demand for our stock could decrease, which might cause our stock price and trading volume to decline.</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14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enacted in April 2012. For as long as we continue to be an emerging growth company, we may take advantage of exemptions from various reporting requirements that are applicable to other public companies that are not emerging growth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growth company for up to five years following the year in which we became a public company, although circumstances could cause us to lose that status earlier. We will remain an emerging growth company until the earlier of (1) the last day of the fiscal year (a) following the fifth anniversary of the date we became a public company, (b) in which we have total annual gross revenue of at least $1.235 billion or (c) in which we are deemed to be a large accelerated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filer, which requires the market value of our ADSs that are held by non-affiliates to exceed $700 million as of the prior June 30th, and (2) the date on which we have issued more than $1 billion in non-convertible debt during the prior three-year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private companies. We have elected to avail ourselves of this exemption and, therefore, we will not be subject to the same timing of adoption of new or revised accounting standards as other public companies that are not emerging growth companies.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may allow us to continue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take advantage of many of the same exemptions from disclosure requirements, including reduced disclosure obligations regarding executive compensation in this Annual Report and our periodic reports and proxy statements.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16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an English public company listed in the U.S., and our board of directors will be required to devote substantial time to new compliance initiatives and corporate governance practices.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English public company listed in the U.S., we incur significant legal, accounting and other expenses that we did not incur as a private company.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 the Sarbanes-Oxley Act, the Dodd-Frank Wall Street Reform and Consumer Protection Act, the listing requirements of Nasdaq, and other applicable securities rules and regulations impose various requirements on foreign reporting public companies, including the establishment and maintenance of effective disclosure and financial controls and corporate governance practices. Our board of directors, management and other personnel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need to devote a substantial amount of time to these compliance initiatives. Moreover, these rules and regulations increase our legal and financial compliance costs and make some activities more time-consuming and costly. For example, these rules and regulations may make it more difficult and more expensive for us to obtain director and officer liability insurance, which in turn could make it more difficult for us to attract and retain qualified members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board of directors. In addition, after we no longer qualify as an emerging growth company, we expect to incur additional legal, accounting and other expenses.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compliance matters and higher costs necessitated by ongoing revisions to disclosure and governance practices.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Global Market. Pursuant to Section 404 of the Sarbanes-Oxley Act, we are required to perform system and process evaluation and testing of our internal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control over financial reporting to allow our management to report on the effectiveness of our internal control over financial reporting. See section entitled “Controls and Procedures – Management’s Annual Report on Internal Controls Over Financial Reporting.” However, while we remain an emerging growth company, we will not be required to include an attestation report on internal control over financial reporting issued by our independent registered public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accounting firm. We will incur substantial additional professional fees and internal costs to expand our accounting and finance functions and expend significant management efforts.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if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approved, sales of our product candidates. These upfront and milestone payments may vary significantly from period to period and any variance could cause a significant fluctuation in our operating results from one period to the next.</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our operating results may fluctuate due to a variety of other factors, many of which are outside of our control and may be difficult to predict, including the following:</w:t>
      </w:r>
    </w:p>
    <w:p>
      <w:pPr>
        <w:spacing w:after="0" w:line="41" w:lineRule="exact"/>
        <w:rPr>
          <w:sz w:val="20"/>
          <w:szCs w:val="20"/>
          <w:color w:val="auto"/>
        </w:rPr>
      </w:pPr>
    </w:p>
    <w:p>
      <w:pPr>
        <w:ind w:left="660" w:hanging="328"/>
        <w:spacing w:after="0" w:line="23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and any future product candidates, which will change from time to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current and any other future product candidates;</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any future product candidates, which may vary depending on regulatory guidelines and requirements, the quantity of production and the terms of our agreements with manufacturers;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our future growth;</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The price of our ADSs could decline even when we have met any previously publicly stated revenue and/or earnings guidance we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represented by the ADSs or any value for them if it is illegal or impractical to make them available to holders of ADSs.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depositary for the ADSs has agreed to pay to holders of our ADSs the cash dividends or other distributions it or the custodian receives on our ordinary shares or other deposited securities after deducting its fees and expenses. Shareholders will receive these distributions in proportion to the number of our ordinary shares those ADSs represent. However, in accordance with the limitations set forth in the deposit agreement, it may be unlawful or impractical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a distribution available to holders of ADSs. We have no obligation to take any other action to permit distribution on the ADSs, ordinary shares, rights or anything else to holders of the ADSs. This means that holders of our ADSs may not receive the distributions we make on our ordinary shares or any value from them if it is unlawful or impractical to make them available to holders of our ADSs. These restrictions may have an adverse effect on the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ADSs.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ADSs, so any returns will be limited to the value of our ordinary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dividends can be declared and paid. Therefore, we must have distributable profits before declaring and paying a dividend. In addition, as a public limited company incorporated in England and Wales, we will only be able to make a distribution if the amount of our net assets is not less than the aggregate of our called-up share capital and undistributable reserves and if, and to the extent that, the distribution does not reduce the amount of those assets to less than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not paid dividends in the past on our ordinary shares. We currently anticipate that we will retain future earnings for the development, operation, and expansion of our business and do not anticipate declaring or paying any cash dividends for the foreseeable future. In addition, we may enter into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agreements that prohibit us from paying cash dividends without prior written consent from our contracting parties, or which other terms prohibiting or limiting the amount of dividends that may be declared or paid on our ADSs. Any return to shareholders and holders of our ADSs will therefore be limited to the appreciation of their stock, which may never occur.</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certain capital structure decisions require shareholder approval, which limits our flexibility to manage our capital 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English law provides that a board of directors may only allot shares (or grant rights to subscribe for or to convert any security into shares) with the prior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authorization of shareholders, such authorization stating the aggregate nominal amount of shares that it covers and being valid for a maximum period of five years, each as specified in our Articles or relevant ordinary resolution passed by shareholders at a general meeting. Such authority from our shareholders to allot shares (or grant rights to subscribe for or to convert any security into shares) for a period of five years from April 21, 2021 was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included in the ordinary resolution passed by our shareholders on April 21, 2021, which authorization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but may be sought more frequently for additional five-year terms (or any shorter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However, it is possible for the Articles, or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if the disapplication is contained in the Articles, but not longer than the duration of the authority to allot shares to which this disapplication relates or from the date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 special resolution, if the disapplication is by shareholder special resolution. In either case, this disapplication would need to be renewed by our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Such authority from our shareholders to disapply preemptive rights for a period of five years was included in the special resolution passed by our shareholders on April 21, 2021, which disapplication will need to be renewed upon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 but may be sought more frequently for additional five- year terms (or any shorter period).</w:t>
      </w:r>
    </w:p>
    <w:p>
      <w:pPr>
        <w:spacing w:after="0" w:line="16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(the "Takeover Code"), will not apply if our place of central management and control is considered to be outside of the U.K. (or the Channel Islands or the Isle of Man).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place of central management and control is not in the U.K. (or the Channel Islands or the Isle of Man) for the purposes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(the "Takeover Panel"),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changes (including changes to the way in which the Takeover Panel assesses the application of the Takeover Code to English companies whose shares are listed outside of the U.K.), the Takeover Code may apply to us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Takeover Panel has confirmed that, from February 3, 2027, the location of the Company’s place of central management and control will no longer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relevant in determining whether the Takeover Code applies to the Company. From February 3, 2027, the Takeover Code will only apply to the Company in the event that our securities are quoted on a UK regulated market (or U.K. multilateral trading facility or certain exchanges in the Channel Islands or the Isle of 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companies which are subject to the Takeover Code are regulated and conducted. The following is a brief summary of some of the most important rules of the Takeover Code:</w:t>
      </w:r>
    </w:p>
    <w:p>
      <w:pPr>
        <w:spacing w:after="0" w:line="172" w:lineRule="exact"/>
        <w:rPr>
          <w:sz w:val="20"/>
          <w:szCs w:val="20"/>
          <w:color w:val="auto"/>
        </w:rPr>
      </w:pPr>
    </w:p>
    <w:p>
      <w:pPr>
        <w:jc w:val="both"/>
        <w:ind w:left="660" w:right="20" w:hanging="328"/>
        <w:spacing w:after="0" w:line="22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56"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offer which is not a mandatory offer), when interests in shares representing 10% or more of the voting rights of a class have been acquired for cash by an offeror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5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making an offer for a company, the offeror or any person acting in concert with them acquires an interest in shares in an offeree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target) at a price higher than the value of the offer, the offer must be increased to not less than the highest price paid for the interest in shares so acquired;</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offeree company must appoint a competent independent adviser whose advice on the financial terms of the offer must be made known to all the shareholders, together with the opinion of the board of directors of the offeree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right="20" w:hanging="328"/>
        <w:spacing w:after="0" w:line="23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under the laws of England and Wales. The rights of holders of ordinary shares and, therefore, certain of the rights of holders of ADSs,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are governed by the laws of England and Wales, including the provisions of the U.K. Companies Act 2006, and by our Articles. These rights differ in certain respects from the rights of shareholders in typical U.S.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differences include the following:</w:t>
      </w:r>
    </w:p>
    <w:p>
      <w:pPr>
        <w:spacing w:after="0" w:line="198" w:lineRule="exact"/>
        <w:rPr>
          <w:sz w:val="20"/>
          <w:szCs w:val="20"/>
          <w:color w:val="auto"/>
        </w:rPr>
      </w:pPr>
    </w:p>
    <w:p>
      <w:pPr>
        <w:ind w:left="660" w:hanging="328"/>
        <w:spacing w:after="0" w:line="237"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certain significant transactions;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17"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 (including those represented by 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(including those represented by ADSs) voting for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one or more qualifying persons present at a meeting and between them holding (or being the proxy or corporate representative of the holders of) at least thirty-three and one-third percent (33 1/3%) in number of the issued shares (excluding any shares held as treasury shares) entitled to attend and vote on the business to be transacted.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5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Articles provide that the courts of England and Wales are the exclusive forum for the resolution of all shareholder complaints other than complaints asserting a cause of action arising under the Securities Act or the Exchange Act, and that the United States District Court for the Southern</w:t>
      </w:r>
    </w:p>
    <w:p>
      <w:pPr>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District of New York will be the exclusive forum for the resolution of any shareholder complaint asserting a cause of action arising under the Securities Act or the Exchange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Articles provide that, unless we consent by ordinary resolution to the selection of an alternative forum, the courts of England and Wales shall, to the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fullest extent permitted by law, be the exclusive forum for: (a) any derivative action or proceeding brought on our behalf; (b) any action or proceeding asserting a claim of breach of fiduciary duty owed by 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of our directors, officers or other employees to us; (c) any action or proceeding asserting a claim arising out of any provision of the U.K. Companies Act 2006 or our Articles (as may be amended from time to time); or (d) any action or proceeding asserting a claim or otherwise related to our affairs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“England and Wales Forum Provision”). The England and Wales Forum Provision will not apply to any causes of action arising under the Securities Act or the Exchange Act. Our Articles further provide that unless we consent by ordinary resolution to the selection of an alternative forum, the United States District Court for the Southern District of New York shall be the exclusive forum for resolving any complaint asserting a cause of action arising under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Securities Act or the Exchange Act (the “U.S. Federal Forum Provision”). In addition, our Articles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and the rules and regulations thereunder.</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England and Wales Forum Provision and the U.S. Federal Forum Provision in our Articles may impose additional litigation costs on our shareholders in pursuing any such claims. Additionally, the forum selection clauses in our Articles may limit the ability of our shareholders to bring a claim in a judicial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such judgments may be more or less favorable to us than our shareholders.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 could adversely affect our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Internal Revenue Service and the U.S. Treasury Department. For example, the One Big Beautiful Bill Act (the “OBBBA”) was signed into law on July 4, 2025 and made significant changes to U.S. federal tax law. Changes to tax laws (which changes may have retroactive application) could adversely affect us or holders of our ordinary shares or ADSs. We are evaluating the elections available under the OBBBA. Based on our current assessment, we do not expect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changes to Section 174 under the OBBBA to have a material impact on our financial position or results of operations. For example, under Section 174 of the Internal Revenue Code of 1986, as amended (the "Code"), in taxable years beginning after December 31, 2021, expenses that are incurred for research and development performed outside the U.S. will be capitalized and amortized, which may have an adverse effect on our cash flow. The OBBBA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("PFIC"), for prior taxable years and we may be a PFIC in the current or future taxable years, which could result in adverse U.S. federal income tax consequences to U.S. Holders.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(i) 75% or more of our gross income consists of passive income or (ii) 50% or more of the average quarterly value of our assets consists of assets that produce, or are held for the production of, passive income. For the purposes of these tests, passive income includes dividends, interest, gains from the sale or exchange of investment property and certain rents and royalties. In addition, for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qualify as a PFIC, including ineligibility for any preferred tax rates on capital gains or on actual or deemed dividends, interest charges on certain taxes treated as deferred and additional reporting requirements. A “U.S. Holder” is a holder who, for U.S. federal income tax purposes, is a beneficial owner of ordinary shares or ADSs and is: (i) an individual who is a citizen or individual resident of the United States; (ii) a corporation, or other entity taxable as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corporation for U.S. federal income tax purposes,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(2) the trust has a valid election to be treated as a U.S. person under applicable U.S. Treasury Regulations.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Based on the current and expected composition of our income and the value of our assets, we were a PFIC for the year ended December 31, 2025 and expect to remain a PFIC for our current taxable year (or the portion of our current taxable year ending on or prior to the consummation of the Scheme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Transaction, as applicable).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which will depend on the transactions we enter into in the future and our corporate structure. The composition of our income and assets is also affected by the spending of the cash we raise in any offering.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U.S. Holder should consult its own tax advisors with respect to the potential adverse U.S. tax consequences to it if we are or were to become a PFIC.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ADSs, certain adverse U.S. federal income tax consequences could apply to such U.S. investor. We will provide the information necessary for a U.S. investor to make a qualified electing fund election with respect to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a controlled foreign corporation, there could be adverse U.S. federal income tax consequences to certain U.S. Holders.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Each “Ten Percent Shareholder” (as defined below) in a non-U.S. corporation that is classified as a “controlled foreign corporation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In addition, if a non-U.S. corporation owns at least one U.S. subsidiary, under applicable law for taxable years ending before January 1, 2026, any current non-U.S. subsidiaries and any future newly formed or acquired non-U.S. subsidiaries of the non-U.S. corporation will be treated as CFCs, regardless of whether the non-U.S. corporation is treated as a CFC. Subpart F income generally includes dividends, interest, rents, royalties, gains from the sale of securities and income from certain transactions with related parties. Each Ten Percent Shareholder of a CFC is also required to include in income such Ten Percent Shareholder’s share of “global intangible low-taxed income” (for tax years beginning after December 31, 2017 and prior to January 1, 2026) and “net CFC tested income” (for tax years beginning after December 31, 2025) with respect to such CFC.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(1) the value of all classes of stock of such corporation or (2) the total combined voting power of all classes of stock entitled to vote of such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we were a CFC in 2025, and (prior to the consummation of the Scheme Transaction) we do not expect to be a CFC in 2026.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determination of CFC status is complex and includes attribution rules, the application of which is not entirely certain. An individual that is a Ten Percent Shareholder with respect to a CFC generally would not be allowed certain tax deductions or foreign tax credits that would be allowed to a Ten Percent Shareholder that is a U.S. corporation. Failure to comply with CFC reporting obligations may subject a United States shareholder to significant monetary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penalties. We cannot provide any assurances that we will furnish to any Ten Percent Shareholder information that may be necessary to comply with the reporting and tax paying obligations applicable under the CFC rules of the Code. U.S. Holders should consult their own tax advisors with respect to the potential adverse U.S. tax consequences of becoming a Ten Percent Shareholder in a CFC.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procedures, are designed to prevent fraud. Any failure to implement required new or improved controls, or difficulties encountered in their implementation could cause us to fail to meet our reporting obligations.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testing required to be conducted by us in connection with Section 404 of the Sarbanes-Oxley Act, and any subsequent testing by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Deficient internal controls could also cause investors to lose confidence in our reported financial information, which could have a negative effect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price of our ADSs.</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price of our ADSs.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including changes relating to our application of the requirements of Section 404 of the Sarbanes-Oxley Act, may distract our officers and employees, entail substantial costs to modify our existing processes, and take significant time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and make it more difficult for us to continue to discover and develop novel immunotherapeutics for the treatment of immunetolerance.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U.K.'s withdrawal from the European Union could increase the regulatory burden of product development and authorization in the U.K. and European Union.</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U.K. formally left the European Union on 31 January 2020 (commonly referred to as Brexit). The European Union and the U.K. have concluded a trade and cooperation agreement (“TCA”) which has been formally applicable since May 1, 2021. The TCA includes specific provisions concerning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pharmaceuticals, which include the mutual recognition of GMP, inspections of manufacturing facilities for medicinal products and GMP documents issued, but does not provide for wholesale mutual recognition of the U.K. and European Union pharmaceutical regulations. As a result, a separate application must be made to conduct a clinical trial in the U.K. as well as the European Union and a separate U.K. marketing authorization is required to commercialize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medicinal product in the U.K. as well as the European Union. Obtaining such regulatory approvals is a lengthy and expensive process and this therefore adds time and expense to the conduct of our business in both the U.K. and European Union. In addition, the U.K. is seeking to reform aspects of the medicines legislation following its departure from the European Union. For example, on December 12, 2024, the U.K. government introduced a legislative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proposal that, if implemented, will replace the current regulatory framework for clinical trials in the U.K. If we are slow or unable to adapt to changes in existing requirements or the adoption of new requirements or policies governing clinical trials and the development of medicinal products in the U.K. and/or European Union, our development plans may be impacted. If we fail to comply with the regulatory requirements, our target market will be reduced and our ability to realize the full market potential of our product candidates will be harmed and our business, financial condition, results of operations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 will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w:t>
      </w:r>
      <w:r>
        <w:rPr>
          <w:rFonts w:ascii="Times New Roman" w:cs="Times New Roman" w:eastAsia="Times New Roman" w:hAnsi="Times New Roman"/>
          <w:sz w:val="18"/>
          <w:szCs w:val="18"/>
          <w:color w:val="auto"/>
        </w:rPr>
        <w:t>y</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normal course of business, we may collect and store personal information and other sensitive information, including proprietary and confidential business information, financial information, trade secrets, intellectual property, information regarding trial participants in connection with clinical trials, sensitive third-party information and employee information. In an effort to protect this information from cybersecurity risks, we have developed a cybersecurity program that has been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integrated into our overall risk management process; it incorporates policies and practices designed to protect the confidentiality, integrity and security of our sensitive information.</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part of our cybersecurity risk management procedures, we perform system monitoring and scanning and utilize security tools supported by a third-party managed services provider. We also conduct penetration testing performed by a third-party provider. Employees are enrolled in cybersecurity awareness training courses designed to help them identify cybersecurity concerns and take appropriate actions, and we conduct periodic simulated phishing tests in an effort to further raise cybersecurity awareness and reduce the risk of a successful cyberattack. We have an incident response plan to guide us in responding to cybersecurity incidents, and have conducted tabletop exercises to test the plan. We also take steps to protect against business interruption and conduct annual restoration testing for major systems. In addition, we use a risk-based approach to assessing cybersecurity risks from certain critical third-party vendors. This program aims to assess the cybersecurity maturity of vendors who have access to our data or systems through an evaluation of the vendor’s cybersecurity practices.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cybersecurity program is managed by our Manager of Operations and IT Systems, who reports directly to senior management on matters regarding cybersecurity, as appropriate, and is supported by third-party vendors. Together, our senior management and Manager of Operations and IT Systems are responsible for leading company-wide cybersecurity strategy, policies, standards, and processes.</w:t>
      </w:r>
    </w:p>
    <w:p>
      <w:pPr>
        <w:spacing w:after="0" w:line="20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Audit Committee, pursuant to its charter, has oversight over management of cybersecurity risks. Senior management provide the Audit Committee with periodic updates on data management and cybersecurity initiatives, as well as on significant existing and emerging cybersecurity risks, including cybersecurity incidents, as applicable.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 process to record identified risks from cybersecurity threats in our risk register, along with an assessment of the severity of the potential impact and the likelihood of occurrence. This process is designed to facilitate a unified and integrated assessment of corporate risk and governance. The risk register is reviewed periodically by senior management and at least annually by the Board of Directors.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experience threats and security incidents that could affect our information or systems. For more information about the cybersecurity risks we face, please see Section 1A. Risk Factors.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and occupy approximately 19,700 square feet of state-of-the-art wet laboratory and office space in Germantown, Maryland, United States. We also lease approximately 31,000 square feet of office and laboratory space on the Harwell Science and Innovation Campus, Harwell, Oxfordshire, U.K. We are currently marketing the Harwell facility for sublease for the remainder of the lease term.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penalties to report in accordance with The Revenue Procedure 2005-51 and Section 6707A(e) of the Internal Revenue Code, which requires the Company to disclose any IRS demand for payment of certain penalties related to tax-avoidance transactions under I.R.C. Sections 6662(h), 6662A, or 6707A.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nominal value £0.000025 per share, in the form of ADSs trade under the symbol “BRNS” on the Nasdaq Global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ADSs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ADSs each represent one ordinary share, nominal value £0.000025 per share, of Barinthus Biotherapeutics plc. An ADS may be evidenced by an American Depositary Receipt issued by the Bank of New York Mellon as depositary bank. As of March 6, 2026, there was one holder of record of our ordinary shares, nominal value £0.000025 per share, and 39 holders of record of our ADSs. The closing sale price per ADS on the Nasdaq Global Market on March 6, 2026 was $0.60.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paid or declared any cash dividends on shares of our ordinary shares, ADSs or other securities and do not anticipate paying or declaring any cash dividends in the foreseeable future. We currently intend to retain all future earnings, if any, for use in the operation of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U.K. Tax Considerations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following discussion is limited to a general guide to current U.K. tax law and HM Revenue &amp; Customs, or HMRC, published guidance (which is not binding) applying as at the date of this Annual Report (both of which are subject to change at any time, possibly with retrospective effect) relating to the ownership and disposition of ordinary shares, or such shares represented by ADSs. Each shareholder should however seek individual tax advice as specific rules may apply in certain circumstances. The U.K. tax consequences discussed below do not constitute legal or tax advice and do not reflect a complete analysis or listing of all the possible U.K. tax consequences that may be relevant to holders of our ordinary shares or ADSs. It is written on the basis that we do not (and will not) directly or indirectly derive 75% or more of its qualifying asset value from U.K. land, and that we are and will remain solely resident in the U.K. for tax purposes and will therefore be subject to the U.K. tax regime and not the U.S. tax regime.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to the extent that the position of non-U.K. resident persons is expressly referred to, this guide relates only to persons who are resident for tax purposes solely in the U.K. and do not have a permanent establishment, branch or agency (or equivalent) in any other jurisdiction with which the holding of our ordinary shares or ADSs is connected, who are absolute beneficial owners of our ordinary shares or ADSs (and do not hold our ordinary shares or ADSs through an Individual Savings Account or a Self-Invested Personal Pension or any other wrapper or similar product) (a “U.K. Holder”).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guide may not relate to certain classes of U.K. Holders, such as (but not limited to):</w:t>
      </w:r>
    </w:p>
    <w:p>
      <w:pPr>
        <w:spacing w:after="0" w:line="24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 are connected with us;</w:t>
      </w:r>
    </w:p>
    <w:p>
      <w:pPr>
        <w:spacing w:after="0" w:line="11"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financial institutions;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insurance companies;</w:t>
      </w:r>
    </w:p>
    <w:p>
      <w:pPr>
        <w:spacing w:after="0" w:line="13"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charities or tax-exempt organizations;</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collective investment schemes;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pension schemes;</w:t>
      </w:r>
    </w:p>
    <w:p>
      <w:pPr>
        <w:spacing w:after="0" w:line="13"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market makers, intermediaries, brokers or dealers in securities or persons who hold ordinary shares or ADSs otherwise than as an investment;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328"/>
        <w:spacing w:after="0" w:line="234" w:lineRule="auto"/>
        <w:tabs>
          <w:tab w:leader="none" w:pos="6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 have (or are deemed to have) acquired their ordinary shares or ADSs by virtue of an office or employment or who are or have been our officers or employees or any of our affiliates.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decision of the First-tier Tribunal (Tax Chamber) in HSBC Holdings PLC and The Bank of New York Mellon Corporation v HMRC (2012) cast some doubt on whether a holder of a depositary receipt is the beneficial owner of the underlying shares. However, 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Chargeable Gains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disposal or deemed disposal of ordinary shares or ADSs by a U.K. holder may, depending on such holder’s circumstances and subject to any available exemptions or reliefs (such as the annual exemption), give rise to a chargeable gain or an allowable loss for the purposes of U.K. capital gains tax (for individuals) and corporation tax on chargeable gains (for corporation tax payers).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an individual U.K. Holder who is subject to U.K. income tax at either the higher or the additional rate is liable to U.K. capital gains tax on the disposal of ordinary shares or ADSs, the current applicable rate will be 24% (for the tax year 2025/2026). For an individual U.K. Holder who is subject to U.K. income tax at the basic rate and liable to U.K. capital gains tax on such disposal, the current applicable rate would be 18% (for the tax year 2025/2026), save to the extent that any capital gains when aggregated with the U.K. Holder’s other taxable income and gains in the relevant tax year exceed the unused basic rate tax band. In that case, the capital gains tax rate currently applicable to the excess would be 24% (for the tax year 2025/2026).</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a corporate U.K. Holder is or becomes liable to U.K. corporation tax on the disposal (or deemed disposal) of ordinary shares or ADSs, the main rate of U.K. corporation tax would apply (currently at 25% for companies with profits of more than £250,000 or 19% for companies with profits not exceeding £50,000 with a marginal relief applying to profits between £50,000 and £250,000, in each case, for the 2025/2026 tax year).</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chargeable gain (or allowable loss) will generally be calculated by reference to the consideration received for the disposal of the ADSs less the allowable cost to the U.K. Holder of acquiring such ADSs.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you are not resident in the U.K. for U.K. tax purposes (or, in the case of an individual, not temporarily non-resident), you should not normally be liable for U.K. tax on capital gains realized or accrued on the sale or other disposition of ordinary shares or ADSs unless the ordinary shares or ADSs are held in connection with your trade carried on in the U.K. through a branch or agency (or, in the case of a corporate holder, a permanent establishment) and the ordinary shares or ADSs are or have been used, held or acquired for the purposes of such trade or such branch or agency.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individual holder of ordinary shares or ADSs who ceases to be resident in the U.K. for U.K. tax purposes for a period of less than five years and who disposes of ordinary shares or ADSs during that period may also be liable on returning to the U.K. (or upon ceasing to be regarded as resident outside the U.K. for the purposes of any relevant double taxation treaty) for U.K. capital gains tax despite the fact that the individual may not be resident in the U.K. at the time of the disposal.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ordinary shares or ADSs.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individual U.K. Holder may, depending on his or her particular circumstances, be subject to U.K. tax on dividends received from us. An individual holder of ADSs who is not resident for tax purposes in the U.K. should not be chargeable to U.K. income tax on dividends received from us unless he or she carries on (whether solely or in partnership) a trade, profession or vocation in the U.K. through a branch or agency to which the ADSs are attributable. There are certain exceptions for trading in the U.K. through independent agents, such as some brokers and investment managers.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Dividend income is treated as the top slice of the total income chargeable to U.K. income tax for an individual U.K. Holder. An individual U.K. Holder who receives a dividend in the 2025/2026 tax year will be entitled to a dividend tax-free allowance of £500. Income within the dividend tax-free allowance counts towards an individual’s basic, higher or additional rate limits and may, therefore, affect the level of income tax personal allowance to which they are entitled. Dividend income received in excess of the dividend tax-free allowance will (subject to the availability of any income tax personal allowance) be charged at 8.75% for the tax year 2025/2026 (rising to 10.75% for the tax year 2026/2027) to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extent the excess amount falls within the basic rate band, 33.75% for the tax year 2025/2026 (rising to 35.75% for the tax year 2026/2027) to the extent the excess amount falls within the higher rate band and 39.35% (for the tax years 2025/2026 and 2026/2027) to the extent the excess amount falls within the additional rate band.</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corporate holder of ADSs who is not resident for tax purposes in the U.K. should not be chargeable to U.K. corporation tax on dividends received from us unless it carries on (whether solely or in partnership) a trade in the U.K. through a permanent establishment to which the ADSs are attributable.</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Corporate U.K. Holders should not be subject to U.K. corporation tax on any dividend received from us so long as the dividends qualify for exemption, which should be the case, although certain conditions must be met. It should be noted that the exemptions, whilst of wide application, are not comprehensive and are subject to anti-avoidance rules. If the conditions for the exemption are not satisfied, such anti-avoidance provisions apply, or such U.K. Holder elects for an otherwise exempt dividend to be taxable, U.K. corporation tax will be chargeable on the amount of any dividends (at the current rate of 25% for companies with profits of more than £250,000 or 19% for companies with profits not exceeding £50,000, with a marginal relief applying to profits between £50,000 and £250,000, in each case for the 2023/2024 and 2025/2026 tax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200" w:lineRule="exact"/>
        <w:rPr>
          <w:sz w:val="20"/>
          <w:szCs w:val="20"/>
          <w:color w:val="auto"/>
        </w:rPr>
      </w:pPr>
    </w:p>
    <w:p>
      <w:pPr>
        <w:spacing w:after="0" w:line="2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discussion below relates to the holders of our ordinary shares or ADSs wherever resident, however it should be noted that special rules may apply to certain persons such as market makers, brokers, dealers or intermediaries.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Stamp duty and/or stamp duty reserve tax (“SDRT”) are imposed in the U.K. on certain transfers of securities (including shares in companies which, like us, are incorporated in the U.K.) at a rate of 0.5% of the consideration paid for the transfer. Certain transfers of shares to depositaries or into clearance systems are charged a higher rate of 1.5%. Transfers of interests in shares within a depositary or clearance system, and from a depositary to a clearance system, are generally exempt from stamp duty and SDRT.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of Ordinary Shares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current U.K. tax law (and except in relation to depositary receipt systems and clearance services (as to which see below), no U.K. SDRT (or, where effected by a written instrument, U.K. stamp duty) should generally be payable in respect of an issue of ordinary shares (including ordinary shares underlying our ADSs).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transfer of, or unconditional agreement to transfer, our ordinary shares that occurs outside the DTC system, including repurchases by us, will</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ordinarily attract stamp duty or SDRT at a rate of 0.5% of the amount or value of the consideration payable for the transfer (and in the case of stamp duty, rounded up to the next multiple of £5), unless the transfer is to a connected company and in which case a market value may apply. This duty must be paid (and where applicable the transfer document stamped by HMRC) before the transfer can be registered in our books. Typically stamp duty would be paid by the purchaser of the ordinary shares.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Clearance Services and Depositary Receipts</w:t>
      </w:r>
    </w:p>
    <w:p>
      <w:pPr>
        <w:spacing w:after="0" w:line="2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 unconditional agreement to issue ordinary shares to a clearance service or a depositary receipt system (including to a nominee or agent for a person whose business is or includes the issue of depositary receipts or the provision of clearance services) should not attract the higher rate of 1.5% U.K. stamp duty or U.K. SDRT (which we refer to as the 1.5% Charge). Furthermore, subject to the below, no 1.5% Charge should arise in respect of a transfer of ordinary shares to a clearance service or a depositary receipt system where the transfer is carried out in the course of “capital-raising arrangements”, being arrangements pursuant to which the relevant ordinary shares are issued by the company for the purpose of raising new capital. Where any ordinary shares are subject to restriction that has the effect of preventing the transfer of such ordinary shares into a clearance service or depositary receipt system in the course of capital-raising arrangements, such ordinary shares must be transferred as soon as reasonably practicable after the time at which the restriction ceases to have effect in order to prevent the 1.5% Charge from applying.</w:t>
      </w:r>
    </w:p>
    <w:p>
      <w:pPr>
        <w:spacing w:after="0" w:line="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Where a clearance service has made and maintained an election under section 97A of the U.K. Finance Act 1986, or a section 97A election no 1.5% Charge will apply on any transfer of ordinary shares to that clearance service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It is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understood that HMRC regards the facilities of DTC as a clearance service for these purposes and we are not aware of any section 97A election having been made by DTC.</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stamp duty or SDRT payable on a transfer of ordinary shares to a depositary receipt system or clearance service or in respect of a transfer within a depositary receipt system or clearance service, will strictly be accountable by the clearance service or depositary receipt system operator or their nominee, as the case may be, but will in practice generally be paid by the transferors or participants in the clearance service or depositary receipt system. Specific professional advice should be sought before incurring or reimbursing the costs of a U.K. stamp duty or U.K. SDRT charge in any circumstances.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of ADSs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U.K. stamp duty or SDRT should be payable on the issue of ADSs in the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ADSs within a clearance system</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U.K. stamp duty or SDRT should be required to be paid in respect of a paperless transfer of ADSs through the facilities of DTC, provided that no section 97A election has been made and maintained by DTC, and such ADSs are held through DTC at the time of any agreement for their transfer. We are not aware of any section 97A election having been made by the DTC.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or Transfers of ADSs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basis of current published HMRC guidance, ADSs are not regarded as stock or a marketable security for the purposes of U.K. stamp duty or a chargeable security for the purposes of U.K. SDRT and, as such, no U.K. stamp duty or SDRT should be required to be paid on the issue or transfer of (including an agreement to transfer) ADSs in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appearing elsewhere in this Annual Report. Some of the information contained in this discussion and analysis or set forth elsewhere in this report, including information with respect to our plans and strategy for our business, includes forward-looking statements that involve risks, uncertainties and assumptions.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“Special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prioritizing the development of a pipeline for I&amp;I indications enabled by our proprietary and highly differentiated platform for promoting immune tolerance, referred to as SNAP-TI, that are designed to guide patient's T cells to reduce inflammation and restore the natural state of immune non-responsiveness to healthy tissue. Our lead candidate, VTP-1000, is designed to restore immune non-responsiveness to gluten in patients with celiac disease, and is currently being assessed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 Phase 1 clinical trial. Based on encouraging preclinical data, we believe that the SNAP-TI platform has the potential to impact multiple other I&amp;I indications.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also exploring partnership opportunities for VTP-300, a product candidate to treat CHB that harnesses viral vector platform technologies, consisting of ChAdOx and MVA; which are designed to increase disease-specific CD8+ T cells. VTP-300 is a Phase 2 immunotherapeutic treatment modality that is a component of a treatment regimen to establish functional cure in patients who are chronically infected by the hepatitis B virus.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our core capabilities at the intersection of T cell immunology and immunotherapeutic technology platforms combined with our track record of successfully executing development path activities uniquely position us to navigate towards delivering promising new treatments for patients with autoimmune and inflammatory diseases and building value for shareholders.</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September 2025, we entered into the Merger Agreement to combine in an all-stock transaction with Clywedog. The newly combined company will advance a differentiated portfolio of clinical-stage candidates targeting metabolic and autoimmune diseases, with four clinical data milestones expected within 18 months of the closing of the transaction. Upon the closing of the transaction, the combined company will be renamed “Clywedog Therapeutics Holdings, Inc.” and is expected to trade on the Nasdaq under the new ticker symbol “CLYD.” The transaction is expected to close in the second quarter of 2026, supported by existing cash and additional investments by OrbiMed and TPAV, LLC, both existing shareholders in Clywedog, and new investors.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incurred net losses in each annual and interim reporting period since 2023. For the years ending December 31, 2025 and 2024, we incurred net losses of $66.5 million and $61.2 million, respectively. As of December 31, 2025 and 2024, we had an accumulated deficit of $304.1 million and $237.7 million, respectively, and we do not currently expect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as and when appropriate.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23"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for our planned clinical trials or future clinical trials;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enrollment and completion of clinical trials;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 supporting approvable and commercially acceptable risk/benefit profiles for our product candidates in the intended populations;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necessary regulatory and marketing approvals from applicable regulatory authorities, in the light of the commercial environment then existent;</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either our own manufacturing capabilities or satisfactory agreements with third-party manufacturers for clinical supply for later stages of development and commercial manufacturing;</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or partnerships, where appropriate, to further the development of our product candidates;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or assisting with the launch of commercial sales of our product candidates following approval;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each product’s benefits and uses by patients, the medical community and third-party payors following approval;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experienced with our product candidates in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 continued acceptable safety profile of the product candidates following approval;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if necessary or desirable;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if approved, we expect to finance our future cash needs through public or private equity offerings, debt financings, collaborations, licensing arrangements or other sources, or any combination of the foregoing. Based on our current standalone research and development plans, we expect that our existing cash, cash equivalents, restricted cash and other financial resources will enable us to fund our operating expenses and capital expenditure requirements for at least the next 12 months. These estimates are based on assumptions that may prove to be wrong, and we could use our available capital resources more quickly than we expect.</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Amendment</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2026, we announced we have entered into an amendment to the Merger Agreement with Clywedog to update the exchange ratio framework to provide additional flexibility in finalizing the transaction terms and to revise certain minimum cash requirements to reflect anticipated transaction timing. All other material terms remain unchanged.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Rule Compliance</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January 6, 2026, we announced we received a letter from the Nasdaq indicating that the closing bid price of our ADSs, each representing one ordinary share of the Company, was below $1.00 per share for 30 consecutive business days, and that, therefore, we are not in compliance with Nasdaq Listing Rule 5450(a)(1), which is the minimum bid price requirement for continued listing on the Nasdaq Global Market. The notice from Nasdaq has no immediate effect on the listing of the ADSs, and the ADSs will continue to be listed on the Nasdaq Global Market under the symbol “BRNS.” Pursuant to Nasdaq Listing Rule 5810(c)(3)(A), we have automatically been afforded a 180-calendar day period, or until June 29, 2026, to regain compliance with the minimum bid price requirement. The continued listing standard will be met if the closing bid price of the ADSs is at least $1.00 per share for a minimum of ten consecutive business days during the 180-calendar day period. If we are not in compliance by June 29, 2026, we may be afforded a second 180-calendar day period to regain compliance if it meets certain requirements. We intend to monitor the closing bid price of the ADSs and are currently evaluating our options for regaining compliance, which could include a reverse stock split of the ADSs.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International Conflict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respect of the international conflicts in Gaza, Ukraine and Iran, we have no operations or suppliers based in Israel, Gaza, Ukraine, Belarus, Russia or Iran, and as a result, as of the date of this Annual Report on Form 10-K, we believe the impact on our business, operations and financial condition will be minimal.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Conditions and Inflationary Pressures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Instability in global economic conditions and geopolitical matters, as well as volatility in financial markets, could have a material adverse effect on our results of operations and financial condition. Inflationary pressures, volatile interest rates, or intensified disruptions in the global financial markets could adversely affect our future financing capability or ability to access the capital markets. Additionally, we may incur future increases in operating costs due to additional inflationary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direct product sales and do not expect to do so in the near future, if at all. Most of our revenue to date has been derived from the OUI License Agreement Amendment with OUI relating to Vaxzevria.</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In March, 2022, we were notified by OUI of the commencement of payments to us arising from AstraZeneca’s commercial sales of Vaxzevria. In May 2024, AstraZeneca announced the initiation of withdrawal of marketing authorization for Vaxzevria in Europe as demand had declined. In October 2024, we were informed of additional amounts due to the Company from Oxford University Innovation Limited (OUI) in relation to the Company's share of royalties received by OUI as a result of prior commercial sales of Vaxzevria by AstraZeneca. As a result there was no revenue for the year ending December 31, 2025 (year ended December 31, 2024 $15.0 million), representing the amounts we have been notified of as due by OUI to date. We do not expect to receive any further payments relating to future commercial sales of Vaxzevria and, if such payments are due, that we will be notified of such payments in a timely manner.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since inception have consisted of research and development costs and general and administrative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Since our inception, we have focused significant resources on our research and development activities, including establishing and building on our adenovirus platform, further enhancing our in-licensed ChAdOx1, ChAdOx2 and MVA vectors, developing a next-generation adenoviral vector, acquiring new technology platforms including SNAP-TI and SNAP-CI, conducting preclinical studies, developing various manufacturing processes, and advancing our clinical programs. Research and development activities account for a large portion of our operating expenses, and product candidates in later stages of development generally have higher development costs than those in earlier stages, due to larger and more complex clinical trials, manufacturing scale-up and an increase in research and development headcount to oversee these activities. We are currently seeking partners to fund or collaborate on certain of our programs, including VTP-300 and VTP-850, which we do not intend to develop beyond the completion of the ongoing trials, as applicable. We expect research and development expenses to increase in the future as we progress our program through the next stage of development. Research and development costs are expensed as incurred. These costs include:</w:t>
      </w:r>
    </w:p>
    <w:p>
      <w:pPr>
        <w:spacing w:after="0" w:line="91"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share-based compensation, for personnel engaged in research and development functions;</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drug products for use in preclinical development and clinical trials, including agreements with third parties, such as contract manufacturing organizations, consultants and contractors;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costs;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facility costs, equipment depreciation and other expenses, which include direct and allocated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expenses,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impairment of property and equipment and right-of-use assets, foreign exchange gains and losses on our cash balances, other central non-research costs and changes in the fair value of contingent consideration. When determining the fair value of contingent consideration, significant judgment is used to determine the probability of success of achievement of the technology and clinical milestones and the date of the expected milestone. Our general and administrative expenses would continue to increase in the future if we expand our operating activities and if we seek to manufacture and/or commercialize any of our current and future product candidates. These costs will increase if our headcount rises to allow full support for our operations as a public company, including increased expenses related to legal, accounting, regulatory and tax-related services associated with maintaining compliance with requirements of the Nasdaq and the SEC, directors’ and officers’ liability insurance premiums and investor relations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Other operating income includes grant income from an agreement (the "CEPI Funding Agreement") with the Coalition for Epidemic Preparedness Innovations ("CEPI") pursuant to which CEPI will provide funding to us to advance the development of VTP-500, a vaccine candidate against MERS. When there is reasonable assurance that we will comply with the conditions attached to a received grant, and when there is reasonable assurance that the grant will be received, grant income is recognized as other operating income on a gross basis in the consolidated statements of operations and comprehensive loss on a systematic basis over the periods in which we recognize expenses for the related costs for which the grants are intended to compensate. Payments received in advance of incurring reimbursable expenses are recorded as deferred income. Any remaining unused amounts of the cash payments received on the balance sheets will be disclosed as restricted cash in the notes of the consolidated financial statements. Minimal future activity is expected in relation to the VTP-500 program following the strategic decision to prioritize pipeline assets in the I&amp;I space.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results primarily from the interest earned on our short-term cash deposits and cash balances held by Barinthus Biotherapeutics (UK)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results primarily from the asset retirement obligation discounted over the length of the relevant 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incentives contain payments receivable from the U.K. government related to corporation tax relief for qualifying expenditure on research and development projects in the U.K. We account for such relief received as other income.</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Qualifying expenditures largely comprise employment costs for research staff, consumables, outsourced contract research organization costs, externally provided workers and utilities costs incurred as part of research projects. A large portion of costs relating to research and development, clinical trials and manufacturing activities are eligible for inclusion within these tax credit cash rebate claims.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2025, we benefit from the applicable U.K. research and development tax credit regime which is the merged scheme Research &amp; Development expenditure credit ("RDEC") and enhanced R&amp;D intensive support ("ERIS") that replaces the old RDEC and small and medium-sized enterprise ("SME") schemes for accounting periods beginning on or after April 1, 2024. For expenditure under the merged scheme, the rate of Research and Development expenditure credit is 20%, which is the same as the rate under the old RDEC scheme for expenditure incurred on or after April 1, 2023. For loss-makers and small profit-makers, a lower rate of notional tax restriction (currently 19%) applies at payment. The amount of the Pay As You Earn ("PAYE") cap for claims under both the merged scheme and ERIS is £20,000 plus 300% of the company’s relevant PAYE and National Insurance contributions liabilities. The PAYE cap (where applicable) will limit the amount of payable credit that can be received in the accounting period under consideration. Any excess over the cap will be carried forward and treated as an amount of Research and Development expenditure credit to which the company will be entitled for the next accounting period. Based on prior claims and the split of qualifying spend it is expected that the PAYE cap is unlikely to affect the net benefit. Furthermore, legislation included in Finance Act 2024 restricts the extent to which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to contractors for R&amp;D and externally provided workers can qualify for R&amp;D relief where R&amp;D activity takes place outside the U.K., which may restrict the ability to include cost incurred on externally provided workers based in the U.S.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2024, we benefited from the applicable U.K. research and development tax credit regime, being the Small and Medium-sized Enterprises R&amp;D tax relief program (“SME Program”), and, to the extent that our projects are grant funded or relate to work subcontracted to us by third parties, the Research and Development Expenditure Credit program. Under the SME Program, we were able to surrender some of our trading losses that arise from qualifying research and development activities for a cash rebate of up to 18.6% of such qualifying research and development expenditure, as the SME additional deduction is 86% and the SME credit rate is 10%.</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both the merged RDEC scheme and the SME program, a company qualifies as an R&amp;D intensive business if R&amp;D expenditure constitutes at least 30% of total expenditure. From the analysis performed, we have not and do not expect to claim under the loss-making R&amp;D intensive scheme criteria primarily due to the proportion of total relevant expenditure occurring outside the U.K.</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future years, we may not be able to continue to claim research and development tax credits under the U.K. research and development tax credit regime if we no longer qualify based on the eligibility criteria. Unsurrendered U.K. losses may be carried forward indefinitely to be offset against future taxable profits, subject to numerous utilization criteria and restrictions. The amount that can be offset each year is limited to £5.0 million plus an incremental 50% of U.K. taxable profits. There was no tax loss restriction applied to the R&amp;D tax credits in the U.K. for the years ended December 31, 2025 and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consolidated financial statements, which have been prepared in accordance with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income and expenses during the reporting period. On an ongoing basis, management evaluates its estimates, including those related to fair value of contingent consideration and impairment of intangible assets. Management bases its estimates on historical experience and on various other market specific and relevant assumptions that management believes to be reasonable under the circumstances. Actual results could differ from those estimates.</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review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September 2025, we announced that we have entered into the Merger Agreement to combine in an all-stock transaction with Clywedog. The indicative offer price was below the fair value of our net assets expected at completion and below prior valuations utilized in our most recent impairment assessments, thereby constituting an impairment triggering event. As a result, we recorded a total impairment charge for acquired development technology intangible assets of $4.7 million during the quarter ended September 30, 2025. The determination of the fair value of our net assets expected at completion, is a non-recurring fair value measurement. Subsequently, we reviewed for additional indicators of impairment and did not identify any additional impairment triggers nor was any additional impairment expense recorded.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recognize a contingent consideration liability related to the acquisition of Avidea.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Avidea’s stockholders may be entitled to receive an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aggregate of up to $40.0 million in additional payments, payable in a combination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general and administrative expenses in the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2025 and 2024, our revenue consisted of nil and $15.0 million, respectively from the OUI License Agreement Amendment with respect to amounts owed to us by OUI for the commercial sales of Vaxzevria. In 2024, AstraZeneca announced it had made the strategic decision to initiate the withdrawal of marketing authorization for Vaxzevria within Europe, citing decline in demand as the reason for the decision. We do not expect to receive any further payments relating to future commercial sales of Vaxzevria and, if such payments are due, that we will be notified of such payments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VTP-1000 Celiac</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7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Barinthus legacy assets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0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related</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indirect costs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r>
      <w:tr>
        <w:trPr>
          <w:trHeight w:val="21"/>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ind w:left="20" w:right="20" w:firstLine="6"/>
        <w:spacing w:after="0" w:line="234" w:lineRule="auto"/>
        <w:tabs>
          <w:tab w:leader="none" w:pos="90" w:val="left"/>
        </w:tabs>
        <w:numPr>
          <w:ilvl w:val="0"/>
          <w:numId w:val="6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 NSCLC, VTP-500 MERS and other and earlier stage programs.</w:t>
      </w: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for the years ended December 31, 2025 and 2024 were $25.6 million and $42.2 million, respectively, and consisted of direct and indirect research and development expenses.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Direct expenses for the years ended December 31, 2025 and 2024 were $14.6 million and $23.7 million, respectively, and consisted of outside services, consultants, laboratory materials, clinical trials, manufacturing of clinical trial materials, as well as costs for external preclinical services and sample testing. Of the $9.1 million decrease, $9.7 million pertains to a net decrease in spend across Barinthus legacy asset infectious disease and oncology programs as the ongoing trials reached clinical completion and following the strategic decision to partner these programs for future development. This decrease is partially offset by a $0.6 million increase in spend on VTP-1000 for the ongoing Phase 1 AVALON clinical trial.</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Indirect research and development expenses for the years ended December 31, 2025 and 2024 were $11.0 million and $18.5 million, respectively. Of the $7.6 million decrease, $7.5 million relates to the reduction in headcount and the associated reduction in personnel-related expense (including share-based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years ended December 31, 2025 and 2024 were $40.8 million and $29.7 million, respectively. The increase of $11.1 million relates primarily to a $12.0 million change in foreign exchange gains and losses (from a gain of $2.4 million for the year ended December 31, 2024 to a loss of $9.6 million for the year ended December 31, 2025), as well as an increase of $6.5 million in professional fees attributable to increased strategic activity.</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increases are partially offset by a $2.6 million net reduction in depreciation and amortization reflecting the $5.3 million impairment charge recorded in the year ended December 31, 2024 in relation to the U.K. operating lease right-of-use assets and property and equipment. For the year ended December 31, 2025, depreciation includes a $1.1 million impairment charge in relation to U.S. right-of-use assets and leasehold improvements and $1.6 m accelerated depreciation due to a decrease in the estimated useful lives of the U.K. right of use and fixed assets.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Personnel-related expenses decreased $2.8 million due to the reduction in headcount and the associated reduction in personnel-related expense (including share-based compensation). Other general and administrative costs decreased $1.4 million which is attributable to reduced travel expenses, reduced communications expenses, lower insurance premiums and other reductions in facility-related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 expense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impairment of intangible assets expense was $4.7 million and nil million, respectively. This increase relates to the impairment assessment performed during the third quarter of 2025, following an impairment triggering event identified in relation to us entering a definitive merger agreement to combine in an all-stock merger transaction with Clywedog. See Note 7 for further details.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Expense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goodwill impairment expense was nil and $12.2 million, respectively. The decrease relates to the impairment assessment performed during the fourth quarter of 2024, based on the expected utilization of Company assets and external market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interest income was $2.0 million and $2.7 million respectively, which primarily resulted from the reduction in interest rates and the reduction in cash amounts on short-term cash deposits held by Barinthus Biotherapeutics (UK)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2025 and 2024, research and development incentives were $2.0 million and $4.0 million, respectively. Such research and development incentives relate to corporation tax relief on research and development project incentive programs in the U.K. The decrease of $2.0 million is primarily due to a decrease in qualifying R&amp;D activities related to the strategic decision to stop development of the viral vector programs beyond the completion of the ongoing clinical trials in the U.K. and reduced R&amp;D recovery rate under the new merged scheme for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tax benefit was $0.18 million and $0.04 million respectively, which primarily relates to movements in deferred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upfront royalty and milestone payments from OUI in connection with the OUI License Agreement Amendment for Vaxzevria. Through December 31, 2025, we have received gross proceeds of approximately $330.1 million from the issuance of our ordinary and preferred shares and convertible loan notes. As of December 31, 2025, we had cash, cash equivalents and restricted cash of $71.9 million. Key financing and corporate milestones include the following:</w:t>
      </w:r>
    </w:p>
    <w:p>
      <w:pPr>
        <w:spacing w:after="0" w:line="6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July 2020 and November 2020, we raised gross proceeds of $41.2 million from the issuance of convertible loan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raised gross proceeds of $125.2 million from the issuance of our Series B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raised gross proceeds of $110.5 million from the initial public offering of our ordinary shares on Nasdaq.</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April 2022 and November 2024, we received $59.5 million of cash from OUI for the commercial sales of Vaxzevria.</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December 2022 and December 31, 2024, we raised net proceeds of $5.1 million from the issuance of 2,558,586 shares represented by ADSs through “at-the-market” offerings under the sales agreement with Jefferies LLC ("Jefferies").</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do not currently expect positive cash flows from operations in the foreseeable future, if at all. In most periods, we have incurred operating losses as a result of ongoing efforts to develop our immunotherapy platforms and our product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Operating profits may arise earlier if programs are licensed or sold to third parties before final approval, but this cannot be guaranteed.</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September 29, 2025, we entered into the Merger Agreement providing for our combination with Clywedog. We have agreed to various covenants and agreements, including, among others, agreements to conduct our business in the ordinary course of business between the execution of the Merger Agreement and the closing of the Combinations. Outside of certain limited exceptions, we may not take certain actions without Clywedog’s consent, including (i) acquiring businesses and disposing of significant assets, (ii) incurring expenditures above specified thresholds; (iii) incurring additional debt outside the ordinary course of business, (iv) issuing additional securities, or (v) repurchasing ordinary shares or ADSs.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primary sources and uses of cash (in thousands) for each period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$48.0 million, primarily resulting from our net loss of $66.5 million, adjusted by depreciation and amortization expense of $5.8 million, long-lived asset impairment charge of $5.8 million, unrealized foreign exchange loss of $3.7 million, non-cash lease expenses of $3.3 million, share based compensation of $0.5 million and changes in our operating assets and liabilities, net of $0.4 million primarily related to a $6.4 million decrease in research and development incentives receivable, a $6.0 million decrease in accounts payable and accrued expenses, a $2.0 million decrease in operating lease liabilities, a $1.7 million decrease in prepaid expenses, and a $0.5 million decrease in deferred income.</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$28.9 million, primarily resulting from our net loss of $61.2 million, adjusted by goodwill impairment expense of $12.2 million, depreciation and amortization of $5.8 million, an impairment charge of $5.3 million, share based compensation of $4.7 million, non-cash lease expenses of $1.4 million and changes in our operating assets and liabilities, net of $2.6 million primarily related to a $3.6 million decrease in prepaid expenses, a $1.8 million decrease in operating lease liabilities, a $1.7 million increase in deferred income, a $1.4 million increase in accounts payable and accrued expenses and a $2.3 million increase in research and development incentives receivable.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 (Used In) Investing Activities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cash provided by/(used) in investing activities was $0.4 million and $(0.9) million, respectively. For the year ended December 31, 2025, these amounts primarily related to proceeds received upon the sale of U.K. laboratory equipment. For the year ended December 31, 2024, these amounts primarily related to lab and office equipment purchases in both our U.K. and U.S.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cash provided by financing activities related only to net proceeds from the issuance of ordinary shares in the form of ADSs through stock option exercises. During the year ended December 31, 2024, cash provided by financing activities of $2.2 million primarily related to net proceeds received from the issuance of ordinary shares in the form of ADSs through the “at-the-market” sales agreement with Jefferies LLC.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effect of foreign exchange on cash, cash equivalents and restricted cash was a $7.0 million gain and $2.0 million loss respectively, primarily as a result of fluctuations between the United States dollar and pound sterling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except for 2022 when we were profitable. We have negative operating cash flows for the periods ending December 31, 2025 and 2024. As of December 31, 2025, we had an accumulated deficit of $304.1 million. We expect to continue to incur significant losses and negative cash flows from operations for the foreseeable future. We anticipate that our expenses will increase substantially if, and as we:</w:t>
      </w:r>
    </w:p>
    <w:p>
      <w:pPr>
        <w:spacing w:after="0" w:line="141"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clinical and preclinical development of our current product candidates;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technologies to advance additional product candidates into preclinical and clinical development;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authorizations for product candidates that successfully complete clinical trials,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regulatory, quality control and other personnel;</w:t>
      </w:r>
    </w:p>
    <w:p>
      <w:pPr>
        <w:spacing w:after="0" w:line="15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product candidates based on our proprietary synthetic and biologic platforms, including SNAP-TI;</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capabilities through third parties or by ourselves and scale-up manufacturing to provide adequate supply for clinical trials and commercialization;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protect and enforce our intellectual property portfolio;</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products for which we may obtain marketing approval and intend to commercialize on our own or through a selected partner;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for development and commercialization;</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our business, including the additional costs associated with operating as a public company; and</w:t>
      </w:r>
    </w:p>
    <w:p>
      <w:pPr>
        <w:spacing w:after="0" w:line="8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advisory, accounting, tax and other expenses in operating our business, including the additional costs associated with completing the Contemplated Transactions.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unless and until such losses are eliminated by revenue.</w:t>
      </w:r>
    </w:p>
    <w:p>
      <w:pPr>
        <w:spacing w:after="0" w:line="18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our foundation, we have invested a significant portion of our efforts and financial resources in research and development activities for our viral vector platform (ChAdOx and MVA), acquisition of additional complementary platforms such as SNAP-TI, development of new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depend on many factors, including:</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outcome and terms of the Contemplated Transactions currently in progress as well as associated transaction and advisory costs;</w:t>
      </w:r>
    </w:p>
    <w:p>
      <w:pPr>
        <w:spacing w:after="0" w:line="156"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and future product candidates and programs, and of conducting preclinical studies and clinical trials;</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of other indications for our current product candidates that we may pursue;</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current and any future collaboration partners;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or terminate collaborations, strategic licensing or other arrangements and the financial terms of such agreements;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launch, product sales, marketing, manufacturing and distribution, for any of our current and future product candidates for which we receive marketing approval;</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commercial sales, revenues, milestones or royalties or other income from our future products, should any of our product candidates receive marketing approval; and</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success or otherwise of competing autoimmune or infectious disease therapies and other market developments.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current standalone research and development plans, we expect that our existing cash, cash equivalents, restricted cash and other financial resources will enable us to fund our operating expenses and capital expenditure requirements for at least the next 12 months. These estimates are based on assumptions that may prove to be wrong, and we could use our available capital resources more quickly than we expect.</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require substantial additional financing in the future to meet any such unanticipated factors, including if the Contemplated Transactions are not consummated timely or at all. 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programs, future commercialization efforts, other operational plans or grant rights to develop and market product candidates that we would otherwise prefer to develop and market ourselves.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Purchase, and Other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operating lease obligations related to our property, plant and equipment. The details of these leases are disclosed in Item 2. “Properties". The obligations related to both short- and long-term lease arrangements are set forth in Note 16 “Commitment and Contingencies” to our consolidated financial statements.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December 31, 2025. See section entitled “Business - Our Collaboration and License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 that may potentially impact our financial position and results of operations is disclosed in Note 2 to our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and Currency Translation</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subject to the risk of fluctuations in foreign currency exchange rates, specifically with respect to the euro, pound sterling, Swiss franc and Australian dollar. Our reporting currency is the United States dollar, and the functional currency of Barinthus Biotherapeutics plc and its consolidated subsidiaries, Barinthus Biotherapeutics (UK) Limited and Vaccitech Oncology Limited, is the pound sterling. The functional currency of our wholly owned</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foreign subsidiaries, Barinthus Biotherapeutics North America, Inc.</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Beacon Topco, Inc. and Cdog Merger Sub, Inc., is the United States dollar. The functional currency of our wholly owned foreign subsidiary, Barinthus Biotherapeutics Pty Limited, is the Australian dollar. The functional currency of our wholly owned foreign subsidiary, Barinthus Biotherapeutics Switzerland GmbH, is the Swiss franc. Our cash, cash equivalents and restricted cash as of December 31, 2025 consisted primarily of cash balances held by Barinthus Biotherapeutics (UK) Limited in United States dollars.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consolidated Balance Sheets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incur significant operating costs in the U.K. and face exposure to changes in the exchange ratio of the United States dollar and the pound sterling arising from expenses and payables from our U.K. operations that are settled in pound sterling. For the year ended December 31, 2025, an average 10% weakening in the United States dollar relative to the pound sterling would have resulted in a material change to our current and projected expenses denominated in pound sterling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not currently exposed significantly to market risk related to changes in interest rates, as we have no significant interest-bearing liabilities. We had cash, cash equivalents and restricted cash of $71.9 million as of December 31, 2025, which were primarily held as account balances with banks in the U.K. and United States. A hypothetical 10% relative change in interest rates during any of the periods presented would not have had a material impact on our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are included at the end of this Annual Report, starting at page F-1.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evaluated the effectiveness of our disclosure controls and procedures (as defined in Rule 13a-15(e) and 15d-15(e) under the Exchange Act) as of December 31, 2025.</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evaluation, our principal executive officer and principal financial officer, has concluded that, as of such date,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and for the assessment of the effectiveness of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GAAP.</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our internal controls in future periods are subject to the risk that such controls may become inadequate because of changes in conditions, or that the degree of compliance with applicable policies, processes and documentation requirements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making its assessment of the Company’s internal control over financial reporting as of December 31, 2025, management used the criteria set forth in Internal Control—Integrated Framework (2013) issued by the Committee of Sponsoring Organizations of the Treadway Commission (“COSO”) and evaluated the internal control over financial reporting. Based on our assessment, management concluded that our internal control over financial reporting was effective as of December 31, 2025, based on criteria in Internal Control-Integrated Framework (2013) issued by the COSO.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provided by the JOBS Act for “emerging growth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5" w:lineRule="exact"/>
        <w:rPr>
          <w:sz w:val="20"/>
          <w:szCs w:val="20"/>
          <w:color w:val="auto"/>
        </w:rPr>
      </w:pPr>
    </w:p>
    <w:p>
      <w:pPr>
        <w:jc w:val="both"/>
        <w:ind w:right="320"/>
        <w:spacing w:after="0" w:line="245"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during the quarter ended December 31, 2025 that have materially affected, or is reasonably likely to materially affect, our internal control over financial reporting.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of the Exchange Act) adopted or terminated a Rule 10b5-1 trading plan or arrangement or a non-Rule 10b5-1 trading plan or arrangement, as defined in Item 408(c) of Regulation S-K, during the three months ended December 31, 2025 covered by this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current directors and executive officers as of the date of this Annual Report:</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 Elected to Present</w:t>
            </w: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Age</w:t>
            </w:r>
          </w:p>
        </w:tc>
        <w:tc>
          <w:tcPr>
            <w:tcW w:w="36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Present Position</w:t>
            </w:r>
          </w:p>
        </w:tc>
        <w:tc>
          <w:tcPr>
            <w:tcW w:w="27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3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Enright</w:t>
            </w:r>
          </w:p>
        </w:tc>
        <w:tc>
          <w:tcPr>
            <w:tcW w:w="17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w:t>
            </w:r>
          </w:p>
        </w:tc>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720" w:type="dxa"/>
            <w:vAlign w:val="bottom"/>
            <w:tcBorders>
              <w:bottom w:val="single" w:sz="8" w:color="CCEEFF"/>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2019</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 Hooftman</w:t>
            </w:r>
          </w:p>
        </w:tc>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Medical Officer</w:t>
            </w:r>
          </w:p>
        </w:tc>
        <w:tc>
          <w:tcPr>
            <w:tcW w:w="27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3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Robin Wright</w:t>
            </w:r>
          </w:p>
        </w:tc>
        <w:tc>
          <w:tcPr>
            <w:tcW w:w="17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61</w:t>
            </w:r>
          </w:p>
        </w:tc>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720" w:type="dxa"/>
            <w:vAlign w:val="bottom"/>
            <w:tcBorders>
              <w:bottom w:val="single" w:sz="8" w:color="CCEEFF"/>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2018</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 Hammacher</w:t>
            </w:r>
          </w:p>
        </w:tc>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7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2020</w:t>
            </w:r>
          </w:p>
        </w:tc>
      </w:tr>
      <w:tr>
        <w:trPr>
          <w:trHeight w:val="27"/>
        </w:trPr>
        <w:tc>
          <w:tcPr>
            <w:tcW w:w="3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Pierre A. Morgon, PharmD</w:t>
            </w:r>
          </w:p>
        </w:tc>
        <w:tc>
          <w:tcPr>
            <w:tcW w:w="17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w:t>
            </w:r>
          </w:p>
        </w:tc>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720" w:type="dxa"/>
            <w:vAlign w:val="bottom"/>
            <w:tcBorders>
              <w:bottom w:val="single" w:sz="8" w:color="CCEEFF"/>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2018</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Phillips, MD</w:t>
            </w:r>
          </w:p>
        </w:tc>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72</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7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3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T. Dawes</w:t>
            </w:r>
          </w:p>
        </w:tc>
        <w:tc>
          <w:tcPr>
            <w:tcW w:w="17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74</w:t>
            </w:r>
          </w:p>
        </w:tc>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720" w:type="dxa"/>
            <w:vAlign w:val="bottom"/>
            <w:tcBorders>
              <w:bottom w:val="single" w:sz="8" w:color="CCEEFF"/>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C. Scheeren</w:t>
            </w:r>
          </w:p>
        </w:tc>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70</w:t>
            </w: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7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3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William Enright </w:t>
      </w:r>
      <w:r>
        <w:rPr>
          <w:rFonts w:ascii="Times New Roman" w:cs="Times New Roman" w:eastAsia="Times New Roman" w:hAnsi="Times New Roman"/>
          <w:sz w:val="18"/>
          <w:szCs w:val="18"/>
          <w:color w:val="auto"/>
        </w:rPr>
        <w:t>has been our Chief Executive Officer and a member of our board of directors since August 2019. From June 2008 to November 2018,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Enright served as the Chief Executive, President and Director of Altimmune, Inc. (“Altimmune”), a biopharmaceutical company. Prior to joining Altimmune, Inc., Mr. Enright held various positions at GenVec, Inc. (acquired by Precigen, Inc.), leaving as Head of Business Development. He currently serves on the Board of Directors and Chair of the Compensation Committee of BullFrog AI, Inc. Mr. Enright brings a breadth of experiences in a variety of positions within the life science/biotech industry, including time as a consultant, a bench scientist and 12 years with Life Technologies, Inc. (acquired by Thermo-Fisher), working in various senior level licensing, business management, manufacturing and research roles. Mr. Enright holds a MA and BS in Biology from SUNY at Buffalo and a MS in Business Management from Johns Hopkins University. We believe that Mr. Enright is qualified to serve on our board of directors because of his considerable management experience in the biopharmaceutical industry.</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Leon Hooftman </w:t>
      </w:r>
      <w:r>
        <w:rPr>
          <w:rFonts w:ascii="Times New Roman" w:cs="Times New Roman" w:eastAsia="Times New Roman" w:hAnsi="Times New Roman"/>
          <w:sz w:val="18"/>
          <w:szCs w:val="18"/>
          <w:color w:val="auto"/>
        </w:rPr>
        <w:t>has been our Chief Medical Officer since June 2024. Dr. Hooftman held Chief Medical Officer roles at several biotechnology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ISA Pharmaceuticals from May 2018 to June 2024, Polyphor AG from September 2014 to May 2018, Synthon BV from October 2011 to August 2014 and Chroma Therapeutics from October 2004 to January 2011. Prior to that, he served as the Head of Clinical Development at Celltech, from December 2002 until its acquisition by UCB in October 2004. Earlier in his career, Dr. Hooftman held various senior management positions at Roche from May 1995 to December 2002. Dr. Hooftman holds a M.D. from Utrecht State University (Netherlands) and performed his specialist training in Cambridge and London (UK).</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Robin Wright </w:t>
      </w:r>
      <w:r>
        <w:rPr>
          <w:rFonts w:ascii="Times New Roman" w:cs="Times New Roman" w:eastAsia="Times New Roman" w:hAnsi="Times New Roman"/>
          <w:sz w:val="18"/>
          <w:szCs w:val="18"/>
          <w:color w:val="auto"/>
        </w:rPr>
        <w:t>has served as our chairman since October 2018 and a member of our board of directors since August 2018. Mr. Wright has extensive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experience as a Chief Financial Officer of public companies in both the pharmaceutical and biotechnology industries. Mr. Wright has served as the Chief Financial Officer of MiNa Therapeutics since January 2021. From September 2020 to October 2020, Mr. Wright was our interim Chief Financial Officer. From September 2015 to May 2020, Mr. Wright was the Chief Financial Officer of Pharming Group N.V., a biopharmaceutical company. Mr. Wright holds a BA degree in Chemistry from Oxford University and is a Fellow of the Institute of Chartered Accountants in England and Wales in the UK. We believe Mr. Wright is qualified to serve on our board of directors because of his extensive management experience and financial expertise in the life sciences industry.</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Alex Hammacher </w:t>
      </w:r>
      <w:r>
        <w:rPr>
          <w:rFonts w:ascii="Times New Roman" w:cs="Times New Roman" w:eastAsia="Times New Roman" w:hAnsi="Times New Roman"/>
          <w:sz w:val="18"/>
          <w:szCs w:val="18"/>
          <w:color w:val="auto"/>
        </w:rPr>
        <w:t>has been a member of our board of directors since January 2020. Dr. Hammacher is Head of Strategic Operations &amp; Corporate Finance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Oxford Sciences Enterprises, a venture capital firm partnered with Oxford University, a position he has held since October 2019. Prior to joining Oxford Sciences Enterprises, Dr. Hammacher held positions of increasing seniority at Lazard, an investment banking firm, from October 2015 to October 2019, most recently as Director of Healthcare Investment Banking, and UBS, an investment banking firm, from July 2007 to September 2015. Dr. Hammacher received a BA and BM BCh from Oxford University. We believe Dr. Hammacher is qualified to serve on our board of directors because of his extensive investment experience in the life sciences industry.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Pierre A. Morgon </w:t>
      </w:r>
      <w:r>
        <w:rPr>
          <w:rFonts w:ascii="Times New Roman" w:cs="Times New Roman" w:eastAsia="Times New Roman" w:hAnsi="Times New Roman"/>
          <w:sz w:val="18"/>
          <w:szCs w:val="18"/>
          <w:color w:val="auto"/>
        </w:rPr>
        <w:t>has been a member of our board of directors since January 2018. Dr. Morgon is Chief Executive Officer of MRGN Advisors,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strategy advisor, a position he has held since January 2015. Dr. Morgon was Regional Partner for Switzerland at Mérieux Equity Partners, an investment firm, a position he has held since October 2014, and is currently a senior advisor to the firm. Dr. Morgon is also Chief Business Officer at Nuvamid, a position he has held from January 2024 to August 2025, Executive Vice President Portfolio Strategy and Supranational Affairs at CanSino Biologics until February 2024, Chief Business Officer at PLL Therapeutics since January 2025, Venture Partner at Rocket Bio Capital since June 2025 and Director at AlMorphous Health since November 2025. Dr. Morgon is also chair of the board of directors of Health Technologies Holding (HTH) Srl, a position he held from June 2020 to April 2025, chair of the board of directors of MYCB1, a position he has held since July 2020, chair of the board of directors of Eurocine Vaccines, a position he has held since May 2019, chair of the board of directors of Kupando GmbH, a position he held from December 2021 to April 2025, and a member of the board of directors of UNIVERCELLS, a position he has held since July 2018, and a member of the board of Amoéba SA, a position held since June 2021, and a member of the board of directors of CanSinoBio Switzerland, a position he has held since May 2022, and a member of the board of directors of Limula, a position he has held since July 2022. Dr. Morgon also served as a member of the board of directors of Alma Biotherapeutics from 2017 to 2018, chair of the board of directors of Virometix AG from January 2017 to November 2019, and chair of the board of directors of Theradiag from 2017 to March 2023. Pierre has over 35 years of experience in the global life science industry, especially with specialty care, vaccines and immunotherapy, at the helm of international operations, in C-level positions at global level in multinational corporations and as CEO of start-up companies. He is a lecturer in several MBA programs and in life science conferences, and at the Mass Challenge incubator in Switzerland where he is also a mentor for start-up life sciences companies. He holds a Doctorate of Pharmacy, a Master in Business Law and an MBA. He is also an alumnus of INSEAD and IMD. We believe Dr. Morgon is qualified to serve on our board of directors due to his extensive experience as a director of life sciences companies.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Anne M. Phillips </w:t>
      </w:r>
      <w:r>
        <w:rPr>
          <w:rFonts w:ascii="Times New Roman" w:cs="Times New Roman" w:eastAsia="Times New Roman" w:hAnsi="Times New Roman"/>
          <w:sz w:val="18"/>
          <w:szCs w:val="18"/>
          <w:color w:val="auto"/>
        </w:rPr>
        <w:t>has been a member of our board of directors since February 2021. Dr. Phillips was a Senior Vice President of Clinical, Medical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Affairs, North America Operations, for Novo Nordisk Inc., leading the drug development, clinical operations, medical, regulatory, health economics and outcomes research, and safety teams, a position she held from 2011 to 2022. Prior to joining Novo Nordisk, Dr. Phillips held positions of increasing seniority at GlaxoSmithKline from 1998 to 2010, most recently as Vice President, Medicine Development Leader. Dr. Phillips also served on the board of directors of Trevena Corporation, a biopharmaceutical company, a position she held from 2014 to 2024. Dr. Phillips also served as a member of the board of directors of Carmot Therapeutics, a private biopharmaceutical company, from 2022 to 2023. Dr. Phillips also served as a member of the board of directors of AMAG Pharmaceuticals, Inc., a pharmaceutical company, from 2019 to 2020, and Biotechnology Innovation Organization, a biotechnology trade organization, from 2017 to 2018. Dr. Phillips currently serves on the board of directors of Sagimet Biosciences since August 2024, as well as on the board of directors of vTv Therapeutics since March 2024. Dr. Phillips received a BSc in Zoology from the University of Western Ontario and an MD from the University of Toronto. She completed postgraduate training in Internal Medicine, Medical Microbiology and Infectious Diseases. We believe Dr. Phillips is qualified to serve on our board of directors because of her extensive expertise in the life sciences industry.</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Karen T. Dawes </w:t>
      </w:r>
      <w:r>
        <w:rPr>
          <w:rFonts w:ascii="Times New Roman" w:cs="Times New Roman" w:eastAsia="Times New Roman" w:hAnsi="Times New Roman"/>
          <w:sz w:val="18"/>
          <w:szCs w:val="18"/>
          <w:color w:val="auto"/>
        </w:rPr>
        <w:t>has been a member of our board of directors since February 2021. Ms. Dawes is the President of Knowledgeable Decisions,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biopharma pharmaceutical consulting firm focusing on development and commercial/corporate strategy, a position she has held since 2003. Ms. Dawes served from 1999 to 2003 as Senior Vice President and U.S. Business Group Head for Bayer Corporation’s U.S. Pharmaceuticals Group. Prior to joining Bayer, she was Senior Vice President, Global Strategic Marketing, at Wyeth LLC, a pharmaceutical company (formerly known as American Home Products). Ms. Dawes also served as Vice President, Chief Commercial Officer, for Genetics Institute, Inc. Ms. Dawes began her pharmaceuticals industry career at Pfizer, Inc. where, from 1984 to 1994, she held a number of marketing positions, serving most recently as Vice President, Marketing of the Pratt Division. Ms. Dawes also serves on the boards of directors of one publicly traded company, Repligen Corporation, one privately-held company, JPA Health, and one not-for-profit organization, Medicines 360. Ms. Dawes received a BA and an MA from Simmons College in English Literature and an MBA from Harvard University. We believe Ms. Dawes is qualified to serve on our board of directors because of her extensive experience with biopharmaceutical companies as well as her considerable background in the development and commercialization of pharmaceutical products.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Joseph C. Scheeren </w:t>
      </w:r>
      <w:r>
        <w:rPr>
          <w:rFonts w:ascii="Times New Roman" w:cs="Times New Roman" w:eastAsia="Times New Roman" w:hAnsi="Times New Roman"/>
          <w:sz w:val="18"/>
          <w:szCs w:val="18"/>
          <w:color w:val="auto"/>
        </w:rPr>
        <w:t>has been a member of our board of directors since March 2021. Dr. Scheeren is also the founder and president of Scheeren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consulting company specializing in pharmaceutical development and regulatory affairs, and has held these positions since August 2021. Dr. Scheeren serves as the co-chair of the Scientific Advisory Board of Fosun Shanghai Pharmaceuticals in Shanghai since February 2023 and is a member of the International Advisory Board of the French Clinical Research Infrastructure Network in France. He is also on the Supervisory Board of Connect 4 Children Stiechting ("C4C S"), a Dutch non-profit organization since May 2023. Dr. Scheeren served as President and Chief Executive Officer of Critical Path Institute, ("C-Path"), a non-profit organization, from April 2019 to March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joining C-Path, Dr. Scheeren served in various senior roles at Bayer AG, a global pharmaceutical company, for 15 years, including serving as Senior Vice President, Senior Advisor to Research and Development from January 2018 to December 2018 and Senior Vice President, Head of Global Regulatory Affairs, Pharmaceuticals and Consumer Health from January 2015 to December 2017. He previously also held numerous executive positions at Aventis Pharmaceuticals, Roussel UCLAF, Ares Serono and Les Laboratoires Servier. Dr. Scheeren has served as an advisor to PathBiotech LLC from June 2021 until October 2023. Dr. Scheeren currently serves as a director on several boards of non- profit organizations, is an adjunct Professor of Regulatory Science at Peking University, Beijing, and was a lecturer at Yale University. Dr Scheeren earned his PharmD, MSc and BS degrees at the University of Leiden, Leiden, the Netherlands, School of Pharmacy. We believe Dr. Scheeren is qualified to serve on our board of directors because of his global expertise in research and development and regulatory affairs in the pharmaceutical industry.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our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Composition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seeks director candidates who represent a mix of backgrounds and experiences that will enhance the quality of our board of directors' deliberations and decisions. Such candidates are expected to have substantial experience with one or more publicly traded national or multinational companies or have achieved a high level of distinction in their chosen field.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our Board of Directors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leadership structure of our board of directors separates the positions of chief executive officer and chairman of the board in order to ensure independent leadership of the Board. Our Board believes that this separation is appropriate for the Company at this time because it allows for a division of responsibilities, with our chief executive officer focused on leading the Company while the chairman can focus on leading the Board in overseeing management, and for a sharing of ideas between individuals having different perspectives.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our Board of Directors</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Our board of directors has determined that Robin Wright, Pierre A. Morgon, Anne M. Phillips, Karen T. Dawes and Joseph C. Sheeren are each independent within the meaning of the director independence standards of Nasdaq. Furthermore, our board of directors has determined that all of the</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members of our audit committee, compensation committee, and nominating and corporate governance committee are independent within the meaning of the director independence standards of Nasdaq and the rules of the SEC applicable to each such committee.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Alex Hammacher and William Enright are not independent within the meaning of director independence standards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 and Adverse Proceedings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directors or executive officers. Neither we nor any of our subsidiaries are party to any material proceedings to which any of our directors, officers, affiliates, 5% or more shareholders, or any of their respective associates are a party. We do not believe that any of our directors, officers, affiliates, 5% or more shareholders, or any of their respective associates are adverse to us or any of our subsidiaries or have a material interest that is adverse to us or any of our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Conduct that applies to all officers, directors and employees in connection with their work for us. The full text of our Code of Conduct is posted on the investor relations page of our website at investors.barinthusbio.com/corporate-governance.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satisfy any disclosure requirements under Item 5.05 of Form 8-K regarding an amendment to, or waiver from, a provision of this Code of Conduct by posting such information on our website, at the Internet address and location specified above.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 Management</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primarily responsible for assessing and managing risk, while our board of directors is responsible for overseeing management’s execution of its responsibilities. Our board of directors is supported by its committees in fulfillment of this responsibility. For example, our audit committee focuses on our overall financial risk by evaluating our internal controls and disclosure policies as well as ensuring the integrity of our financial statements and periodic reports. The audit committee also oversees the Company’s information security and technology risks, including the Company’s information security and related risk management programs. Our compensation committee strives to create incentives that encourage an appropriate level of risk-taking consistent with our business strategy. Our nominating and corporate governance committee ensures that our governance policies and procedures are appropriate in light of the risks we face.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three standing committees: the audit committee, the compensation committee and the nominating and corporate governance committee. The charters for each of these committees can be found on our website at www.barinthusbio.com, under the “Corporate Governance” subsection of the “Investors” section. Each such committee reviews its respective charter at least annually.</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Audit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Nominating and Corporate</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William Enright</w:t>
            </w: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Robin Wright</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800" w:type="dxa"/>
            <w:vAlign w:val="bottom"/>
            <w:tcBorders>
              <w:right w:val="single" w:sz="8" w:color="auto"/>
            </w:tcBorders>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Alex Hammacher</w:t>
            </w: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Pierre A. Morgon. ParmD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Anne M. Phillips, MD</w:t>
            </w: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Karen T. Dawes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Joseph C. Sheeren</w:t>
            </w: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30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*denotes committee chairperson.</w:t>
            </w:r>
          </w:p>
        </w:tc>
        <w:tc>
          <w:tcPr>
            <w:tcW w:w="2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is currently composed of Karen T. Dawes, Pierre A. Morgon and Robin Wright, and is chaired by Mr. Wright. Our board of directors has determined that each member of the audit committee meets the independence requirements of Rule 10A-3 under the Securities Exchange Act of 1934, as amended (the “Exchange Act”) and the applicable Nasdaq rules. All members of our audit committee meet the requirements for financial literacy under the applicable rules and regulations of the SEC and the Nasdaq listing rules. Our board of directors has determined that Mr. Wright is an “audit committee financial expert” within the meaning of SEC regulations and the applicable Nasdaq rules. The audit committee held 5 meetings during 2025. The audit committee's responsibilities include:</w:t>
      </w:r>
    </w:p>
    <w:p>
      <w:pPr>
        <w:spacing w:after="0" w:line="32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appointment of the independent auditor to the general meeting of shareholders;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and oversight of any accounting firm engaged for the purpose of preparing or issuing an audit report or performing other audit services;</w:t>
      </w:r>
    </w:p>
    <w:p>
      <w:pPr>
        <w:ind w:left="66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our independent auditor before the auditor is engaged to render such services;</w:t>
      </w:r>
    </w:p>
    <w:p>
      <w:pPr>
        <w:ind w:left="66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 and presenting its conclusions to the full board of directors on at least an annual basis;</w:t>
      </w:r>
    </w:p>
    <w:p>
      <w:pPr>
        <w:ind w:left="66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controls with management and any remediation plan associated with any significant control deficiencies or material weaknesses;</w:t>
      </w:r>
    </w:p>
    <w:p>
      <w:pPr>
        <w:ind w:left="66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financial statements and our financial reporting process;</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ratifying any related party transactions;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Company is required to prepare a financial restatement.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is currently composed of Anne M. Phillips, Robin Wright and Joseph C. Scheeren, and is chaired by Dr. Phillips. Our board of directors has determined that each member of the compensation committee is “independent” as defined in the applicable Nasdaq rules. Each member of our compensation committee is a non-employee director, as defined in Rule 16b-3 promulgated under the Exchange Act. The compensation committee held 3 meetings during 2025. The compensation committee's responsibilities include:</w:t>
      </w:r>
    </w:p>
    <w:p>
      <w:pPr>
        <w:spacing w:after="0" w:line="31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corporate goals and objectives relevant to the compensation of our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determine and approve the Chief Executive Officer’s compensation;</w:t>
      </w: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our policies and procedures for the grant of equity-based awards;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SEC rules;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if and when required, to be included in our annual proxy statement;</w:t>
      </w:r>
    </w:p>
    <w:p>
      <w:pPr>
        <w:ind w:left="660" w:hanging="328"/>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w:t>
      </w: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a compensation recovery policy.</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delegated to the compensation committee the authority to determine the compensation for all of our executive officers. Non-executive director compensation is recommended by our compensation committee to the board of directors for approval. Our Chief Executive Officer may participate in general discussions with our compensation committee and board of directors about these compensation matters but he does not participate in discussions during which his individual compensation is being considered and approved.</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the compensation committee retained the services of the Rewards Solutions practice at Aon plc ("Aon”), an independent compensation consultant, to assist the compensation committee with respect to compensation actions in 2025 with the goal of ensuring that our compensation arrangements for our Chief Executive Officer, our other senior executive officers and our non-executive directors were competitive. Aon provided data from comparable publicly traded biotechnology companies and otherwise assisted the compensation committee in its design of competitive compensation for our Chief Executive Officer, senior executives and non-executive directors. The compensation committee expects to continue to use compensation consultants to assist the compensation committee in determining competitive levels of executive and non-executive compensation and specific design elements of our executive compensation program and non-executive directors’ compensation program. After review and consultation with Aon, the compensation committee determined that Aon is independent and that there is no conflict of interest resulting from retaining Aon in 2025. In reaching these conclusions, our compensation committee considered the factors set forth in the SEC rules and the applicable Nasdaq rules.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Pierre A. Morgon, Karen T. Dawes and Joseph C. Scheeren, which is chaired by Dr. Morgon. Our board of directors has determined that each member of the nominating and corporate governance committee is “independent” as defined under the applicable Nasdaq rules. The nominating and corporate governance committee held 1 meeting during 2025. The nominating and corporate governance committee's responsibilities include:</w:t>
      </w:r>
    </w:p>
    <w:p>
      <w:pPr>
        <w:spacing w:after="0" w:line="274"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selection criteria and appointment procedures for directors;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election to our board of directors and appointment to its committees;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functioning of our board of directors and executive officers and reporting the results of such assessment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corporate governance guidelines and any other governance policies;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of the Company’s key human resource management strategies and programs;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Company’s policies and procedures regrading on succession planning and continuing education of employees.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shareholders in the same manner and using the same general criteria as candidates recruited by the committee and/or recommended by our board of directors.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filling vacancies on our board of directors and for nominating candidates for election by our shareholders each year in the class of directors whose term expires at the relevant annual general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full board of directors met 11 times during 2025. During 2025, each member of our board of directors attended in person or participated in 75% or more of the aggregate of (i) the total number of meetings of our board of directors (held during the period for which such person has been a director), and</w:t>
      </w:r>
    </w:p>
    <w:p>
      <w:pPr>
        <w:jc w:val="both"/>
        <w:ind w:firstLine="8"/>
        <w:spacing w:after="0" w:line="263" w:lineRule="auto"/>
        <w:tabs>
          <w:tab w:leader="none" w:pos="2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of the board of directors on which such person served (during the periods that such person served). Directors are encouraged to attend the annual meeting of stockholders. Last year, we held an annual meeting of stockholders on June 10, 2025, at which all of our directors were present.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Prohibition on Hedging and/or Pledging Securities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adopted our insider trading policy governing transactions in our securities by our executive officers, directors, employees and certain designated consultants, that the Company believes it is reasonably designed to promote compliance within insider trading laws, rules and regulations, and any listing standards applicable to the Company.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allows our directors, officers, vice-president level or above employees, and members of the finance department involved in periodic financial reporting to pledge our securities as collateral for a loan (or modify an existing pledge) only if the pledge has been approved by the audit committee.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the Company’s policy to comply with applicable insider trading laws, rules and regulations, and any exchange listing standards when engaging in transactions in Company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 Policy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Rule 10b5-1 trading plan policy, which permits our officers, directors, employees and certain other persons to enter into trading plans complying with Rule 10b5-1 under the Exchange Act. Generally, under these trading plans, the individual relinquishes control over the transactions once the trading plan is put into place and can only put such plans into place while the individual is not in possession of material non-public information. Accordingly, sales under these plans may occur at any time, including possibly before, simultaneously with, or immediately after significant events involving our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adopted a Compensation Recovery Policy effective as of October 2, 2023 and adopted an Amended and Restated Compensation Recovery Policy effective June 21, 2023 in compliance with the Nasdaq listing rules, which requires recovery from executive officers of incentive-based compensation that is earned, granted or vested based on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achievement of a financial reporting measure in the event of that we are required to restate our previously issued financial statements due to our material noncompliance with any financial reporting requirement under securities laws. The recoverable compensation includes any compensation received after the effective date of the Compensation Recovery Policy and in the three-year fiscal period preceding the date we were required to prepare the accounting restatement that is in excess of the amount that would have been earned, paid or vested had it been calculated based on the restated financial statements. Recovery is required regardless of fault or a covered officer’s role in the financial reporting process.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table below shows all compensation earned by or paid to our non-executive directors during 2025. William Enright, our Chief Executive Officer, does not receive any compensation for his services as a director and, consequently, is not included in this table. The compensation received by William Enright during 2025 is set forth in the heading "Named Executive Compensation".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Fees Paid</w:t>
            </w:r>
          </w:p>
        </w:tc>
        <w:tc>
          <w:tcPr>
            <w:tcW w:w="17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7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7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3"/>
        </w:trPr>
        <w:tc>
          <w:tcPr>
            <w:tcW w:w="3860" w:type="dxa"/>
            <w:vAlign w:val="bottom"/>
          </w:tcPr>
          <w:p>
            <w:pPr>
              <w:spacing w:after="0"/>
              <w:rPr>
                <w:sz w:val="8"/>
                <w:szCs w:val="8"/>
                <w:color w:val="auto"/>
              </w:rPr>
            </w:pPr>
          </w:p>
        </w:tc>
        <w:tc>
          <w:tcPr>
            <w:tcW w:w="3900" w:type="dxa"/>
            <w:vAlign w:val="bottom"/>
            <w:vMerge w:val="restart"/>
          </w:tcPr>
          <w:p>
            <w:pPr>
              <w:jc w:val="center"/>
              <w:ind w:left="1828"/>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760" w:type="dxa"/>
            <w:vAlign w:val="bottom"/>
            <w:vMerge w:val="restart"/>
          </w:tcPr>
          <w:p>
            <w:pPr>
              <w:jc w:val="center"/>
              <w:ind w:left="31"/>
              <w:spacing w:after="0"/>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9"/>
                <w:szCs w:val="9"/>
                <w:b w:val="1"/>
                <w:bCs w:val="1"/>
                <w:color w:val="auto"/>
                <w:w w:val="88"/>
              </w:rPr>
              <w:t>(1)(2)</w:t>
            </w: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4"/>
                <w:szCs w:val="14"/>
                <w:color w:val="auto"/>
              </w:rPr>
              <w:t>Alex Hammacher</w:t>
            </w:r>
            <w:r>
              <w:rPr>
                <w:rFonts w:ascii="Times New Roman" w:cs="Times New Roman" w:eastAsia="Times New Roman" w:hAnsi="Times New Roman"/>
                <w:sz w:val="18"/>
                <w:szCs w:val="18"/>
                <w:color w:val="auto"/>
                <w:vertAlign w:val="superscript"/>
              </w:rPr>
              <w:t>(3)</w:t>
            </w:r>
          </w:p>
        </w:tc>
        <w:tc>
          <w:tcPr>
            <w:tcW w:w="3900" w:type="dxa"/>
            <w:vAlign w:val="bottom"/>
            <w:shd w:val="clear" w:color="auto" w:fill="CCEDFF"/>
          </w:tcPr>
          <w:p>
            <w:pPr>
              <w:jc w:val="center"/>
              <w:ind w:left="1848"/>
              <w:spacing w:after="0"/>
              <w:rPr>
                <w:sz w:val="20"/>
                <w:szCs w:val="20"/>
                <w:color w:val="auto"/>
              </w:rPr>
            </w:pPr>
            <w:r>
              <w:rPr>
                <w:rFonts w:ascii="Times New Roman" w:cs="Times New Roman" w:eastAsia="Times New Roman" w:hAnsi="Times New Roman"/>
                <w:sz w:val="14"/>
                <w:szCs w:val="14"/>
                <w:color w:val="auto"/>
              </w:rPr>
              <w:t>$42,182</w:t>
            </w:r>
          </w:p>
        </w:tc>
        <w:tc>
          <w:tcPr>
            <w:tcW w:w="1760" w:type="dxa"/>
            <w:vAlign w:val="bottom"/>
            <w:shd w:val="clear" w:color="auto" w:fill="CCEDFF"/>
          </w:tcPr>
          <w:p>
            <w:pPr>
              <w:jc w:val="center"/>
              <w:ind w:left="31"/>
              <w:spacing w:after="0"/>
              <w:rPr>
                <w:sz w:val="20"/>
                <w:szCs w:val="20"/>
                <w:color w:val="auto"/>
              </w:rPr>
            </w:pPr>
            <w:r>
              <w:rPr>
                <w:rFonts w:ascii="Times New Roman" w:cs="Times New Roman" w:eastAsia="Times New Roman" w:hAnsi="Times New Roman"/>
                <w:sz w:val="14"/>
                <w:szCs w:val="14"/>
                <w:color w:val="auto"/>
              </w:rPr>
              <w:t>$17,295</w:t>
            </w:r>
          </w:p>
        </w:tc>
        <w:tc>
          <w:tcPr>
            <w:tcW w:w="17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$59,477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Pierre A. Morgon</w:t>
            </w:r>
            <w:r>
              <w:rPr>
                <w:rFonts w:ascii="Times New Roman" w:cs="Times New Roman" w:eastAsia="Times New Roman" w:hAnsi="Times New Roman"/>
                <w:sz w:val="18"/>
                <w:szCs w:val="18"/>
                <w:color w:val="auto"/>
                <w:vertAlign w:val="superscript"/>
              </w:rPr>
              <w:t>(4)</w:t>
            </w: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color w:val="auto"/>
              </w:rPr>
              <w:t>$61,295</w:t>
            </w:r>
          </w:p>
        </w:tc>
        <w:tc>
          <w:tcPr>
            <w:tcW w:w="1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$17,295</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$78,590</w:t>
            </w:r>
          </w:p>
        </w:tc>
        <w:tc>
          <w:tcPr>
            <w:tcW w:w="0" w:type="dxa"/>
            <w:vAlign w:val="bottom"/>
          </w:tcPr>
          <w:p>
            <w:pPr>
              <w:spacing w:after="0"/>
              <w:rPr>
                <w:sz w:val="1"/>
                <w:szCs w:val="1"/>
                <w:color w:val="auto"/>
              </w:rPr>
            </w:pPr>
          </w:p>
        </w:tc>
      </w:tr>
      <w:tr>
        <w:trPr>
          <w:trHeight w:val="229"/>
        </w:trPr>
        <w:tc>
          <w:tcPr>
            <w:tcW w:w="3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4"/>
                <w:szCs w:val="14"/>
                <w:color w:val="auto"/>
              </w:rPr>
              <w:t>Robin Wright</w:t>
            </w:r>
            <w:r>
              <w:rPr>
                <w:rFonts w:ascii="Times New Roman" w:cs="Times New Roman" w:eastAsia="Times New Roman" w:hAnsi="Times New Roman"/>
                <w:sz w:val="18"/>
                <w:szCs w:val="18"/>
                <w:color w:val="auto"/>
                <w:vertAlign w:val="superscript"/>
              </w:rPr>
              <w:t>(5)</w:t>
            </w:r>
          </w:p>
        </w:tc>
        <w:tc>
          <w:tcPr>
            <w:tcW w:w="3900" w:type="dxa"/>
            <w:vAlign w:val="bottom"/>
            <w:shd w:val="clear" w:color="auto" w:fill="CCEDFF"/>
          </w:tcPr>
          <w:p>
            <w:pPr>
              <w:jc w:val="center"/>
              <w:ind w:left="1848"/>
              <w:spacing w:after="0"/>
              <w:rPr>
                <w:sz w:val="20"/>
                <w:szCs w:val="20"/>
                <w:color w:val="auto"/>
              </w:rPr>
            </w:pPr>
            <w:r>
              <w:rPr>
                <w:rFonts w:ascii="Times New Roman" w:cs="Times New Roman" w:eastAsia="Times New Roman" w:hAnsi="Times New Roman"/>
                <w:sz w:val="14"/>
                <w:szCs w:val="14"/>
                <w:color w:val="auto"/>
              </w:rPr>
              <w:t>$92,272</w:t>
            </w:r>
          </w:p>
        </w:tc>
        <w:tc>
          <w:tcPr>
            <w:tcW w:w="1760" w:type="dxa"/>
            <w:vAlign w:val="bottom"/>
            <w:shd w:val="clear" w:color="auto" w:fill="CCEDFF"/>
          </w:tcPr>
          <w:p>
            <w:pPr>
              <w:jc w:val="center"/>
              <w:ind w:left="31"/>
              <w:spacing w:after="0"/>
              <w:rPr>
                <w:sz w:val="20"/>
                <w:szCs w:val="20"/>
                <w:color w:val="auto"/>
              </w:rPr>
            </w:pPr>
            <w:r>
              <w:rPr>
                <w:rFonts w:ascii="Times New Roman" w:cs="Times New Roman" w:eastAsia="Times New Roman" w:hAnsi="Times New Roman"/>
                <w:sz w:val="14"/>
                <w:szCs w:val="14"/>
                <w:color w:val="auto"/>
              </w:rPr>
              <w:t>$17,295</w:t>
            </w:r>
          </w:p>
        </w:tc>
        <w:tc>
          <w:tcPr>
            <w:tcW w:w="17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$109,567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Anne M. Phillips</w:t>
            </w:r>
            <w:r>
              <w:rPr>
                <w:rFonts w:ascii="Times New Roman" w:cs="Times New Roman" w:eastAsia="Times New Roman" w:hAnsi="Times New Roman"/>
                <w:sz w:val="18"/>
                <w:szCs w:val="18"/>
                <w:color w:val="auto"/>
                <w:vertAlign w:val="superscript"/>
              </w:rPr>
              <w:t>(6)</w:t>
            </w: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color w:val="auto"/>
              </w:rPr>
              <w:t>$55,363</w:t>
            </w:r>
          </w:p>
        </w:tc>
        <w:tc>
          <w:tcPr>
            <w:tcW w:w="1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$17,295</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$72,658</w:t>
            </w:r>
          </w:p>
        </w:tc>
        <w:tc>
          <w:tcPr>
            <w:tcW w:w="0" w:type="dxa"/>
            <w:vAlign w:val="bottom"/>
          </w:tcPr>
          <w:p>
            <w:pPr>
              <w:spacing w:after="0"/>
              <w:rPr>
                <w:sz w:val="1"/>
                <w:szCs w:val="1"/>
                <w:color w:val="auto"/>
              </w:rPr>
            </w:pPr>
          </w:p>
        </w:tc>
      </w:tr>
      <w:tr>
        <w:trPr>
          <w:trHeight w:val="229"/>
        </w:trPr>
        <w:tc>
          <w:tcPr>
            <w:tcW w:w="38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4"/>
                <w:szCs w:val="14"/>
                <w:color w:val="auto"/>
              </w:rPr>
              <w:t>Joseph C. Scheeren</w:t>
            </w:r>
            <w:r>
              <w:rPr>
                <w:rFonts w:ascii="Times New Roman" w:cs="Times New Roman" w:eastAsia="Times New Roman" w:hAnsi="Times New Roman"/>
                <w:sz w:val="18"/>
                <w:szCs w:val="18"/>
                <w:color w:val="auto"/>
                <w:vertAlign w:val="superscript"/>
              </w:rPr>
              <w:t>(7)</w:t>
            </w:r>
          </w:p>
        </w:tc>
        <w:tc>
          <w:tcPr>
            <w:tcW w:w="3900" w:type="dxa"/>
            <w:vAlign w:val="bottom"/>
            <w:shd w:val="clear" w:color="auto" w:fill="CCEDFF"/>
          </w:tcPr>
          <w:p>
            <w:pPr>
              <w:jc w:val="center"/>
              <w:ind w:left="1848"/>
              <w:spacing w:after="0"/>
              <w:rPr>
                <w:sz w:val="20"/>
                <w:szCs w:val="20"/>
                <w:color w:val="auto"/>
              </w:rPr>
            </w:pPr>
            <w:r>
              <w:rPr>
                <w:rFonts w:ascii="Times New Roman" w:cs="Times New Roman" w:eastAsia="Times New Roman" w:hAnsi="Times New Roman"/>
                <w:sz w:val="14"/>
                <w:szCs w:val="14"/>
                <w:color w:val="auto"/>
              </w:rPr>
              <w:t>$54,045</w:t>
            </w:r>
          </w:p>
        </w:tc>
        <w:tc>
          <w:tcPr>
            <w:tcW w:w="1760" w:type="dxa"/>
            <w:vAlign w:val="bottom"/>
            <w:shd w:val="clear" w:color="auto" w:fill="CCEDFF"/>
          </w:tcPr>
          <w:p>
            <w:pPr>
              <w:jc w:val="center"/>
              <w:ind w:left="31"/>
              <w:spacing w:after="0"/>
              <w:rPr>
                <w:sz w:val="20"/>
                <w:szCs w:val="20"/>
                <w:color w:val="auto"/>
              </w:rPr>
            </w:pPr>
            <w:r>
              <w:rPr>
                <w:rFonts w:ascii="Times New Roman" w:cs="Times New Roman" w:eastAsia="Times New Roman" w:hAnsi="Times New Roman"/>
                <w:sz w:val="14"/>
                <w:szCs w:val="14"/>
                <w:color w:val="auto"/>
              </w:rPr>
              <w:t>$17,295</w:t>
            </w:r>
          </w:p>
        </w:tc>
        <w:tc>
          <w:tcPr>
            <w:tcW w:w="17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4"/>
                <w:szCs w:val="14"/>
                <w:color w:val="auto"/>
              </w:rPr>
              <w:t>$71,340</w:t>
            </w:r>
          </w:p>
        </w:tc>
        <w:tc>
          <w:tcPr>
            <w:tcW w:w="0" w:type="dxa"/>
            <w:vAlign w:val="bottom"/>
          </w:tcPr>
          <w:p>
            <w:pPr>
              <w:spacing w:after="0"/>
              <w:rPr>
                <w:sz w:val="1"/>
                <w:szCs w:val="1"/>
                <w:color w:val="auto"/>
              </w:rPr>
            </w:pPr>
          </w:p>
        </w:tc>
      </w:tr>
      <w:tr>
        <w:trPr>
          <w:trHeight w:val="24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Karen T. Dawes</w:t>
            </w:r>
            <w:r>
              <w:rPr>
                <w:rFonts w:ascii="Times New Roman" w:cs="Times New Roman" w:eastAsia="Times New Roman" w:hAnsi="Times New Roman"/>
                <w:sz w:val="18"/>
                <w:szCs w:val="18"/>
                <w:color w:val="auto"/>
                <w:vertAlign w:val="superscript"/>
              </w:rPr>
              <w:t>(8)</w:t>
            </w: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color w:val="auto"/>
              </w:rPr>
              <w:t>$56,022</w:t>
            </w:r>
          </w:p>
        </w:tc>
        <w:tc>
          <w:tcPr>
            <w:tcW w:w="1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$17,295</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2025 of £0.7586 to $1.00.</w:t>
      </w:r>
    </w:p>
    <w:p>
      <w:pPr>
        <w:spacing w:after="0" w:line="27" w:lineRule="exact"/>
        <w:rPr>
          <w:rFonts w:ascii="Times New Roman" w:cs="Times New Roman" w:eastAsia="Times New Roman" w:hAnsi="Times New Roman"/>
          <w:sz w:val="18"/>
          <w:szCs w:val="18"/>
          <w:color w:val="auto"/>
        </w:rPr>
      </w:pPr>
    </w:p>
    <w:p>
      <w:pPr>
        <w:jc w:val="both"/>
        <w:ind w:left="660" w:hanging="246"/>
        <w:spacing w:after="0" w:line="250"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grant date fair value of stock option awards granted during 2025. The grant date fair value was computed in accordance with Financial Accounting Standards Board (“FASB”) Accounting Standards Codification Topic 718 (“ASC Topic 718”), Compensation — Stock Compensation, disregarding the effect of estimated forfeitures related to service-based vesting. The assumptions used in calculating the grant date fair value of the shares are set forth in Note 14 of “Notes to Consolidated Financial Statements.” These amounts reflect the accounting cost for the stock options and do not correspond to the actual economic value that may be received by the director upon exercise of the stock options.</w:t>
      </w:r>
    </w:p>
    <w:p>
      <w:pPr>
        <w:spacing w:after="0" w:line="2" w:lineRule="exact"/>
        <w:rPr>
          <w:rFonts w:ascii="Times New Roman" w:cs="Times New Roman" w:eastAsia="Times New Roman" w:hAnsi="Times New Roman"/>
          <w:sz w:val="18"/>
          <w:szCs w:val="18"/>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Hammacher held unexercised options to purchase 111,819 shares.</w:t>
      </w:r>
    </w:p>
    <w:p>
      <w:pPr>
        <w:spacing w:after="0" w:line="9" w:lineRule="exact"/>
        <w:rPr>
          <w:rFonts w:ascii="Times New Roman" w:cs="Times New Roman" w:eastAsia="Times New Roman" w:hAnsi="Times New Roman"/>
          <w:sz w:val="18"/>
          <w:szCs w:val="18"/>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Morgon held unexercised options to purchase 132,213 shares.</w:t>
      </w:r>
    </w:p>
    <w:p>
      <w:pPr>
        <w:spacing w:after="0" w:line="9" w:lineRule="exact"/>
        <w:rPr>
          <w:rFonts w:ascii="Times New Roman" w:cs="Times New Roman" w:eastAsia="Times New Roman" w:hAnsi="Times New Roman"/>
          <w:sz w:val="18"/>
          <w:szCs w:val="18"/>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Wright held unexercised options to purchase 132,213 shares.</w:t>
      </w:r>
    </w:p>
    <w:p>
      <w:pPr>
        <w:spacing w:after="0" w:line="9" w:lineRule="exact"/>
        <w:rPr>
          <w:rFonts w:ascii="Times New Roman" w:cs="Times New Roman" w:eastAsia="Times New Roman" w:hAnsi="Times New Roman"/>
          <w:sz w:val="18"/>
          <w:szCs w:val="18"/>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Phillips held unexercised options to purchase 111,819 shares.</w:t>
      </w:r>
    </w:p>
    <w:p>
      <w:pPr>
        <w:spacing w:after="0" w:line="9" w:lineRule="exact"/>
        <w:rPr>
          <w:rFonts w:ascii="Times New Roman" w:cs="Times New Roman" w:eastAsia="Times New Roman" w:hAnsi="Times New Roman"/>
          <w:sz w:val="18"/>
          <w:szCs w:val="18"/>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Scheeren held unexercised options to purchase 111,819 shares.</w:t>
      </w:r>
    </w:p>
    <w:p>
      <w:pPr>
        <w:spacing w:after="0" w:line="9" w:lineRule="exact"/>
        <w:rPr>
          <w:rFonts w:ascii="Times New Roman" w:cs="Times New Roman" w:eastAsia="Times New Roman" w:hAnsi="Times New Roman"/>
          <w:sz w:val="18"/>
          <w:szCs w:val="18"/>
          <w:color w:val="auto"/>
        </w:rPr>
      </w:pPr>
    </w:p>
    <w:p>
      <w:pPr>
        <w:ind w:left="660" w:hanging="24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Dawes held unexercised options to purchase 111,819 shares.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Compensation Program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compensate our non-executive directors with a cash retainers and equity awards. The amount of each component of such director cash compensation may change from year to year and is generally established by the compensation committee in conjunction with the Board, and presented at our annual general meeting of shareholders for the period. The annual retainers in effect for services during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582930</wp:posOffset>
            </wp:positionV>
            <wp:extent cx="39687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68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p>
      <w:pPr>
        <w:spacing w:after="0" w:line="67"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service on the Board of Directors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compensation for service as non-executive Chair of the</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service as Chair of the Audit Committee</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service as Chair of the Compensation Committee</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Chair)</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service as Chair of the Nomination and Corporate Governance</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service as member of the Nomination and Corporate</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Governance Committee (other than Chair)</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200" w:lineRule="exact"/>
        <w:rPr>
          <w:sz w:val="20"/>
          <w:szCs w:val="20"/>
          <w:color w:val="auto"/>
        </w:rPr>
      </w:pPr>
    </w:p>
    <w:p>
      <w:pPr>
        <w:spacing w:after="0" w:line="3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policy provides that, upon initial election to our board of directors, each non-executive director will be granted an option to purchase a number of ordinary shares equal to 0.10% of the outstanding ordinary shares as of the date of grant (the “Initial Grant”). Furthermore, on the date of each of our annual meeting of shareholders, each non-executive director who will continue as a non-executive director following such meeting will be granted an option to purchase a number of ordinary shares equal to 0.05% of the outstanding ordinary shares as of the date of grant (the “Annual Grant”). The Annual Grant will vest in full on the earlier of (i) the one-year anniversary of the grant date or (ii) the next annual meeting of shareholders, subject to continued service as a director through the applicable vesting date. The Initial Grant will vest in 36 equal monthly installments, subject to continued service as a director through the applicable vesting date. Such awards are subject to full accelerated vesting upon the sale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directors will receive no additional compensation for their service as a director.</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Phillips, Mr. Wright, and Dr. Scheeren served as members of our compensation committee during the year ended December 31, 2025. None of the members of our compensation committee is, or has been at any time, one of our officers or employees. None of our executive officers currently serves, or has served in the past fiscal year, as a member of the board of directors or compensation committee of any entity that has one or more of its executive officers serving as a member of our board of directors or our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1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6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6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w:t>
            </w:r>
            <w:r>
              <w:rPr>
                <w:rFonts w:ascii="Times New Roman" w:cs="Times New Roman" w:eastAsia="Times New Roman" w:hAnsi="Times New Roman"/>
                <w:sz w:val="23"/>
                <w:szCs w:val="23"/>
                <w:b w:val="1"/>
                <w:bCs w:val="1"/>
                <w:color w:val="auto"/>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Awards ($)</w:t>
            </w:r>
            <w:r>
              <w:rPr>
                <w:rFonts w:ascii="Times New Roman" w:cs="Times New Roman" w:eastAsia="Times New Roman" w:hAnsi="Times New Roman"/>
                <w:sz w:val="23"/>
                <w:szCs w:val="23"/>
                <w:b w:val="1"/>
                <w:bCs w:val="1"/>
                <w:color w:val="auto"/>
                <w:w w:val="94"/>
                <w:vertAlign w:val="superscript"/>
              </w:rPr>
              <w:t>(1)</w:t>
            </w:r>
          </w:p>
        </w:tc>
        <w:tc>
          <w:tcPr>
            <w:tcW w:w="1620" w:type="dxa"/>
            <w:vAlign w:val="bottom"/>
            <w:vMerge w:val="continue"/>
          </w:tcPr>
          <w:p>
            <w:pPr>
              <w:spacing w:after="0"/>
              <w:rPr>
                <w:sz w:val="3"/>
                <w:szCs w:val="3"/>
                <w:color w:val="auto"/>
              </w:rPr>
            </w:pPr>
          </w:p>
        </w:tc>
        <w:tc>
          <w:tcPr>
            <w:tcW w:w="1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Compensation ($)</w:t>
            </w:r>
            <w:r>
              <w:rPr>
                <w:rFonts w:ascii="Times New Roman" w:cs="Times New Roman" w:eastAsia="Times New Roman" w:hAnsi="Times New Roman"/>
                <w:sz w:val="23"/>
                <w:szCs w:val="23"/>
                <w:b w:val="1"/>
                <w:bCs w:val="1"/>
                <w:color w:val="auto"/>
                <w:w w:val="97"/>
                <w:vertAlign w:val="superscript"/>
              </w:rPr>
              <w:t>(3)</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line="20" w:lineRule="exact"/>
              <w:rPr>
                <w:sz w:val="1"/>
                <w:szCs w:val="1"/>
                <w:color w:val="auto"/>
              </w:rPr>
            </w:pPr>
          </w:p>
        </w:tc>
      </w:tr>
      <w:tr>
        <w:trPr>
          <w:trHeight w:val="229"/>
        </w:trPr>
        <w:tc>
          <w:tcPr>
            <w:tcW w:w="21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Compensation ($)</w:t>
            </w:r>
            <w:r>
              <w:rPr>
                <w:rFonts w:ascii="Times New Roman" w:cs="Times New Roman" w:eastAsia="Times New Roman" w:hAnsi="Times New Roman"/>
                <w:sz w:val="23"/>
                <w:szCs w:val="23"/>
                <w:b w:val="1"/>
                <w:bCs w:val="1"/>
                <w:color w:val="auto"/>
                <w:w w:val="97"/>
                <w:vertAlign w:val="superscript"/>
              </w:rPr>
              <w:t>(2)</w:t>
            </w:r>
          </w:p>
        </w:tc>
        <w:tc>
          <w:tcPr>
            <w:tcW w:w="16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Enright</w:t>
            </w:r>
          </w:p>
        </w:tc>
        <w:tc>
          <w:tcPr>
            <w:tcW w:w="9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0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653,432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512,245</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47,986</w:t>
            </w:r>
          </w:p>
        </w:tc>
        <w:tc>
          <w:tcPr>
            <w:tcW w:w="11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1,213,663</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634,400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1,376,573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304,512</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47,474</w:t>
            </w: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2,362,959</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Leon Hooftman</w:t>
            </w:r>
            <w:r>
              <w:rPr>
                <w:rFonts w:ascii="Times New Roman" w:cs="Times New Roman" w:eastAsia="Times New Roman" w:hAnsi="Times New Roman"/>
                <w:sz w:val="23"/>
                <w:szCs w:val="23"/>
                <w:color w:val="auto"/>
                <w:vertAlign w:val="superscript"/>
              </w:rPr>
              <w:t>4</w:t>
            </w: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0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441,259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540,487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119,524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36,329</w:t>
            </w:r>
          </w:p>
        </w:tc>
        <w:tc>
          <w:tcPr>
            <w:tcW w:w="1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1,137,599</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Lynn</w:t>
            </w:r>
            <w:r>
              <w:rPr>
                <w:rFonts w:ascii="Times New Roman" w:cs="Times New Roman" w:eastAsia="Times New Roman" w:hAnsi="Times New Roman"/>
                <w:sz w:val="23"/>
                <w:szCs w:val="23"/>
                <w:color w:val="auto"/>
                <w:vertAlign w:val="superscript"/>
              </w:rPr>
              <w:t>5</w:t>
            </w: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0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301,795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268,257</w:t>
            </w:r>
          </w:p>
        </w:tc>
        <w:tc>
          <w:tcPr>
            <w:tcW w:w="11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570,052</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Scientific</w:t>
            </w: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Gemma Jones</w:t>
            </w:r>
            <w:r>
              <w:rPr>
                <w:rFonts w:ascii="Times New Roman" w:cs="Times New Roman" w:eastAsia="Times New Roman" w:hAnsi="Times New Roman"/>
                <w:sz w:val="23"/>
                <w:szCs w:val="23"/>
                <w:color w:val="auto"/>
                <w:vertAlign w:val="superscript"/>
              </w:rPr>
              <w:t>6</w:t>
            </w: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0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136,216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632,774</w:t>
            </w:r>
          </w:p>
        </w:tc>
        <w:tc>
          <w:tcPr>
            <w:tcW w:w="11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768,990</w:t>
            </w: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357,875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605,510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120,246</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23,294</w:t>
            </w: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1,106,925</w:t>
            </w:r>
          </w:p>
        </w:tc>
        <w:tc>
          <w:tcPr>
            <w:tcW w:w="0" w:type="dxa"/>
            <w:vAlign w:val="bottom"/>
          </w:tcPr>
          <w:p>
            <w:pPr>
              <w:spacing w:after="0"/>
              <w:rPr>
                <w:sz w:val="1"/>
                <w:szCs w:val="1"/>
                <w:color w:val="auto"/>
              </w:rPr>
            </w:pPr>
          </w:p>
        </w:tc>
      </w:tr>
      <w:tr>
        <w:trPr>
          <w:trHeight w:val="236"/>
        </w:trPr>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8"/>
        <w:spacing w:after="0" w:line="244" w:lineRule="auto"/>
        <w:tabs>
          <w:tab w:leader="none" w:pos="2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restricted share unit awards and option awards granted in 2025 and 2024 in accordance with ASC Topic 718, disregarding the effect of estimated forfeitures related to service-vesting conditions. The assumptions used in calculating the grant date fair value of the shares are set forth in the Note 14. These amounts do not correspond to the actual value that may be recognized by the named executive officers upon vesting of the applicable awards.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2024 represent the annual bonuses paid in February 2025 for the year ended December 31, 2024.</w:t>
      </w:r>
    </w:p>
    <w:p>
      <w:pPr>
        <w:spacing w:after="0" w:line="7" w:lineRule="exact"/>
        <w:rPr>
          <w:rFonts w:ascii="Times New Roman" w:cs="Times New Roman" w:eastAsia="Times New Roman" w:hAnsi="Times New Roman"/>
          <w:sz w:val="18"/>
          <w:szCs w:val="18"/>
          <w:color w:val="auto"/>
        </w:rPr>
      </w:pPr>
    </w:p>
    <w:p>
      <w:pPr>
        <w:jc w:val="both"/>
        <w:ind w:firstLine="8"/>
        <w:spacing w:after="0" w:line="250"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Mr. Enright 401(k) matching contributions and health insurance coverage. The amounts reported for Dr. Hooftman consist of pension contributions and health insurance. The amounts reported for Dr. Lynn consist of 401(k) matching contributions and health insurance coverage, $146,667 in severance compensation, $11,846 of unused vacation and $69,167 of consulting fees. The 2025 amounts reported for Mrs. Jones consist of pension contributions, health insurance, $261,678 in severance compensation, $17,808 of unused vacation and $349,245 of consulting fees. The 2024 amounts reported for Mrs. Jones consist of pension contributions and healthcare. The amounts reported for Mrs. Jones and Dr. Hooftman have been converted from pounds sterling to U.S. dollars using the average exchange rate for 2024 of 0.7824 to $1.00 and 2025 of £0.7586 to $1.00.</w:t>
      </w:r>
    </w:p>
    <w:p>
      <w:pPr>
        <w:spacing w:after="0" w:line="2" w:lineRule="exact"/>
        <w:rPr>
          <w:rFonts w:ascii="Times New Roman" w:cs="Times New Roman" w:eastAsia="Times New Roman" w:hAnsi="Times New Roman"/>
          <w:sz w:val="18"/>
          <w:szCs w:val="18"/>
          <w:color w:val="auto"/>
        </w:rPr>
      </w:pPr>
    </w:p>
    <w:p>
      <w:pPr>
        <w:ind w:right="20" w:firstLine="8"/>
        <w:spacing w:after="0" w:line="250" w:lineRule="auto"/>
        <w:tabs>
          <w:tab w:leader="none" w:pos="2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2025 of £0.7586 to $1.00. Dr. Hooftman was not a named executive officer for 2024.</w:t>
      </w:r>
    </w:p>
    <w:p>
      <w:pPr>
        <w:ind w:left="260" w:hanging="252"/>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Lynn was not a named executive officer for 2024. Dr. Lynn’s employment terminated effective as of September 5, 2025.</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2024 of 0.7824 to $1.00 and 2025 of £0.7586 to $1.00. Mrs. Jones' employment terminated effective as of April 30, 2025. She transitioned to a consultant after her termination date and serves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the Summary Compensation Table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fiscal year ending December 31, 2025, the base salaries for Mr. Enright and Dr. Hooftman were $653,432 and £334,750 ($441,259 using the average exchange rate for 2025 of £0.7586 to $1.00), respectively. At the time of Dr. Lynn's date of termination on September 5, 2025, his base salary was $440,000. At the time of Mrs. Jones' date of termination on April 30, 2025, her base salary was £310,000 ($408,648 using the average exchange rate for 2025 of £0.7586 to $1.00).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the attainment of certain company and individual performance goals, the Board may approve discretionary bonuses based on a percentage of the executive’s base salary. For the fiscal year ended December 31, 2025, each named executive officer was eligible to earn an annual cash bonus calculated as a percentage of each executive’s base salary and based on the achievement of corporate performance metrics. The corporate performance metrics were not satisfied and no annual cash bonus was awarded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Incentives</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shareholders. In addition, we believe that equity grants promote executive retention because they incentivize our executive officers to remain in our employment during the vesting period. Accordingly, our board of directors periodically reviews the equity incentive compensation of our named executive officers and may grant equity incentive awards to them from time to time. Equity awards granted during fiscal year 2025 are set forth below in the Outstanding Equity Awards at Fiscal Year-End 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Named Executive Officers</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auto"/>
        </w:rPr>
        <w:t>William Enright</w:t>
      </w:r>
      <w:r>
        <w:rPr>
          <w:rFonts w:ascii="Times New Roman" w:cs="Times New Roman" w:eastAsia="Times New Roman" w:hAnsi="Times New Roman"/>
          <w:sz w:val="18"/>
          <w:szCs w:val="18"/>
          <w:color w:val="auto"/>
        </w:rPr>
        <w:t>. We entered into a new employment agreement with Mr. Enright effective upon the closing of our IPO in May 2021.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Mr. Enright agreed to continue to serve as our chief executive officer. Mr. Enright shall be entitled to an annual base salary, subject to periodic increase (but not decrease), target annual bonus opportunity and employee benefits. Under Mr. Enright’s new employment agreement, in the event that Mr. Enright’s employment is terminated by us without “cause” or Mr. Enright resigns for “good reason” (as such terms are defined in the employment agreement), subject to the execution and effectiveness of a separation agreement, including a general release of claims in our favor), he will be entitled to receive (i) an amount equal to 12 months of his base salary, payable over the 12 month period following his termination, (ii) if his termination occurs following completion of a calendar year but prior to payment of an annual bonus, payment of such annual bonus, and (iii) if Mr. Enright is participating in our group health plans immediately prior to his termination and elects COBRA health continuation, continuation of such group health coverage at the same rate as if he were an active employee, until the earliest of (A) the 12 month anniversary of his termination; (B) his eligibility for group medical plan benefits under any other employer’s group medical plan; or (C) the cessation of his continuation rights under COBRA. The employment agreement also provides that, in lieu of the payments and benefits described above, in the event that Mr. Enright’s employment is terminated by us without cause or Mr. Enright resigns for good reason, in either case within 12 months following a “change in control” (as defined in the employment agreement), subject to the execution and effectiveness of a general release of claims in our favor, he will be entitled to receive (i) a lump sum cash payment equal to 1.5 times the sum of his then-current base salary (or his base salary in effect immediately prior to the change in control, if higher) plus his annual target bonus for the then-current year (or the annual target bonus in effect immediately prior to the change in control, if higher), and (ii) if Mr. Enright is participating in our group health plans immediately prior to his termination and elects COBRA health continuation, continuation of such group health coverage at the same rate as if he were an active employee, until the earliest of (A) the 18 month anniversary of his termination; (B) his eligibility for group medical plan benefits under any other employer’s group medical plan; or (C) the cessation of his continuation rights under COBRA. Mr. Enright’s new employment agreement further provides that in the event Mr. Enright’s employment is terminated by us without cause or Mr. Enright resigns for good reason, in either case within 12 months following a change in control, then any outstanding time-based equity awards shall immediately accelerate and become fully vested and exercisable or nonforfeitable on the date of termination.</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Enright is also subject to an agreement relating to confidentiality, assignment of inventions, and a twelve-month nonsolicitation and noncompetition covenant.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Dr. Leon Hooftman</w:t>
      </w:r>
      <w:r>
        <w:rPr>
          <w:rFonts w:ascii="Times New Roman" w:cs="Times New Roman" w:eastAsia="Times New Roman" w:hAnsi="Times New Roman"/>
          <w:sz w:val="18"/>
          <w:szCs w:val="18"/>
          <w:color w:val="auto"/>
        </w:rPr>
        <w:t>. We entered into an employment agreement with Dr. Hooftman on February 21, 2024. Pursuant to this employment agreement,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Hooftman agreed to serve as our chief medical officer. Dr. Hooftman is entitled to an annual base salary, subject to periodic review, target annual bonus opportunity and employee benefits. Dr. Hooftman’s employment agreement contains standard confidentiality provisions which survive termination and also twelve-month non-competition and non-solicitation restrictive covenants.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Dr. Geoffrey Lynn. </w:t>
      </w:r>
      <w:r>
        <w:rPr>
          <w:rFonts w:ascii="Times New Roman" w:cs="Times New Roman" w:eastAsia="Times New Roman" w:hAnsi="Times New Roman"/>
          <w:sz w:val="18"/>
          <w:szCs w:val="18"/>
          <w:color w:val="auto"/>
        </w:rPr>
        <w:t>We entered into an employment agreement with Dr. Lynn effective as of December 1, 2024. Pursuant to this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Lynn agreed to serve as our chief scientific officer. Dr. Lynn was entitled to an annual base salary, subject to periodic review, target annual bonus opportunity and employee benefits. Dr. Lynn’s employment had no specified term but could be terminated at will by either party. Under Dr. Lynn’s employment agreement, in the event that Dr. Lynn’s employment was terminated by us without “cause” or Dr. Lynn resigned for “good reason” (as such terms are defined in the employment agreement), subject to the execution and effectiveness of a separation agreement, including a general release of claims in our favor), he would have been entitled to receive (i) an amount equal to 6 months of his base salary, payable over 9 months commencing within 60 days after his date of termination and (ii) subject to Dr. Lynn’s copayment of premium amounts at the applicable active employees’ rate and proper election to receive COBRA health continuation, continuation of such group health coverage at the same rate as if he were an active employee, until the earliest of (A) the 6 month anniversary of his termination; (B) his eligibility for group medical plan benefits under any other employer’s group medical plan; or (C) the cessation of his continuation rights under COBRA; provided, however, that if we determined that we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cannot pay such amounts to the group health plan provider or the COBRA provider without potentially violating applicable law, then we would convert such payments to payroll payments directly to Dr. Lynn for the time period specified above. The employment agreement also provided that, in lieu of the payments and benefits described above, in the event that Dr. Lynn’s employment was terminated by us without cause or Dr. Lynn resigned for good reason, in either case within 12 months following a “change in control” (as defined in the employment agreement), subject to the execution and effectiveness of a general release of claims in our favor, he would have been entitled to receive (i) a lump sum cash payment equal to one times the sum of his then-current base salary (or his base salary in effect immediately prior to the change in control, if higher) plus his annual target bonus for the then-current year (or the annual target bonus in effect immediately prior to the change in control, if higher), and (ii) subject to Dr. Lynn’s copayment of premium amounts at the applicable active employees’ rate and proper election to receive COBRA health continuation, continuation of such group health coverage at the same rate as if he were an active employee, until the earliest of (A) the 6 month anniversary of his termination; (B) his eligibility for group medical plan benefits under any other employer’s group medical plan; or (C) the cessation of his continuation rights under COBRA; provided, however, that if we determined that we could not pay such amounts to the group health plan provider or the COBRA provider without potentially violating applicable law, then we would convert such payments to payroll payments directly to Dr. Lynn for the time period specified above.</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September 5, 2025, Dr. Lynn entered into a separation agreement and consulting agreement. Pursuant to Dr. Lynn’s separation agreement, his employment terminated effective as of September 5, 2025. Dr. Lynn was provided severance benefits equal to 6 months base salary and COBRA continuation and, subject to the closing of the Combination or another meaningful M&amp;A transaction, a $200,000 transaction bonus. Simultaneously, Dr. Lynn entered into a consulting agreement with us whereby he would provide advisory and transaction services to us until December 31, 2025. Dr. Lynn’s compensation for such services equaled $18,333.33 per month. If Dr. Lynn provides services after December 31, 2025, he is to be paid $213 per hour for such services.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Gemma Jones. </w:t>
      </w:r>
      <w:r>
        <w:rPr>
          <w:rFonts w:ascii="Times New Roman" w:cs="Times New Roman" w:eastAsia="Times New Roman" w:hAnsi="Times New Roman"/>
          <w:sz w:val="18"/>
          <w:szCs w:val="18"/>
          <w:color w:val="auto"/>
        </w:rPr>
        <w:t>We entered into an employment agreement with Mrs. Jones on September 15, 2022. Pursuant to this employment agreement, Mrs. Jones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serve as our chief financial officer. Mrs. Jones was entitled to an annual base salary, subject to periodic review, target annual bonus opportunity and employee benefits. On February 7, 2025, Mrs. Jones entered into a separation agreement. Pursuant to this settlement agreement, her employment terminated on April 30, 2025, and Mrs. Jones received payment equal to £30,000 as settlement payment, £155,000 as notice payment and £13,509 accrued holiday payment (a total of $261,678 using the average exchange rate for 2025 of £0.7586 to $1.00). Subsequently, we entered into an agreement with CFGI (UK) Limited for CFO services pursuant to which Mrs. Jones will serve as our Chief Financial Officer.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Narrative Disclosure</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We maintain a tax-qualified retirement plan that provides eligible U.S. employees, including our named executive officers,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We match 100 percent of employee contributions, up to 6 percent of each employee’s compensation (as defined in the plan).</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Health and Welfare Benefits. </w:t>
      </w:r>
      <w:r>
        <w:rPr>
          <w:rFonts w:ascii="Times New Roman" w:cs="Times New Roman" w:eastAsia="Times New Roman" w:hAnsi="Times New Roman"/>
          <w:sz w:val="18"/>
          <w:szCs w:val="18"/>
          <w:color w:val="auto"/>
        </w:rPr>
        <w:t>All of our full-time employees, including our executive officers are eligible to participate in certain medical, disability and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benefit programs offered by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each of our named executive officers, the number of ordinary shares underlying outstanding share options and share awards held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rPr>
              <w:t>Option Awards</w:t>
            </w:r>
            <w:r>
              <w:rPr>
                <w:rFonts w:ascii="Times New Roman" w:cs="Times New Roman" w:eastAsia="Times New Roman" w:hAnsi="Times New Roman"/>
                <w:sz w:val="12"/>
                <w:szCs w:val="12"/>
                <w:b w:val="1"/>
                <w:bCs w:val="1"/>
                <w:color w:val="auto"/>
                <w:vertAlign w:val="superscript"/>
              </w:rPr>
              <w:t>(1)</w:t>
            </w:r>
          </w:p>
        </w:tc>
        <w:tc>
          <w:tcPr>
            <w:tcW w:w="1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111"/>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Equity Incentive</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Plan Awards:</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Equity Incentive Plan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Equity Incentive Plan</w:t>
            </w:r>
          </w:p>
        </w:tc>
        <w:tc>
          <w:tcPr>
            <w:tcW w:w="0" w:type="dxa"/>
            <w:vAlign w:val="bottom"/>
          </w:tcPr>
          <w:p>
            <w:pPr>
              <w:spacing w:after="0"/>
              <w:rPr>
                <w:sz w:val="1"/>
                <w:szCs w:val="1"/>
                <w:color w:val="auto"/>
              </w:rPr>
            </w:pPr>
          </w:p>
        </w:tc>
      </w:tr>
      <w:tr>
        <w:trPr>
          <w:trHeight w:val="100"/>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80" w:type="dxa"/>
            <w:vAlign w:val="bottom"/>
            <w:gridSpan w:val="2"/>
          </w:tcPr>
          <w:p>
            <w:pPr>
              <w:jc w:val="center"/>
              <w:ind w:right="120"/>
              <w:spacing w:after="0" w:line="101"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10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Awards: Number of</w:t>
            </w: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8"/>
              </w:rPr>
              <w:t>Awards: Market or</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Unearned 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Payout Value of</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10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Units or Other Rights</w:t>
            </w: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Shares, Units or</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Vesting Commencement</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Unearned Options</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Exercise Price</w:t>
            </w: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that have not Vested</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Other Rights that</w:t>
            </w: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Unexercisable</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80" w:type="dxa"/>
            <w:vAlign w:val="bottom"/>
          </w:tcPr>
          <w:p>
            <w:pPr>
              <w:spacing w:after="0"/>
              <w:rPr>
                <w:sz w:val="12"/>
                <w:szCs w:val="12"/>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Option Expiration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have not Vested ($)</w:t>
            </w:r>
          </w:p>
        </w:tc>
        <w:tc>
          <w:tcPr>
            <w:tcW w:w="0" w:type="dxa"/>
            <w:vAlign w:val="bottom"/>
          </w:tcPr>
          <w:p>
            <w:pPr>
              <w:spacing w:after="0"/>
              <w:rPr>
                <w:sz w:val="1"/>
                <w:szCs w:val="1"/>
                <w:color w:val="auto"/>
              </w:rPr>
            </w:pPr>
          </w:p>
        </w:tc>
      </w:tr>
      <w:tr>
        <w:trPr>
          <w:trHeight w:val="24"/>
        </w:trPr>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William Enright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29, 2021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176,130</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17.00</w:t>
            </w: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1, 2031</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3,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359,605</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11.12</w:t>
            </w:r>
          </w:p>
        </w:tc>
        <w:tc>
          <w:tcPr>
            <w:tcW w:w="1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14, 2032</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8"/>
        </w:trPr>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3,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293,333</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146,667</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3, 2033</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147,993</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295,988</w:t>
            </w:r>
          </w:p>
        </w:tc>
        <w:tc>
          <w:tcPr>
            <w:tcW w:w="2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1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2, 2034</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8"/>
        </w:trPr>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February 3, 2025</w:t>
            </w:r>
          </w:p>
        </w:tc>
        <w:tc>
          <w:tcPr>
            <w:tcW w:w="9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February 3, 2035</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8"/>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Leon Hooftman</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65,055</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130,111</w:t>
            </w:r>
          </w:p>
        </w:tc>
        <w:tc>
          <w:tcPr>
            <w:tcW w:w="2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1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 2034</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8"/>
        </w:trPr>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February 3, 2025</w:t>
            </w:r>
          </w:p>
        </w:tc>
        <w:tc>
          <w:tcPr>
            <w:tcW w:w="9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140,000</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February 3, 2034</w:t>
            </w: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 2025</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361,530</w:t>
            </w:r>
          </w:p>
        </w:tc>
        <w:tc>
          <w:tcPr>
            <w:tcW w:w="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540,487</w:t>
            </w:r>
          </w:p>
        </w:tc>
        <w:tc>
          <w:tcPr>
            <w:tcW w:w="0" w:type="dxa"/>
            <w:vAlign w:val="bottom"/>
          </w:tcPr>
          <w:p>
            <w:pPr>
              <w:spacing w:after="0"/>
              <w:rPr>
                <w:sz w:val="1"/>
                <w:szCs w:val="1"/>
                <w:color w:val="auto"/>
              </w:rPr>
            </w:pPr>
          </w:p>
        </w:tc>
      </w:tr>
      <w:tr>
        <w:trPr>
          <w:trHeight w:val="248"/>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Geoffrey Lynn</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3, 2022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174,500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11.12</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September 5, 2026</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3, 2023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15,590</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tcPr>
          <w:p>
            <w:pPr>
              <w:spacing w:after="0"/>
              <w:rPr>
                <w:sz w:val="20"/>
                <w:szCs w:val="20"/>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September 5, 2026</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8"/>
        </w:trPr>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 2024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8,069</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September 5, 2026</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8"/>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Gemma Jones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6,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30,900</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14.96</w:t>
            </w:r>
          </w:p>
        </w:tc>
        <w:tc>
          <w:tcPr>
            <w:tcW w:w="180" w:type="dxa"/>
            <w:vAlign w:val="bottom"/>
          </w:tcPr>
          <w:p>
            <w:pPr>
              <w:spacing w:after="0"/>
              <w:rPr>
                <w:sz w:val="20"/>
                <w:szCs w:val="20"/>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April 30, 2026</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8"/>
        </w:trPr>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3, 2022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7,499</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11.12</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April 30, 2026</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15,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222,666</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3.07</w:t>
            </w:r>
          </w:p>
        </w:tc>
        <w:tc>
          <w:tcPr>
            <w:tcW w:w="180" w:type="dxa"/>
            <w:vAlign w:val="bottom"/>
          </w:tcPr>
          <w:p>
            <w:pPr>
              <w:spacing w:after="0"/>
              <w:rPr>
                <w:sz w:val="20"/>
                <w:szCs w:val="20"/>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April 30, 2026</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8"/>
        </w:trPr>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3,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22,066</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April 30, 2026</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3"/>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64,333</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3.70</w:t>
            </w:r>
          </w:p>
        </w:tc>
        <w:tc>
          <w:tcPr>
            <w:tcW w:w="180" w:type="dxa"/>
            <w:vAlign w:val="bottom"/>
          </w:tcPr>
          <w:p>
            <w:pPr>
              <w:spacing w:after="0"/>
              <w:rPr>
                <w:sz w:val="20"/>
                <w:szCs w:val="20"/>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April 30, 2026</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Unless otherwise specified, each option vests in three equal annual installments, with the first such annual installment vesting upon the first anniversary of the vesting commencement date, subject to such named executive officer’s continued employment as of each such 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Timing of Awards of Options and Other Like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our board of directors and our compensation committee to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compensation committee generally grants annual equity awards, including stock option grants to our named executive officers, in the first quarter of each fiscal year. In addition, new hires receive stock option grants at the time of their hiring.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our ordinary shares that may be issued under our existing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2"/>
          <w:szCs w:val="22"/>
          <w:color w:val="auto"/>
          <w:vertAlign w:val="superscript"/>
        </w:rPr>
        <w:t>(1)(2)</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37376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upon exercise</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(excluding securities</w:t>
            </w:r>
          </w:p>
        </w:tc>
      </w:tr>
      <w:tr>
        <w:trPr>
          <w:trHeight w:val="238"/>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first column)</w:t>
            </w:r>
          </w:p>
        </w:tc>
      </w:tr>
      <w:tr>
        <w:trPr>
          <w:trHeight w:val="27"/>
        </w:trPr>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5,976,157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3,248,605</w:t>
            </w:r>
          </w:p>
        </w:tc>
      </w:tr>
      <w:tr>
        <w:trPr>
          <w:trHeight w:val="297"/>
        </w:trPr>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5,976,157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3,248,605</w:t>
            </w:r>
          </w:p>
        </w:tc>
      </w:tr>
      <w:tr>
        <w:trPr>
          <w:trHeight w:val="27"/>
        </w:trPr>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-205105</wp:posOffset>
            </wp:positionV>
            <wp:extent cx="693483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34835" cy="18859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-556260</wp:posOffset>
            </wp:positionV>
            <wp:extent cx="693483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3483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660"/>
            <w:col w:w="6040"/>
          </w:cols>
          <w:pgMar w:left="320" w:top="121" w:right="339" w:bottom="1440" w:gutter="0" w:footer="0" w:header="0"/>
        </w:sectPr>
      </w:pPr>
    </w:p>
    <w:p>
      <w:pPr>
        <w:spacing w:after="0" w:line="223"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plans: our Share Award Plan 2021 (the “2021 Plan”) and the Enterprise Management Incentive Share Option Scheme (the “EMI Plan”).</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3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 total of 9,224,762 ordinary shares of our common stock have been reserved for issuance pursuant to the 2021 Plan. The 2021 Plan provides that the number of shares reserved and available for issuance under the plan will automatically increase each January 1, beginning on January 1, 2025, by 4% of the outstanding number of ordinary shares on the immediately preceding December 31 or such lesser number of shares as determined by the compensation committee. This number will be subject to adjustment in the event of a share split, share dividend or other change in our capitalization. The Company no longer makes grants under the EMI Plan.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with respect to the beneficial ownership of our ordinary shares, as of March 6, 2026, by:</w:t>
      </w:r>
    </w:p>
    <w:p>
      <w:pPr>
        <w:spacing w:after="0" w:line="252"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our outstanding ordinary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Under these rules, beneficial ownership includes any shares as to which a person has sole or shared voting power or investment power. In computing the number of ordinary shares beneficially owned by a person and the percentage ownership of that person, ordinary shares subject to options, or other rights held by such person that are currently exercisable or will become exercisable within 60 days of March 6, 2026 are considered outstanding. These ordinary shares, however, are not included in the computation of the percentage ownership of any other person. Applicable percentage ownership is based on 40,848,893 ordinary shares outstanding as of March 6, 2026.</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3" w:lineRule="exact"/>
        <w:rPr>
          <w:sz w:val="20"/>
          <w:szCs w:val="20"/>
          <w:color w:val="auto"/>
        </w:rPr>
      </w:pPr>
    </w:p>
    <w:p>
      <w:pPr>
        <w:ind w:right="600"/>
        <w:spacing w:after="0" w:line="243" w:lineRule="auto"/>
        <w:rPr>
          <w:sz w:val="20"/>
          <w:szCs w:val="20"/>
          <w:color w:val="auto"/>
        </w:rPr>
      </w:pPr>
      <w:r>
        <w:rPr>
          <w:rFonts w:ascii="Times New Roman" w:cs="Times New Roman" w:eastAsia="Times New Roman" w:hAnsi="Times New Roman"/>
          <w:sz w:val="18"/>
          <w:szCs w:val="18"/>
          <w:color w:val="auto"/>
        </w:rPr>
        <w:t>Except as otherwise indicated in the table below, addresses of the directors, executive officers and named beneficial owners are in care of Barinthus Biotherapeutics plc, 20400 Century Boulevard, Suite 210, Germantown, MD 20874.</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24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20" w:type="dxa"/>
            <w:vAlign w:val="bottom"/>
            <w:vMerge w:val="continue"/>
          </w:tcPr>
          <w:p>
            <w:pPr>
              <w:spacing w:after="0"/>
              <w:rPr>
                <w:sz w:val="22"/>
                <w:szCs w:val="22"/>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Oxford Science Enterprises plc</w:t>
            </w:r>
            <w:r>
              <w:rPr>
                <w:rFonts w:ascii="Times New Roman" w:cs="Times New Roman" w:eastAsia="Times New Roman" w:hAnsi="Times New Roman"/>
                <w:sz w:val="23"/>
                <w:szCs w:val="23"/>
                <w:color w:val="auto"/>
                <w:vertAlign w:val="superscript"/>
              </w:rPr>
              <w:t>(1)</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8,797,770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M&amp;G Investment Management Limited</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5,197,349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9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Cawood</w:t>
            </w:r>
            <w:r>
              <w:rPr>
                <w:rFonts w:ascii="Times New Roman" w:cs="Times New Roman" w:eastAsia="Times New Roman" w:hAnsi="Times New Roman"/>
                <w:sz w:val="23"/>
                <w:szCs w:val="23"/>
                <w:color w:val="auto"/>
                <w:vertAlign w:val="superscript"/>
              </w:rPr>
              <w:t>(3)</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3,384,513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-17780</wp:posOffset>
            </wp:positionV>
            <wp:extent cx="536638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66385" cy="17145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ectPr>
          <w:pgSz w:w="11900" w:h="16838" w:orient="portrait"/>
          <w:cols w:equalWidth="0" w:num="1">
            <w:col w:w="11240"/>
          </w:cols>
          <w:pgMar w:left="320" w:top="121" w:right="339" w:bottom="1440" w:gutter="0" w:footer="0" w:header="0"/>
        </w:sectPr>
      </w:pP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William Enright</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0</wp:posOffset>
            </wp:positionV>
            <wp:extent cx="536638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66385" cy="171450"/>
                    </a:xfrm>
                    <a:prstGeom prst="rect">
                      <a:avLst/>
                    </a:prstGeom>
                    <a:noFill/>
                  </pic:spPr>
                </pic:pic>
              </a:graphicData>
            </a:graphic>
          </wp:anchor>
        </w:drawing>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Leon Hooftman</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Geoffrey Lynn </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-13970</wp:posOffset>
            </wp:positionV>
            <wp:extent cx="536638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66385" cy="17145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Gemma Jones</w:t>
      </w:r>
      <w:r>
        <w:rPr>
          <w:rFonts w:ascii="Times New Roman" w:cs="Times New Roman" w:eastAsia="Times New Roman" w:hAnsi="Times New Roman"/>
          <w:sz w:val="23"/>
          <w:szCs w:val="23"/>
          <w:color w:val="auto"/>
          <w:vertAlign w:val="superscript"/>
        </w:rPr>
        <w:t>(7)</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Robin Wright</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-6985</wp:posOffset>
            </wp:positionV>
            <wp:extent cx="536638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66385" cy="188595"/>
                    </a:xfrm>
                    <a:prstGeom prst="rect">
                      <a:avLst/>
                    </a:prstGeom>
                    <a:noFill/>
                  </pic:spPr>
                </pic:pic>
              </a:graphicData>
            </a:graphic>
          </wp:anchor>
        </w:drawing>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Alex Hammacher</w:t>
      </w:r>
      <w:r>
        <w:rPr>
          <w:rFonts w:ascii="Times New Roman" w:cs="Times New Roman" w:eastAsia="Times New Roman" w:hAnsi="Times New Roman"/>
          <w:sz w:val="23"/>
          <w:szCs w:val="23"/>
          <w:color w:val="auto"/>
          <w:vertAlign w:val="superscript"/>
        </w:rPr>
        <w:t>(9)</w:t>
      </w:r>
    </w:p>
    <w:p>
      <w:pPr>
        <w:spacing w:after="0" w:line="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Pierre A. Morgon</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-5080</wp:posOffset>
            </wp:positionV>
            <wp:extent cx="536638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66385" cy="188595"/>
                    </a:xfrm>
                    <a:prstGeom prst="rect">
                      <a:avLst/>
                    </a:prstGeom>
                    <a:noFill/>
                  </pic:spPr>
                </pic:pic>
              </a:graphicData>
            </a:graphic>
          </wp:anchor>
        </w:drawing>
      </w:r>
    </w:p>
    <w:p>
      <w:pPr>
        <w:spacing w:after="0" w:line="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Anne M. Philips</w:t>
      </w:r>
      <w:r>
        <w:rPr>
          <w:rFonts w:ascii="Times New Roman" w:cs="Times New Roman" w:eastAsia="Times New Roman" w:hAnsi="Times New Roman"/>
          <w:sz w:val="23"/>
          <w:szCs w:val="23"/>
          <w:color w:val="auto"/>
          <w:vertAlign w:val="superscript"/>
        </w:rPr>
        <w:t>(11)</w:t>
      </w:r>
    </w:p>
    <w:p>
      <w:pPr>
        <w:spacing w:after="0" w:line="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Karen T. Dawes</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-5080</wp:posOffset>
            </wp:positionV>
            <wp:extent cx="536638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66385" cy="188595"/>
                    </a:xfrm>
                    <a:prstGeom prst="rect">
                      <a:avLst/>
                    </a:prstGeom>
                    <a:noFill/>
                  </pic:spPr>
                </pic:pic>
              </a:graphicData>
            </a:graphic>
          </wp:anchor>
        </w:drawing>
      </w:r>
    </w:p>
    <w:p>
      <w:pPr>
        <w:spacing w:after="0" w:line="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Joseph C. Scheeren</w:t>
      </w:r>
      <w:r>
        <w:rPr>
          <w:rFonts w:ascii="Times New Roman" w:cs="Times New Roman" w:eastAsia="Times New Roman" w:hAnsi="Times New Roman"/>
          <w:sz w:val="23"/>
          <w:szCs w:val="23"/>
          <w:color w:val="auto"/>
          <w:vertAlign w:val="superscript"/>
        </w:rPr>
        <w:t>(13)</w:t>
      </w:r>
    </w:p>
    <w:p>
      <w:pPr>
        <w:spacing w:after="0" w:line="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i w:val="1"/>
          <w:iCs w:val="1"/>
          <w:color w:val="auto"/>
        </w:rPr>
        <w:t>All Executive Officers and Directors as a Group (8 persons)</w:t>
      </w:r>
      <w:r>
        <w:rPr>
          <w:rFonts w:ascii="Times New Roman" w:cs="Times New Roman" w:eastAsia="Times New Roman" w:hAnsi="Times New Roman"/>
          <w:sz w:val="22"/>
          <w:szCs w:val="22"/>
          <w:i w:val="1"/>
          <w:iCs w:val="1"/>
          <w:color w:val="auto"/>
          <w:vertAlign w:val="superscript"/>
        </w:rPr>
        <w:t>14</w:t>
      </w:r>
    </w:p>
    <w:p>
      <w:pPr>
        <w:spacing w:after="0" w:line="60" w:lineRule="exact"/>
        <w:rPr>
          <w:sz w:val="20"/>
          <w:szCs w:val="20"/>
          <w:color w:val="auto"/>
        </w:rPr>
      </w:pPr>
    </w:p>
    <w:p>
      <w:pPr>
        <w:ind w:left="1560" w:hanging="256"/>
        <w:spacing w:after="0"/>
        <w:tabs>
          <w:tab w:leader="none" w:pos="15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2,715,100</w:t>
      </w:r>
      <w:r>
        <w:rPr>
          <w:sz w:val="20"/>
          <w:szCs w:val="20"/>
          <w:color w:val="auto"/>
        </w:rPr>
        <w:tab/>
      </w:r>
      <w:r>
        <w:rPr>
          <w:rFonts w:ascii="Times New Roman" w:cs="Times New Roman" w:eastAsia="Times New Roman" w:hAnsi="Times New Roman"/>
          <w:sz w:val="18"/>
          <w:szCs w:val="18"/>
          <w:color w:val="auto"/>
        </w:rPr>
        <w:t>6.3 %</w:t>
      </w:r>
    </w:p>
    <w:p>
      <w:pPr>
        <w:spacing w:after="0" w:line="90" w:lineRule="exact"/>
        <w:rPr>
          <w:sz w:val="20"/>
          <w:szCs w:val="20"/>
          <w:color w:val="auto"/>
        </w:rPr>
      </w:pPr>
    </w:p>
    <w:p>
      <w:pPr>
        <w:ind w:left="60"/>
        <w:spacing w:after="0"/>
        <w:tabs>
          <w:tab w:leader="none" w:pos="2080" w:val="left"/>
        </w:tabs>
        <w:rPr>
          <w:sz w:val="20"/>
          <w:szCs w:val="20"/>
          <w:color w:val="auto"/>
        </w:rPr>
      </w:pPr>
      <w:r>
        <w:rPr>
          <w:rFonts w:ascii="Times New Roman" w:cs="Times New Roman" w:eastAsia="Times New Roman" w:hAnsi="Times New Roman"/>
          <w:sz w:val="18"/>
          <w:szCs w:val="18"/>
          <w:color w:val="auto"/>
        </w:rPr>
        <w:t>111,721</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tabs>
          <w:tab w:leader="none" w:pos="1740" w:val="left"/>
        </w:tabs>
        <w:rPr>
          <w:sz w:val="20"/>
          <w:szCs w:val="20"/>
          <w:color w:val="auto"/>
        </w:rPr>
      </w:pPr>
      <w:r>
        <w:rPr>
          <w:rFonts w:ascii="Times New Roman" w:cs="Times New Roman" w:eastAsia="Times New Roman" w:hAnsi="Times New Roman"/>
          <w:sz w:val="18"/>
          <w:szCs w:val="18"/>
          <w:color w:val="auto"/>
        </w:rPr>
        <w:t>838,798</w:t>
      </w:r>
      <w:r>
        <w:rPr>
          <w:sz w:val="20"/>
          <w:szCs w:val="20"/>
          <w:color w:val="auto"/>
        </w:rPr>
        <w:tab/>
      </w:r>
      <w:r>
        <w:rPr>
          <w:rFonts w:ascii="Times New Roman" w:cs="Times New Roman" w:eastAsia="Times New Roman" w:hAnsi="Times New Roman"/>
          <w:sz w:val="18"/>
          <w:szCs w:val="18"/>
          <w:color w:val="auto"/>
        </w:rPr>
        <w:t>2.0 %</w:t>
      </w:r>
    </w:p>
    <w:p>
      <w:pPr>
        <w:spacing w:after="0" w:line="63" w:lineRule="exact"/>
        <w:rPr>
          <w:sz w:val="20"/>
          <w:szCs w:val="20"/>
          <w:color w:val="auto"/>
        </w:rPr>
      </w:pPr>
    </w:p>
    <w:p>
      <w:pPr>
        <w:ind w:left="60"/>
        <w:spacing w:after="0"/>
        <w:tabs>
          <w:tab w:leader="none" w:pos="2080" w:val="left"/>
        </w:tabs>
        <w:rPr>
          <w:sz w:val="20"/>
          <w:szCs w:val="20"/>
          <w:color w:val="auto"/>
        </w:rPr>
      </w:pPr>
      <w:r>
        <w:rPr>
          <w:rFonts w:ascii="Times New Roman" w:cs="Times New Roman" w:eastAsia="Times New Roman" w:hAnsi="Times New Roman"/>
          <w:sz w:val="18"/>
          <w:szCs w:val="18"/>
          <w:color w:val="auto"/>
        </w:rPr>
        <w:t>347,464</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tabs>
          <w:tab w:leader="none" w:pos="2080" w:val="left"/>
        </w:tabs>
        <w:rPr>
          <w:sz w:val="20"/>
          <w:szCs w:val="20"/>
          <w:color w:val="auto"/>
        </w:rPr>
      </w:pPr>
      <w:r>
        <w:rPr>
          <w:rFonts w:ascii="Times New Roman" w:cs="Times New Roman" w:eastAsia="Times New Roman" w:hAnsi="Times New Roman"/>
          <w:sz w:val="18"/>
          <w:szCs w:val="18"/>
          <w:color w:val="auto"/>
        </w:rPr>
        <w:t>160,295</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00"/>
        <w:spacing w:after="0"/>
        <w:tabs>
          <w:tab w:leader="none" w:pos="2080" w:val="left"/>
        </w:tabs>
        <w:rPr>
          <w:sz w:val="20"/>
          <w:szCs w:val="20"/>
          <w:color w:val="auto"/>
        </w:rPr>
      </w:pPr>
      <w:r>
        <w:rPr>
          <w:rFonts w:ascii="Times New Roman" w:cs="Times New Roman" w:eastAsia="Times New Roman" w:hAnsi="Times New Roman"/>
          <w:sz w:val="18"/>
          <w:szCs w:val="18"/>
          <w:color w:val="auto"/>
        </w:rPr>
        <w:t>94,645</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60"/>
        <w:spacing w:after="0"/>
        <w:tabs>
          <w:tab w:leader="none" w:pos="2080" w:val="left"/>
        </w:tabs>
        <w:rPr>
          <w:sz w:val="20"/>
          <w:szCs w:val="20"/>
          <w:color w:val="auto"/>
        </w:rPr>
      </w:pPr>
      <w:r>
        <w:rPr>
          <w:rFonts w:ascii="Times New Roman" w:cs="Times New Roman" w:eastAsia="Times New Roman" w:hAnsi="Times New Roman"/>
          <w:sz w:val="18"/>
          <w:szCs w:val="18"/>
          <w:color w:val="auto"/>
        </w:rPr>
        <w:t>122,545</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00"/>
        <w:spacing w:after="0"/>
        <w:tabs>
          <w:tab w:leader="none" w:pos="2080" w:val="left"/>
        </w:tabs>
        <w:rPr>
          <w:sz w:val="20"/>
          <w:szCs w:val="20"/>
          <w:color w:val="auto"/>
        </w:rPr>
      </w:pPr>
      <w:r>
        <w:rPr>
          <w:rFonts w:ascii="Times New Roman" w:cs="Times New Roman" w:eastAsia="Times New Roman" w:hAnsi="Times New Roman"/>
          <w:sz w:val="18"/>
          <w:szCs w:val="18"/>
          <w:color w:val="auto"/>
        </w:rPr>
        <w:t>94,645</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00"/>
        <w:spacing w:after="0"/>
        <w:tabs>
          <w:tab w:leader="none" w:pos="2080" w:val="left"/>
        </w:tabs>
        <w:rPr>
          <w:sz w:val="20"/>
          <w:szCs w:val="20"/>
          <w:color w:val="auto"/>
        </w:rPr>
      </w:pPr>
      <w:r>
        <w:rPr>
          <w:rFonts w:ascii="Times New Roman" w:cs="Times New Roman" w:eastAsia="Times New Roman" w:hAnsi="Times New Roman"/>
          <w:sz w:val="18"/>
          <w:szCs w:val="18"/>
          <w:color w:val="auto"/>
        </w:rPr>
        <w:t>93,345</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60"/>
        <w:spacing w:after="0"/>
        <w:tabs>
          <w:tab w:leader="none" w:pos="2080" w:val="left"/>
        </w:tabs>
        <w:rPr>
          <w:sz w:val="20"/>
          <w:szCs w:val="20"/>
          <w:color w:val="auto"/>
        </w:rPr>
      </w:pPr>
      <w:r>
        <w:rPr>
          <w:rFonts w:ascii="Times New Roman" w:cs="Times New Roman" w:eastAsia="Times New Roman" w:hAnsi="Times New Roman"/>
          <w:sz w:val="18"/>
          <w:szCs w:val="18"/>
          <w:color w:val="auto"/>
        </w:rPr>
        <w:t>114,645</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3,506,941</w:t>
      </w:r>
      <w:r>
        <w:rPr>
          <w:sz w:val="20"/>
          <w:szCs w:val="20"/>
          <w:color w:val="auto"/>
        </w:rPr>
        <w:tab/>
      </w:r>
      <w:r>
        <w:rPr>
          <w:rFonts w:ascii="Times New Roman" w:cs="Times New Roman" w:eastAsia="Times New Roman" w:hAnsi="Times New Roman"/>
          <w:sz w:val="18"/>
          <w:szCs w:val="18"/>
          <w:color w:val="auto"/>
        </w:rPr>
        <w:t>8.2 %</w:t>
      </w:r>
    </w:p>
    <w:p>
      <w:pPr>
        <w:spacing w:after="0" w:line="487"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58" w:lineRule="exact"/>
        <w:rPr>
          <w:sz w:val="20"/>
          <w:szCs w:val="20"/>
          <w:color w:val="auto"/>
        </w:rPr>
      </w:pPr>
    </w:p>
    <w:p>
      <w:pPr>
        <w:ind w:left="1300" w:right="80" w:hanging="239"/>
        <w:spacing w:after="0" w:line="261" w:lineRule="auto"/>
        <w:tabs>
          <w:tab w:leader="none" w:pos="12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February 11, 2022 by Oxford Science Enterprises plc. The business address for Oxford Science Enterprises plc is 46 Woodstock Road, Oxford, OX2 6HT, United Kingdom.</w:t>
      </w:r>
    </w:p>
    <w:p>
      <w:pPr>
        <w:ind w:left="1300" w:right="40" w:hanging="239"/>
        <w:spacing w:after="0" w:line="261" w:lineRule="auto"/>
        <w:tabs>
          <w:tab w:leader="none" w:pos="12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September 30, 2024 by M&amp;G Investment Management Limited (“MAGIM”). The ordinary shares in the forms of ADSs are legally owned by Luxembourg Specialist Investment Fund FCP-RAIF. Luxembourg Specialist Investment Fund FCP- RAIF is advised by MAGIM. The business address for MAGIM is 10 Fenchurch Avenue, London, EC3M 5AG, UK.</w:t>
      </w:r>
    </w:p>
    <w:p>
      <w:pPr>
        <w:spacing w:after="0" w:line="1" w:lineRule="exact"/>
        <w:rPr>
          <w:rFonts w:ascii="Times New Roman" w:cs="Times New Roman" w:eastAsia="Times New Roman" w:hAnsi="Times New Roman"/>
          <w:sz w:val="14"/>
          <w:szCs w:val="14"/>
          <w:color w:val="auto"/>
        </w:rPr>
      </w:pPr>
    </w:p>
    <w:p>
      <w:pPr>
        <w:ind w:left="1300" w:right="160" w:hanging="239"/>
        <w:spacing w:after="0" w:line="251" w:lineRule="auto"/>
        <w:tabs>
          <w:tab w:leader="none" w:pos="12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February 11, 2025 by Frank W. Cawood. The business address for Frank W. Cawood is 600 Edgewater Drive, Unit 402, Dunedin, FL 34698.</w:t>
      </w:r>
    </w:p>
    <w:p>
      <w:pPr>
        <w:ind w:left="1300" w:right="40" w:hanging="239"/>
        <w:spacing w:after="0" w:line="261" w:lineRule="auto"/>
        <w:tabs>
          <w:tab w:leader="none" w:pos="12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728,454 ordinary shares held by William J Enright TR UA Dated 03/04/2021 Enright Family 2021 Irrevocable Trust, (b) 514,923 ordinary shares held by William Enright Revocable Trust, and (c) 1,471,723 ordinary shares underlying options exercisable within 60 days of March 6, 2026. Mr. Enright is the trustee of the above referenced trusts and may be deemed to beneficially own these securities.</w:t>
      </w:r>
    </w:p>
    <w:p>
      <w:pPr>
        <w:spacing w:after="0" w:line="1" w:lineRule="exact"/>
        <w:rPr>
          <w:rFonts w:ascii="Times New Roman" w:cs="Times New Roman" w:eastAsia="Times New Roman" w:hAnsi="Times New Roman"/>
          <w:sz w:val="14"/>
          <w:szCs w:val="14"/>
          <w:color w:val="auto"/>
        </w:rPr>
      </w:pPr>
    </w:p>
    <w:p>
      <w:pPr>
        <w:ind w:left="1300" w:hanging="239"/>
        <w:spacing w:after="0"/>
        <w:tabs>
          <w:tab w:leader="none" w:pos="13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111,721 ordinary shares underlying options exercisable within 60 days of March 6, 2026.</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520" w:hanging="239"/>
        <w:spacing w:after="0" w:line="271" w:lineRule="auto"/>
        <w:tabs>
          <w:tab w:leader="none" w:pos="129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638,442 ordinary shares held by Dr. Lynn, (b) 2,197 ordinary shares held in an account owned by Dr. Lynn's spouse, and (c) 198,159 ordinary shares underlying options exercisable within 60 days of March 6, 2026.</w:t>
      </w:r>
    </w:p>
    <w:p>
      <w:pPr>
        <w:ind w:left="1300" w:hanging="239"/>
        <w:spacing w:after="0"/>
        <w:tabs>
          <w:tab w:leader="none" w:pos="1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347,464 ordinary shares underlying options exercisable within 60 days of March 6, 2026.</w:t>
      </w:r>
    </w:p>
    <w:p>
      <w:pPr>
        <w:spacing w:after="0" w:line="4" w:lineRule="exact"/>
        <w:rPr>
          <w:rFonts w:ascii="Times New Roman" w:cs="Times New Roman" w:eastAsia="Times New Roman" w:hAnsi="Times New Roman"/>
          <w:sz w:val="14"/>
          <w:szCs w:val="14"/>
          <w:color w:val="auto"/>
        </w:rPr>
      </w:pPr>
    </w:p>
    <w:p>
      <w:pPr>
        <w:ind w:left="1300" w:hanging="239"/>
        <w:spacing w:after="0"/>
        <w:tabs>
          <w:tab w:leader="none" w:pos="1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48,256 ordinary shares held by Mr. Wright and (b) 112,039 ordinary shares underlying options exercisable within 60 days of March 6, 2026.</w:t>
      </w:r>
    </w:p>
    <w:p>
      <w:pPr>
        <w:spacing w:after="0" w:line="11" w:lineRule="exact"/>
        <w:rPr>
          <w:rFonts w:ascii="Times New Roman" w:cs="Times New Roman" w:eastAsia="Times New Roman" w:hAnsi="Times New Roman"/>
          <w:sz w:val="14"/>
          <w:szCs w:val="14"/>
          <w:color w:val="auto"/>
        </w:rPr>
      </w:pPr>
    </w:p>
    <w:p>
      <w:pPr>
        <w:ind w:left="1300" w:hanging="239"/>
        <w:spacing w:after="0"/>
        <w:tabs>
          <w:tab w:leader="none" w:pos="1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3,000 ordinary shares held by Dr. Hammacher and (b) 91,645 ordinary shares underlying options exercisable within 60 days March 6, 2026.</w:t>
      </w:r>
    </w:p>
    <w:p>
      <w:pPr>
        <w:spacing w:after="0" w:line="1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(10)Consists of (a) 10,506 ordinary shares held by Dr. Morgon and (b) 112,039 ordinary shares underlying options exercisable within 60 days of March 6, 2026.</w:t>
      </w:r>
    </w:p>
    <w:p>
      <w:pPr>
        <w:spacing w:after="0" w:line="1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(11)Consists of (a) 3,000 ordinary shares held Dr. Philips and (b) 91,645 ordinary shares underlying options exercisable within 60 days of March 6, 2026.</w:t>
      </w:r>
    </w:p>
    <w:p>
      <w:pPr>
        <w:spacing w:after="0" w:line="1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(12)Consists of (a) 1,700 ordinary shares held by Ms. Dawes and (b) 91,645 ordinary shares underlying options exercisable within 60 days of March 6, 2026.</w:t>
      </w:r>
    </w:p>
    <w:p>
      <w:pPr>
        <w:spacing w:after="0" w:line="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(13)Consists of (a) 23,000 ordinary shares held by Dr. Scheeren and (b) 91,645 ordinary shares underlying options exercisable within 60 days of March 6, 2026.</w:t>
      </w:r>
    </w:p>
    <w:p>
      <w:pPr>
        <w:spacing w:after="0" w:line="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(14)Consists of (a) 1,332,839 ordinary shares and (b) 2,174,102 ordinary shares underlying options exercisable within 60 days of March 6, 2026.</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compensation arrangements which are described under the section titled “Executive Compensation” and the transactions described below, since January 1, 2024, there was not, and there is not currently proposed, any transaction or series of similar transactions to which we have been or are to be a party in which the amount involved exceeded, or exceeds, $120,000 and in which any director, executive officer, holder of five percent or more of any class of our capital stock, or any member of their immediate family had, or will have, a direct or indirect material interest.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Revenue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2020, we entered into the OUI License Agreement Amendment with OUI, in respect of our rights to the ChAdOx1 technology in COVID-19 vaccines to facilitate the license of those rights by OUI to AstraZeneca. Under this agreement, we are entitled to receive from OUI a share of payments, including royalties and milestones, received by OUI from AstraZeneca in respect of sales of Vaxzevria. We recognized $15.0 million and nil in revenue for the years ended December 31, 2024 and 2025, respectively, and were owed nil from OUI as of December 31, 2024 and 2025. In December 2025, we delivered written notice to OUI to terminate the OUI License Agreement, as amended. The agreement remained in effect during the three-month notice period and terminated in February 2026 in accordance with its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Executive Officers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These agreements contain customary provisions and representations, including confidentiality, non-competition, non-solicitation and inventions assignment undertakings by the executive officers and non-executive directors. The enforceability of the non-competition provisions may be limited under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 deed of indemnity with each of our directors and executive officers. These agreements and our Articles of Association require us to indemnify our directors and executive officers to the fullest extent permitted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written related party transactions policy that provides that such transactions must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shares, in each case since the beginning of the most recently completed year, and their immediate family members.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table below sets forth a summary of the fees billed to us by PricewaterhouseCoopers LLP, our independent registered public accounting firm, for professional services rendered during the fiscal years ended December 31, 2025 and December 31, 2024. All such services and fees were pre-approved by the audit committee, which concluded that the provision of such services was compatible with the maintenance of each firm’s independence in the conduct of its auditing functions. The amounts reported have been converted from pounds sterling to U.S. dollars using the average exchange rate for 2025 of 0.7586 to $1.00, and 2024 of £0.7826 to $1.00, respectively.</w:t>
      </w:r>
    </w:p>
    <w:p>
      <w:pPr>
        <w:spacing w:after="0" w:line="200" w:lineRule="exact"/>
        <w:rPr>
          <w:sz w:val="20"/>
          <w:szCs w:val="20"/>
          <w:color w:val="auto"/>
        </w:rPr>
      </w:pP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r>
      <w:tr>
        <w:trPr>
          <w:trHeight w:val="27"/>
        </w:trPr>
        <w:tc>
          <w:tcPr>
            <w:tcW w:w="3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795</w:t>
            </w: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 (2)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324</w:t>
            </w:r>
          </w:p>
        </w:tc>
      </w:tr>
      <w:tr>
        <w:trPr>
          <w:trHeight w:val="27"/>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 (3)</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 (4)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1,217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1,121</w:t>
            </w:r>
          </w:p>
        </w:tc>
      </w:tr>
      <w:tr>
        <w:trPr>
          <w:trHeight w:val="27"/>
        </w:trPr>
        <w:tc>
          <w:tcPr>
            <w:tcW w:w="3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left="660" w:right="1280" w:hanging="4"/>
        <w:spacing w:after="0" w:line="272" w:lineRule="auto"/>
        <w:tabs>
          <w:tab w:leader="none" w:pos="91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billed for the audit of our annual consolidated financial statements, statutory audits, review of interim condensed consolidated financial statements included in quarterly reports, assistance with review of documents filed with the SEC paid to PricewaterhouseCoopers LLP in connection with statutory and regulatory filings or engagements, attest services.</w:t>
      </w:r>
    </w:p>
    <w:p>
      <w:pPr>
        <w:spacing w:after="0" w:line="1" w:lineRule="exact"/>
        <w:rPr>
          <w:rFonts w:ascii="Times New Roman" w:cs="Times New Roman" w:eastAsia="Times New Roman" w:hAnsi="Times New Roman"/>
          <w:sz w:val="17"/>
          <w:szCs w:val="17"/>
          <w:color w:val="auto"/>
        </w:rPr>
      </w:pPr>
    </w:p>
    <w:p>
      <w:pPr>
        <w:ind w:left="660" w:right="1280" w:hanging="4"/>
        <w:spacing w:after="0" w:line="258" w:lineRule="auto"/>
        <w:tabs>
          <w:tab w:leader="none" w:pos="9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paid to PricewaterhouseCoopers LLP in connection with registration statements filed with the SEC.</w:t>
      </w:r>
    </w:p>
    <w:p>
      <w:pPr>
        <w:ind w:left="660" w:right="1840" w:hanging="4"/>
        <w:spacing w:after="0" w:line="258" w:lineRule="auto"/>
        <w:tabs>
          <w:tab w:leader="none" w:pos="9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paid to PricewaterhouseCoopers LLP in connection with tax compliance, tax advice and tax planning. We did not pay any “tax fees” to PricewaterhouseCoopers LLP in 2025 or 2024.</w:t>
      </w:r>
    </w:p>
    <w:p>
      <w:pPr>
        <w:ind w:left="660" w:right="1300" w:hanging="4"/>
        <w:spacing w:after="0" w:line="276" w:lineRule="auto"/>
        <w:tabs>
          <w:tab w:leader="none" w:pos="9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non-audit fees paid to PricewaterhouseCoopers LLP for access to its financial statement disclosure checklist.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Any proposed services exceeding pre-approved cost levels or budgeted amounts will also require specific pre-approval. For both types of pre-approval, the audit committee will consider whether such services are consistent with the SEC’s rules on auditor independence.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financial statements filed as part of this report are listed on the Index to Consolidated Financial Statements in Item 8.</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620"/>
        <w:spacing w:after="0" w:line="266" w:lineRule="auto"/>
        <w:rPr>
          <w:sz w:val="20"/>
          <w:szCs w:val="20"/>
          <w:color w:val="auto"/>
        </w:rPr>
      </w:pPr>
      <w:r>
        <w:rPr>
          <w:rFonts w:ascii="Times New Roman" w:cs="Times New Roman" w:eastAsia="Times New Roman" w:hAnsi="Times New Roman"/>
          <w:sz w:val="18"/>
          <w:szCs w:val="18"/>
          <w:color w:val="auto"/>
        </w:rPr>
        <w:t>No schedules are submitted because they are not applicable, not required, or because the information is included in the consolidated financial statements or the notes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40" w:type="dxa"/>
            <w:vAlign w:val="bottom"/>
            <w:gridSpan w:val="7"/>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9"/>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3"/>
        </w:trPr>
        <w:tc>
          <w:tcPr>
            <w:tcW w:w="15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20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 and Plan of Merger and Reorganization, dated December 9, 2021, by and among Barinthus Biotherapeutics plc, VA</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Merger Sub 1 Inc., VA Merger Sub 2 Inc., Avidea Technologies Inc., and Benjamin Eisler, as the Securityholder Agent (Incorporated</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by reference to Exhibit 2.1 to our Current Report on Form 8-K (File No. 001-40367) filed on December 14, 2021).</w:t>
              </w:r>
            </w:hyperlink>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Amendment No. 1 to Agreement and Plan of Merger and Reorganization, dated March 11, 2022, by and between Barinthus</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Biotherapeutics plc and Benjamin Eisler, as Securityholder Agent (Incorporated by reference to Exhibit 2.2 to our Annual Report 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10-K (File No. 001-40367) filed on March 25, 2022).</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2 to Agreement and Plan of Merger and Reorganization, dated May 9, 2022, by and between Barinthus</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Biotherapeutics plc and Benjamin Eisler, as the Securityholder Agent (Incorporated herein by reference to Exhibit 2.1 to our</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Quarterly Report on Form 10-Q (File No. 001-40367), filed on August 9, 2022).</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2"/>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Merger Agreement, dated as of September 29, 2025, by and among the Registrant, Topco Merger Sub, and Clywedog (Incorporated</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herein by reference to Exhibit 2.1 to our Current Report on Form 8-K (File No. 001-40367) filed on September 30, 2025).</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Merger Agreement Amendment, dated as February 22, 2026, by and among the Registrant, Topco, Merger Sub and Clywedog,</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2.1 to our Current Report on Form 8-K (File No. filed No. 001-40367) filed on February 23,</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ind w:left="20"/>
              <w:spacing w:after="0" w:line="196" w:lineRule="exact"/>
              <w:rPr>
                <w:rFonts w:ascii="Times New Roman" w:cs="Times New Roman" w:eastAsia="Times New Roman" w:hAnsi="Times New Roman"/>
                <w:sz w:val="18"/>
                <w:szCs w:val="18"/>
                <w:color w:val="0000FF"/>
                <w:w w:val="94"/>
              </w:rPr>
            </w:pPr>
            <w:hyperlink r:id="rId160">
              <w:r>
                <w:rPr>
                  <w:rFonts w:ascii="Times New Roman" w:cs="Times New Roman" w:eastAsia="Times New Roman" w:hAnsi="Times New Roman"/>
                  <w:sz w:val="18"/>
                  <w:szCs w:val="18"/>
                  <w:color w:val="0000FF"/>
                  <w:w w:val="94"/>
                </w:rPr>
                <w:t>2026).</w:t>
              </w:r>
            </w:hyperlink>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Articles of Association of the Registrant (Incorporated by reference to Exhibit 3.1 to our Form 8-K (File No. 001-40367) filed 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May 10, 2021)).</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Deposit Agreement (Incorporated by reference to Exhibit 4.1 to our Registration Statement on Form S-1/A (File No. 333-</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255158) filed on April 27, 2021).</w:t>
              </w:r>
            </w:hyperlink>
          </w:p>
        </w:tc>
        <w:tc>
          <w:tcPr>
            <w:tcW w:w="7240" w:type="dxa"/>
            <w:vAlign w:val="bottom"/>
            <w:gridSpan w:val="7"/>
          </w:tcPr>
          <w:p>
            <w:pPr>
              <w:spacing w:after="0"/>
              <w:rPr>
                <w:sz w:val="17"/>
                <w:szCs w:val="17"/>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Form of American Depositary Receipt (included in Exhibit 4.1).</w:t>
              </w:r>
            </w:hyperlink>
          </w:p>
        </w:tc>
        <w:tc>
          <w:tcPr>
            <w:tcW w:w="5020" w:type="dxa"/>
            <w:vAlign w:val="bottom"/>
            <w:gridSpan w:val="5"/>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Description of Registrant’s Securities (Incorporated by reference to Exhibit 4.3 to our Annual Report on Form 10-K (File No. 001-</w:t>
              </w:r>
            </w:hyperlink>
          </w:p>
        </w:tc>
      </w:tr>
      <w:tr>
        <w:trPr>
          <w:trHeight w:val="196"/>
        </w:trPr>
        <w:tc>
          <w:tcPr>
            <w:tcW w:w="1420" w:type="dxa"/>
            <w:vAlign w:val="bottom"/>
          </w:tcPr>
          <w:p>
            <w:pPr>
              <w:spacing w:after="0"/>
              <w:rPr>
                <w:sz w:val="17"/>
                <w:szCs w:val="17"/>
                <w:color w:val="auto"/>
              </w:rPr>
            </w:pPr>
          </w:p>
        </w:tc>
        <w:tc>
          <w:tcPr>
            <w:tcW w:w="2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40367) filed on March 25, 2022).</w:t>
              </w:r>
            </w:hyperlink>
          </w:p>
        </w:tc>
        <w:tc>
          <w:tcPr>
            <w:tcW w:w="7220" w:type="dxa"/>
            <w:vAlign w:val="bottom"/>
            <w:gridSpan w:val="11"/>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EMI Option Scheme and form of award agreement thereunder (Incorporated by reference to Exhibit 10.1 to our Registration</w:t>
              </w:r>
            </w:hyperlink>
          </w:p>
        </w:tc>
      </w:tr>
      <w:tr>
        <w:trPr>
          <w:trHeight w:val="196"/>
        </w:trPr>
        <w:tc>
          <w:tcPr>
            <w:tcW w:w="1420" w:type="dxa"/>
            <w:vAlign w:val="bottom"/>
          </w:tcPr>
          <w:p>
            <w:pPr>
              <w:spacing w:after="0"/>
              <w:rPr>
                <w:sz w:val="17"/>
                <w:szCs w:val="17"/>
                <w:color w:val="auto"/>
              </w:rPr>
            </w:pPr>
          </w:p>
        </w:tc>
        <w:tc>
          <w:tcPr>
            <w:tcW w:w="53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Statement on Form S-1/A (File No. 333-255158) filed on April 27, 2021).</w:t>
              </w:r>
            </w:hyperlink>
          </w:p>
        </w:tc>
        <w:tc>
          <w:tcPr>
            <w:tcW w:w="4300" w:type="dxa"/>
            <w:vAlign w:val="bottom"/>
            <w:gridSpan w:val="5"/>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2021 Stock Option and Incentive Plan and forms of award agreements thereunder (Incorporated by reference to Exhibit 10.2 to our</w:t>
              </w:r>
            </w:hyperlink>
          </w:p>
        </w:tc>
      </w:tr>
      <w:tr>
        <w:trPr>
          <w:trHeight w:val="196"/>
        </w:trPr>
        <w:tc>
          <w:tcPr>
            <w:tcW w:w="1420" w:type="dxa"/>
            <w:vAlign w:val="bottom"/>
          </w:tcPr>
          <w:p>
            <w:pPr>
              <w:spacing w:after="0"/>
              <w:rPr>
                <w:sz w:val="17"/>
                <w:szCs w:val="17"/>
                <w:color w:val="auto"/>
              </w:rPr>
            </w:pPr>
          </w:p>
        </w:tc>
        <w:tc>
          <w:tcPr>
            <w:tcW w:w="9620" w:type="dxa"/>
            <w:vAlign w:val="bottom"/>
            <w:gridSpan w:val="1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Registration Statement on Form S-1/A (File No. 333-255158) filed on April 27, 2021).</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2021 Employee Share Purchase Plan (Incorporated by reference to Exhibit 10.17 to our Registration Statement on Form S-1/A (File</w:t>
              </w:r>
            </w:hyperlink>
          </w:p>
        </w:tc>
      </w:tr>
      <w:tr>
        <w:trPr>
          <w:trHeight w:val="196"/>
        </w:trPr>
        <w:tc>
          <w:tcPr>
            <w:tcW w:w="142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No. 333-255158) filed on April 27, 2021).</w:t>
              </w:r>
            </w:hyperlink>
          </w:p>
        </w:tc>
        <w:tc>
          <w:tcPr>
            <w:tcW w:w="6580" w:type="dxa"/>
            <w:vAlign w:val="bottom"/>
            <w:gridSpan w:val="10"/>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License Agreement by and between the Registrant and Oxford University Innovation Limited, dated as of September 8, 2017</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10.4 to our Registration Statement on Form S-1/A (File No. 333-255158) filed on April 27,</w:t>
              </w:r>
            </w:hyperlink>
          </w:p>
        </w:tc>
      </w:tr>
      <w:tr>
        <w:trPr>
          <w:trHeight w:val="196"/>
        </w:trPr>
        <w:tc>
          <w:tcPr>
            <w:tcW w:w="14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8">
              <w:r>
                <w:rPr>
                  <w:rFonts w:ascii="Times New Roman" w:cs="Times New Roman" w:eastAsia="Times New Roman" w:hAnsi="Times New Roman"/>
                  <w:sz w:val="18"/>
                  <w:szCs w:val="18"/>
                  <w:color w:val="0000FF"/>
                  <w:w w:val="94"/>
                </w:rPr>
                <w:t>2021).</w:t>
              </w:r>
            </w:hyperlink>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of Deed of Indemnity between the Registrant and each of its directors and officers (Incorporated by reference to Exhibit 10.9 to</w:t>
              </w:r>
            </w:hyperlink>
          </w:p>
        </w:tc>
      </w:tr>
      <w:tr>
        <w:trPr>
          <w:trHeight w:val="196"/>
        </w:trPr>
        <w:tc>
          <w:tcPr>
            <w:tcW w:w="1420" w:type="dxa"/>
            <w:vAlign w:val="bottom"/>
          </w:tcPr>
          <w:p>
            <w:pPr>
              <w:spacing w:after="0"/>
              <w:rPr>
                <w:sz w:val="17"/>
                <w:szCs w:val="17"/>
                <w:color w:val="auto"/>
              </w:rPr>
            </w:pPr>
          </w:p>
        </w:tc>
        <w:tc>
          <w:tcPr>
            <w:tcW w:w="9620" w:type="dxa"/>
            <w:vAlign w:val="bottom"/>
            <w:gridSpan w:val="1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our Registration Statement on Form S-1/A (File No. 333-255158) filed on April 27, 2021).</w:t>
              </w:r>
            </w:hyperlink>
          </w:p>
        </w:tc>
      </w:tr>
      <w:tr>
        <w:trPr>
          <w:trHeight w:val="20"/>
        </w:trPr>
        <w:tc>
          <w:tcPr>
            <w:tcW w:w="14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Employment Agreement between the Registrant and William Enright (Incorporated by reference to Exhibit 10.10 to our</w:t>
              </w:r>
            </w:hyperlink>
          </w:p>
        </w:tc>
      </w:tr>
      <w:tr>
        <w:trPr>
          <w:trHeight w:val="196"/>
        </w:trPr>
        <w:tc>
          <w:tcPr>
            <w:tcW w:w="1420" w:type="dxa"/>
            <w:vAlign w:val="bottom"/>
          </w:tcPr>
          <w:p>
            <w:pPr>
              <w:spacing w:after="0"/>
              <w:rPr>
                <w:sz w:val="17"/>
                <w:szCs w:val="17"/>
                <w:color w:val="auto"/>
              </w:rPr>
            </w:pPr>
          </w:p>
        </w:tc>
        <w:tc>
          <w:tcPr>
            <w:tcW w:w="9620" w:type="dxa"/>
            <w:vAlign w:val="bottom"/>
            <w:gridSpan w:val="15"/>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Registration Statement on Form S-1/A (File No. 333-255158) filed on April 27, 2021).</w:t>
              </w:r>
            </w:hyperlink>
          </w:p>
        </w:tc>
      </w:tr>
      <w:tr>
        <w:trPr>
          <w:trHeight w:val="20"/>
        </w:trPr>
        <w:tc>
          <w:tcPr>
            <w:tcW w:w="14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Registration Rights Agreement, dated March 28, 2022, by and among the Registrant and Benjamin Eisler, as the Securityholder</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Agent (Incorporated by reference to Exhibit 10.1 to our Quarterly Report on Form 10-Q (File No. 001-40367) filed on May 11,</w:t>
              </w:r>
            </w:hyperlink>
          </w:p>
        </w:tc>
      </w:tr>
      <w:tr>
        <w:trPr>
          <w:trHeight w:val="196"/>
        </w:trPr>
        <w:tc>
          <w:tcPr>
            <w:tcW w:w="14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1">
              <w:r>
                <w:rPr>
                  <w:rFonts w:ascii="Times New Roman" w:cs="Times New Roman" w:eastAsia="Times New Roman" w:hAnsi="Times New Roman"/>
                  <w:sz w:val="18"/>
                  <w:szCs w:val="18"/>
                  <w:color w:val="0000FF"/>
                  <w:w w:val="94"/>
                </w:rPr>
                <w:t>2022).</w:t>
              </w:r>
            </w:hyperlink>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Indemnification Agreement between the Registrant and each of its directors and officers (Incorporated by reference to</w:t>
              </w:r>
            </w:hyperlink>
          </w:p>
        </w:tc>
      </w:tr>
      <w:tr>
        <w:trPr>
          <w:trHeight w:val="196"/>
        </w:trPr>
        <w:tc>
          <w:tcPr>
            <w:tcW w:w="1420" w:type="dxa"/>
            <w:vAlign w:val="bottom"/>
          </w:tcPr>
          <w:p>
            <w:pPr>
              <w:spacing w:after="0"/>
              <w:rPr>
                <w:sz w:val="17"/>
                <w:szCs w:val="17"/>
                <w:color w:val="auto"/>
              </w:rPr>
            </w:pPr>
          </w:p>
        </w:tc>
        <w:tc>
          <w:tcPr>
            <w:tcW w:w="74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Exhibit 10.2 to our Quarterly Report on Form 10-Q (File No. 001-40367) filed on November 10, 2022).</w:t>
              </w:r>
            </w:hyperlink>
          </w:p>
        </w:tc>
        <w:tc>
          <w:tcPr>
            <w:tcW w:w="2160" w:type="dxa"/>
            <w:vAlign w:val="bottom"/>
            <w:gridSpan w:val="2"/>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Lease Agreement by and between Barinthus Biotherapeutics North America, Inc. and ARE-Maryland No. 52, LLC, dated as of June</w:t>
            </w:r>
          </w:p>
        </w:tc>
      </w:tr>
      <w:tr>
        <w:trPr>
          <w:trHeight w:val="196"/>
        </w:trPr>
        <w:tc>
          <w:tcPr>
            <w:tcW w:w="14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14, 2022.</w:t>
            </w:r>
          </w:p>
        </w:tc>
        <w:tc>
          <w:tcPr>
            <w:tcW w:w="15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0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Service Agreement with Leon Hooftman, effective February 21, 2024 (Incorporated by reference to Exhibit 10.1 to our Quarterly</w:t>
              </w:r>
            </w:hyperlink>
          </w:p>
        </w:tc>
      </w:tr>
      <w:tr>
        <w:trPr>
          <w:trHeight w:val="196"/>
        </w:trPr>
        <w:tc>
          <w:tcPr>
            <w:tcW w:w="1420" w:type="dxa"/>
            <w:vAlign w:val="bottom"/>
          </w:tcPr>
          <w:p>
            <w:pPr>
              <w:spacing w:after="0"/>
              <w:rPr>
                <w:sz w:val="17"/>
                <w:szCs w:val="17"/>
                <w:color w:val="auto"/>
              </w:rPr>
            </w:pPr>
          </w:p>
        </w:tc>
        <w:tc>
          <w:tcPr>
            <w:tcW w:w="9620" w:type="dxa"/>
            <w:vAlign w:val="bottom"/>
            <w:gridSpan w:val="15"/>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Report on Form 10-Q (File No. 001-40367) filed on November 6, 2024)</w:t>
              </w:r>
              <w:r>
                <w:rPr>
                  <w:rFonts w:ascii="Times New Roman" w:cs="Times New Roman" w:eastAsia="Times New Roman" w:hAnsi="Times New Roman"/>
                  <w:sz w:val="18"/>
                  <w:szCs w:val="18"/>
                  <w:color w:val="000000"/>
                </w:rPr>
                <w:t>.</w:t>
              </w:r>
            </w:hyperlink>
          </w:p>
        </w:tc>
      </w:tr>
      <w:tr>
        <w:trPr>
          <w:trHeight w:val="20"/>
        </w:trPr>
        <w:tc>
          <w:tcPr>
            <w:tcW w:w="14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Service Agreement with Geoffrey Lynn, effective December 1, 2024 (Incorporated by reference to Exhibit 10.17 to our Annual</w:t>
              </w:r>
            </w:hyperlink>
          </w:p>
        </w:tc>
      </w:tr>
      <w:tr>
        <w:trPr>
          <w:trHeight w:val="196"/>
        </w:trPr>
        <w:tc>
          <w:tcPr>
            <w:tcW w:w="1420" w:type="dxa"/>
            <w:vAlign w:val="bottom"/>
          </w:tcPr>
          <w:p>
            <w:pPr>
              <w:spacing w:after="0"/>
              <w:rPr>
                <w:sz w:val="17"/>
                <w:szCs w:val="17"/>
                <w:color w:val="auto"/>
              </w:rPr>
            </w:pPr>
          </w:p>
        </w:tc>
        <w:tc>
          <w:tcPr>
            <w:tcW w:w="9620" w:type="dxa"/>
            <w:vAlign w:val="bottom"/>
            <w:gridSpan w:val="1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Report on Form 10-K (File No. 001-40367) filed on March 20 2025).</w:t>
              </w:r>
            </w:hyperlink>
          </w:p>
        </w:tc>
      </w:tr>
      <w:tr>
        <w:trPr>
          <w:trHeight w:val="20"/>
        </w:trPr>
        <w:tc>
          <w:tcPr>
            <w:tcW w:w="14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Termination Agreement with Nadege Pelletier, effective January 27, 2025 (Incorporated by reference to Exhibit 10.18 to our Annual</w:t>
              </w:r>
            </w:hyperlink>
          </w:p>
        </w:tc>
      </w:tr>
      <w:tr>
        <w:trPr>
          <w:trHeight w:val="196"/>
        </w:trPr>
        <w:tc>
          <w:tcPr>
            <w:tcW w:w="1420" w:type="dxa"/>
            <w:vAlign w:val="bottom"/>
          </w:tcPr>
          <w:p>
            <w:pPr>
              <w:spacing w:after="0"/>
              <w:rPr>
                <w:sz w:val="17"/>
                <w:szCs w:val="17"/>
                <w:color w:val="auto"/>
              </w:rPr>
            </w:pPr>
          </w:p>
        </w:tc>
        <w:tc>
          <w:tcPr>
            <w:tcW w:w="5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Report on Form 10-K (File No. 001-40367) filed on March 20, 2025).</w:t>
              </w:r>
            </w:hyperlink>
          </w:p>
        </w:tc>
        <w:tc>
          <w:tcPr>
            <w:tcW w:w="4580" w:type="dxa"/>
            <w:vAlign w:val="bottom"/>
            <w:gridSpan w:val="7"/>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Insider Trading Policy, effective June 21, 2023 (Incorporated by reference to Exhibit 19.1 to our Annual</w:t>
              </w:r>
            </w:hyperlink>
          </w:p>
        </w:tc>
      </w:tr>
      <w:tr>
        <w:trPr>
          <w:trHeight w:val="196"/>
        </w:trPr>
        <w:tc>
          <w:tcPr>
            <w:tcW w:w="1420" w:type="dxa"/>
            <w:vAlign w:val="bottom"/>
          </w:tcPr>
          <w:p>
            <w:pPr>
              <w:spacing w:after="0"/>
              <w:rPr>
                <w:sz w:val="17"/>
                <w:szCs w:val="17"/>
                <w:color w:val="auto"/>
              </w:rPr>
            </w:pPr>
          </w:p>
        </w:tc>
        <w:tc>
          <w:tcPr>
            <w:tcW w:w="9620" w:type="dxa"/>
            <w:vAlign w:val="bottom"/>
            <w:gridSpan w:val="1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Report on Form 10-K (File No. 001-40367) filed on March 30, 2025).</w:t>
              </w:r>
            </w:hyperlink>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4600" w:type="dxa"/>
            <w:vAlign w:val="bottom"/>
            <w:gridSpan w:val="8"/>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23.1*</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520"/>
        </w:trPr>
        <w:tc>
          <w:tcPr>
            <w:tcW w:w="15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24.1*</w:t>
            </w:r>
          </w:p>
        </w:tc>
        <w:tc>
          <w:tcPr>
            <w:tcW w:w="50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to this Annual Report).</w:t>
            </w:r>
          </w:p>
        </w:tc>
        <w:tc>
          <w:tcPr>
            <w:tcW w:w="1320" w:type="dxa"/>
            <w:vAlign w:val="bottom"/>
            <w:tcBorders>
              <w:top w:val="single" w:sz="8" w:color="0000FF"/>
            </w:tcBorders>
          </w:tcPr>
          <w:p>
            <w:pPr>
              <w:spacing w:after="0"/>
              <w:rPr>
                <w:sz w:val="24"/>
                <w:szCs w:val="24"/>
                <w:color w:val="auto"/>
              </w:rPr>
            </w:pPr>
          </w:p>
        </w:tc>
        <w:tc>
          <w:tcPr>
            <w:tcW w:w="3220" w:type="dxa"/>
            <w:vAlign w:val="bottom"/>
            <w:gridSpan w:val="2"/>
          </w:tcPr>
          <w:p>
            <w:pPr>
              <w:spacing w:after="0"/>
              <w:rPr>
                <w:sz w:val="24"/>
                <w:szCs w:val="24"/>
                <w:color w:val="auto"/>
              </w:rPr>
            </w:pPr>
          </w:p>
        </w:tc>
      </w:tr>
      <w:tr>
        <w:trPr>
          <w:trHeight w:val="520"/>
        </w:trPr>
        <w:tc>
          <w:tcPr>
            <w:tcW w:w="15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196"/>
        </w:trPr>
        <w:tc>
          <w:tcPr>
            <w:tcW w:w="15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4"/>
          </w:tcPr>
          <w:p>
            <w:pPr>
              <w:spacing w:after="0"/>
              <w:rPr>
                <w:sz w:val="17"/>
                <w:szCs w:val="17"/>
                <w:color w:val="auto"/>
              </w:rPr>
            </w:pPr>
          </w:p>
        </w:tc>
      </w:tr>
      <w:tr>
        <w:trPr>
          <w:trHeight w:val="520"/>
        </w:trPr>
        <w:tc>
          <w:tcPr>
            <w:tcW w:w="15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96"/>
        </w:trPr>
        <w:tc>
          <w:tcPr>
            <w:tcW w:w="15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4"/>
          </w:tcPr>
          <w:p>
            <w:pPr>
              <w:spacing w:after="0"/>
              <w:rPr>
                <w:sz w:val="17"/>
                <w:szCs w:val="17"/>
                <w:color w:val="auto"/>
              </w:rPr>
            </w:pPr>
          </w:p>
        </w:tc>
      </w:tr>
      <w:tr>
        <w:trPr>
          <w:trHeight w:val="520"/>
        </w:trPr>
        <w:tc>
          <w:tcPr>
            <w:tcW w:w="15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w:t>
            </w:r>
          </w:p>
        </w:tc>
      </w:tr>
      <w:tr>
        <w:trPr>
          <w:trHeight w:val="196"/>
        </w:trPr>
        <w:tc>
          <w:tcPr>
            <w:tcW w:w="1580" w:type="dxa"/>
            <w:vAlign w:val="bottom"/>
          </w:tcPr>
          <w:p>
            <w:pPr>
              <w:spacing w:after="0"/>
              <w:rPr>
                <w:sz w:val="17"/>
                <w:szCs w:val="17"/>
                <w:color w:val="auto"/>
              </w:rPr>
            </w:pPr>
          </w:p>
        </w:tc>
        <w:tc>
          <w:tcPr>
            <w:tcW w:w="3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5980" w:type="dxa"/>
            <w:vAlign w:val="bottom"/>
            <w:gridSpan w:val="5"/>
          </w:tcPr>
          <w:p>
            <w:pPr>
              <w:spacing w:after="0"/>
              <w:rPr>
                <w:sz w:val="17"/>
                <w:szCs w:val="17"/>
                <w:color w:val="auto"/>
              </w:rPr>
            </w:pPr>
          </w:p>
        </w:tc>
      </w:tr>
      <w:tr>
        <w:trPr>
          <w:trHeight w:val="520"/>
        </w:trPr>
        <w:tc>
          <w:tcPr>
            <w:tcW w:w="1580" w:type="dxa"/>
            <w:vAlign w:val="bottom"/>
          </w:tcPr>
          <w:p>
            <w:pPr>
              <w:spacing w:after="0"/>
              <w:rPr>
                <w:sz w:val="24"/>
                <w:szCs w:val="24"/>
                <w:color w:val="auto"/>
              </w:rPr>
            </w:pPr>
          </w:p>
        </w:tc>
        <w:tc>
          <w:tcPr>
            <w:tcW w:w="96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Amended and Restated Compensation Recovery Policy (Incorporated by reference to Exhibit 97.1 to our Annual Report on Form 10-</w:t>
              </w:r>
            </w:hyperlink>
          </w:p>
        </w:tc>
        <w:tc>
          <w:tcPr>
            <w:tcW w:w="20" w:type="dxa"/>
            <w:vAlign w:val="bottom"/>
          </w:tcPr>
          <w:p>
            <w:pPr>
              <w:spacing w:after="0"/>
              <w:rPr>
                <w:sz w:val="24"/>
                <w:szCs w:val="24"/>
                <w:color w:val="auto"/>
              </w:rPr>
            </w:pPr>
          </w:p>
        </w:tc>
      </w:tr>
      <w:tr>
        <w:trPr>
          <w:trHeight w:val="196"/>
        </w:trPr>
        <w:tc>
          <w:tcPr>
            <w:tcW w:w="158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36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K (File No. 001-40367) filed on March 30, 2025).</w:t>
              </w:r>
            </w:hyperlink>
          </w:p>
        </w:tc>
        <w:tc>
          <w:tcPr>
            <w:tcW w:w="6020" w:type="dxa"/>
            <w:vAlign w:val="bottom"/>
            <w:gridSpan w:val="6"/>
          </w:tcPr>
          <w:p>
            <w:pPr>
              <w:spacing w:after="0"/>
              <w:rPr>
                <w:sz w:val="17"/>
                <w:szCs w:val="17"/>
                <w:color w:val="auto"/>
              </w:rPr>
            </w:pPr>
          </w:p>
        </w:tc>
      </w:tr>
      <w:tr>
        <w:trPr>
          <w:trHeight w:val="56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5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5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5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5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15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not material and the Registrant customarily and actually treats that information as</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private or confidential.</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any compensatory plan, contract or arrangement.</w:t>
      </w:r>
    </w:p>
    <w:p>
      <w:pPr>
        <w:spacing w:after="0" w:line="9" w:lineRule="exact"/>
        <w:rPr>
          <w:sz w:val="20"/>
          <w:szCs w:val="20"/>
          <w:color w:val="auto"/>
        </w:rPr>
      </w:pPr>
    </w:p>
    <w:p>
      <w:pPr>
        <w:ind w:left="340" w:hanging="332"/>
        <w:spacing w:after="0" w:line="250" w:lineRule="auto"/>
        <w:tabs>
          <w:tab w:leader="none" w:pos="3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these agreements have been omitted pursuant to Item 601(a)(5) of Regulation S-K. The Registrant will furnish copies of any of the exhibits and schedules to the Securities and Exchange Commission upon request.</w:t>
      </w:r>
    </w:p>
    <w:p>
      <w:pPr>
        <w:spacing w:after="0" w:line="1" w:lineRule="exact"/>
        <w:rPr>
          <w:sz w:val="20"/>
          <w:szCs w:val="20"/>
          <w:color w:val="auto"/>
        </w:rPr>
      </w:pPr>
    </w:p>
    <w:p>
      <w:pPr>
        <w:ind w:left="340" w:hanging="332"/>
        <w:spacing w:after="0" w:line="260" w:lineRule="auto"/>
        <w:tabs>
          <w:tab w:leader="none" w:pos="16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20"/>
        <w:spacing w:after="0"/>
        <w:tabs>
          <w:tab w:leader="none" w:pos="4060" w:val="left"/>
        </w:tabs>
        <w:rPr>
          <w:sz w:val="20"/>
          <w:szCs w:val="20"/>
          <w:color w:val="auto"/>
        </w:rPr>
      </w:pPr>
      <w:r>
        <w:rPr>
          <w:rFonts w:ascii="Times New Roman" w:cs="Times New Roman" w:eastAsia="Times New Roman" w:hAnsi="Times New Roman"/>
          <w:sz w:val="18"/>
          <w:szCs w:val="18"/>
          <w:color w:val="auto"/>
        </w:rPr>
        <w:t>March 13, 2026</w:t>
      </w:r>
      <w:r>
        <w:rPr>
          <w:sz w:val="20"/>
          <w:szCs w:val="20"/>
          <w:color w:val="auto"/>
        </w:rPr>
        <w:tab/>
      </w:r>
      <w:r>
        <w:rPr>
          <w:rFonts w:ascii="Times New Roman" w:cs="Times New Roman" w:eastAsia="Times New Roman" w:hAnsi="Times New Roman"/>
          <w:sz w:val="17"/>
          <w:szCs w:val="17"/>
          <w:color w:val="auto"/>
        </w:rPr>
        <w:t>Barinthus Biotherapeutics plc</w:t>
      </w:r>
    </w:p>
    <w:p>
      <w:pPr>
        <w:spacing w:after="0" w:line="320" w:lineRule="exact"/>
        <w:rPr>
          <w:sz w:val="20"/>
          <w:szCs w:val="20"/>
          <w:color w:val="auto"/>
        </w:rPr>
      </w:pPr>
    </w:p>
    <w:p>
      <w:pPr>
        <w:ind w:left="408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26035</wp:posOffset>
            </wp:positionV>
            <wp:extent cx="43033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38"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William Enright</w:t>
      </w:r>
    </w:p>
    <w:p>
      <w:pPr>
        <w:spacing w:after="0" w:line="5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William Enright as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substitutes, may lawfully do or cause to be done by virtue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Signature</w:t>
            </w:r>
          </w:p>
        </w:tc>
        <w:tc>
          <w:tcPr>
            <w:tcW w:w="8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0" w:type="dxa"/>
            <w:vAlign w:val="bottom"/>
          </w:tcPr>
          <w:p>
            <w:pPr>
              <w:spacing w:after="0"/>
              <w:rPr>
                <w:sz w:val="20"/>
                <w:szCs w:val="20"/>
                <w:color w:val="auto"/>
              </w:rPr>
            </w:pPr>
          </w:p>
        </w:tc>
        <w:tc>
          <w:tcPr>
            <w:tcW w:w="2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Date</w:t>
            </w:r>
          </w:p>
        </w:tc>
      </w:tr>
      <w:tr>
        <w:trPr>
          <w:trHeight w:val="507"/>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William Enright</w:t>
            </w:r>
          </w:p>
        </w:tc>
        <w:tc>
          <w:tcPr>
            <w:tcW w:w="80" w:type="dxa"/>
            <w:vAlign w:val="bottom"/>
          </w:tcPr>
          <w:p>
            <w:pPr>
              <w:spacing w:after="0"/>
              <w:rPr>
                <w:sz w:val="24"/>
                <w:szCs w:val="24"/>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198"/>
        </w:trPr>
        <w:tc>
          <w:tcPr>
            <w:tcW w:w="2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(Principal Executive Officer and Principal Financial</w:t>
            </w:r>
          </w:p>
        </w:tc>
        <w:tc>
          <w:tcPr>
            <w:tcW w:w="250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Enright</w:t>
            </w:r>
          </w:p>
        </w:tc>
        <w:tc>
          <w:tcPr>
            <w:tcW w:w="80" w:type="dxa"/>
            <w:vAlign w:val="bottom"/>
          </w:tcPr>
          <w:p>
            <w:pPr>
              <w:spacing w:after="0"/>
              <w:rPr>
                <w:sz w:val="20"/>
                <w:szCs w:val="20"/>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Officer)</w:t>
            </w:r>
          </w:p>
        </w:tc>
        <w:tc>
          <w:tcPr>
            <w:tcW w:w="2500" w:type="dxa"/>
            <w:vAlign w:val="bottom"/>
          </w:tcPr>
          <w:p>
            <w:pPr>
              <w:spacing w:after="0"/>
              <w:rPr>
                <w:sz w:val="20"/>
                <w:szCs w:val="20"/>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Gemma Jones</w:t>
            </w:r>
          </w:p>
        </w:tc>
        <w:tc>
          <w:tcPr>
            <w:tcW w:w="80" w:type="dxa"/>
            <w:vAlign w:val="bottom"/>
          </w:tcPr>
          <w:p>
            <w:pPr>
              <w:spacing w:after="0"/>
              <w:rPr>
                <w:sz w:val="24"/>
                <w:szCs w:val="24"/>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Gemma Jones</w:t>
            </w:r>
          </w:p>
        </w:tc>
        <w:tc>
          <w:tcPr>
            <w:tcW w:w="80" w:type="dxa"/>
            <w:vAlign w:val="bottom"/>
          </w:tcPr>
          <w:p>
            <w:pPr>
              <w:spacing w:after="0"/>
              <w:rPr>
                <w:sz w:val="21"/>
                <w:szCs w:val="21"/>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Robin Wright</w:t>
            </w:r>
          </w:p>
        </w:tc>
        <w:tc>
          <w:tcPr>
            <w:tcW w:w="80" w:type="dxa"/>
            <w:vAlign w:val="bottom"/>
          </w:tcPr>
          <w:p>
            <w:pPr>
              <w:spacing w:after="0"/>
              <w:rPr>
                <w:sz w:val="24"/>
                <w:szCs w:val="24"/>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Robin Wright</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Alex Hammacher</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 Hammacher</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Pierre A. Morgon</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 A. Morgon</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Anne M. Phillips</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Phillips</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Karen T. Dawes</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T. Dawes</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Joseph C. Scheeren</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C. Scheeren</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904"/>
        </w:trPr>
        <w:tc>
          <w:tcPr>
            <w:tcW w:w="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60" w:type="dxa"/>
            <w:vAlign w:val="bottom"/>
            <w:gridSpan w:val="2"/>
          </w:tcPr>
          <w:p>
            <w:pPr>
              <w:jc w:val="right"/>
              <w:ind w:right="279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PricewaterhouseCoopers LLP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876)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Loss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45720</wp:posOffset>
            </wp:positionV>
            <wp:extent cx="5740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F-1</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F-2</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F-3</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F-4</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2">
            <w:col w:w="9880" w:space="720"/>
            <w:col w:w="380"/>
          </w:cols>
          <w:pgMar w:left="320" w:top="121" w:right="5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Barinthus Biotherapeutics plc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Barinthus Biotherapeutics plc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4"/>
                <w:szCs w:val="14"/>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70,456</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04"/>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77,790</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0" w:type="dxa"/>
            <w:vAlign w:val="bottom"/>
          </w:tcPr>
          <w:p>
            <w:pPr>
              <w:spacing w:after="0"/>
              <w:rPr>
                <w:sz w:val="1"/>
                <w:szCs w:val="1"/>
                <w:color w:val="auto"/>
              </w:rPr>
            </w:pPr>
          </w:p>
        </w:tc>
      </w:tr>
      <w:tr>
        <w:trPr>
          <w:trHeight w:val="204"/>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4"/>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23,877</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30,192</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Ordinary shares, £0.000025 nominal value; 40,848,893 shares authorized, issued and outstanding (December 31, 2024:</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authorized, issued and outstanding: 40,234,663)</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A shares, £1 nominal value; 63,443 shares authorized, issued and outstanding (December 31, 2024:</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authorized, issued and outstanding: 63,443)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393,944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393,474</w:t>
            </w: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 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(25,868)</w:t>
            </w:r>
          </w:p>
        </w:tc>
        <w:tc>
          <w:tcPr>
            <w:tcW w:w="0" w:type="dxa"/>
            <w:vAlign w:val="bottom"/>
          </w:tcPr>
          <w:p>
            <w:pPr>
              <w:spacing w:after="0"/>
              <w:rPr>
                <w:sz w:val="1"/>
                <w:szCs w:val="1"/>
                <w:color w:val="auto"/>
              </w:rPr>
            </w:pPr>
          </w:p>
        </w:tc>
      </w:tr>
      <w:tr>
        <w:trPr>
          <w:trHeight w:val="204"/>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stockholders’ equity attributable to Barinthus Biotherapeutics plc shareholders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74,208</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130,029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4"/>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74,292</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130,135</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both"/>
        <w:ind w:left="2280" w:right="2220" w:hanging="63"/>
        <w:spacing w:after="0" w:line="288" w:lineRule="auto"/>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 (IN THOUSANDS, EXCEPT NUMBER OF SHARES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License revenue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5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before income tax</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Barinthus Biotherapeutics plc shareholders</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outstanding, basic</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40,527,218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outstanding, diluted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40,527,218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gain/(loss) – foreign currency translation adjustments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loss/(gain) attributable to noncontrolling interest</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Barinthus Biotherapeutics plc shareholders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60" w:hanging="152"/>
        <w:spacing w:after="0" w:line="204" w:lineRule="auto"/>
        <w:tabs>
          <w:tab w:leader="none" w:pos="160"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license revenue is from related parties and is generated in the U.K. for the year ended December 31,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2025</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 based compensation</w:t>
      </w:r>
    </w:p>
    <w:p>
      <w:pPr>
        <w:spacing w:after="0" w:line="55"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4"/>
          <w:szCs w:val="14"/>
          <w:color w:val="auto"/>
        </w:rPr>
        <w:t>Issue of ordinary shares, net of issuance costs</w:t>
      </w:r>
    </w:p>
    <w:p>
      <w:pPr>
        <w:spacing w:after="0" w:line="1" w:lineRule="exact"/>
        <w:rPr>
          <w:sz w:val="20"/>
          <w:szCs w:val="20"/>
          <w:color w:val="auto"/>
        </w:rPr>
      </w:pPr>
    </w:p>
    <w:p>
      <w:pPr>
        <w:ind w:left="20" w:right="140"/>
        <w:spacing w:after="0" w:line="281"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 based compensation</w:t>
      </w:r>
    </w:p>
    <w:p>
      <w:pPr>
        <w:spacing w:after="0" w:line="6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4"/>
          <w:szCs w:val="14"/>
          <w:color w:val="auto"/>
        </w:rPr>
        <w:t>Issue of ordinary shares, net of issuance costs</w:t>
      </w:r>
    </w:p>
    <w:p>
      <w:pPr>
        <w:spacing w:after="0" w:line="27"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4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41910</wp:posOffset>
            </wp:positionV>
            <wp:extent cx="55975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5597525"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60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8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A 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040" w:type="dxa"/>
            <w:vAlign w:val="bottom"/>
            <w:gridSpan w:val="4"/>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5"/>
            <w:vMerge w:val="continue"/>
          </w:tcPr>
          <w:p>
            <w:pPr>
              <w:spacing w:after="0"/>
              <w:rPr>
                <w:sz w:val="7"/>
                <w:szCs w:val="7"/>
                <w:color w:val="auto"/>
              </w:rPr>
            </w:pPr>
          </w:p>
        </w:tc>
        <w:tc>
          <w:tcPr>
            <w:tcW w:w="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120" w:type="dxa"/>
            <w:vAlign w:val="bottom"/>
            <w:gridSpan w:val="5"/>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40" w:type="dxa"/>
            <w:vAlign w:val="bottom"/>
            <w:gridSpan w:val="4"/>
            <w:vMerge w:val="continue"/>
          </w:tcPr>
          <w:p>
            <w:pPr>
              <w:spacing w:after="0"/>
              <w:rPr>
                <w:sz w:val="13"/>
                <w:szCs w:val="13"/>
                <w:color w:val="auto"/>
              </w:rPr>
            </w:pPr>
          </w:p>
        </w:tc>
        <w:tc>
          <w:tcPr>
            <w:tcW w:w="98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8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7"/>
                <w:szCs w:val="7"/>
                <w:color w:val="auto"/>
              </w:rPr>
            </w:pPr>
          </w:p>
        </w:tc>
        <w:tc>
          <w:tcPr>
            <w:tcW w:w="6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7"/>
                <w:szCs w:val="7"/>
                <w:color w:val="auto"/>
              </w:rPr>
            </w:pPr>
          </w:p>
        </w:tc>
        <w:tc>
          <w:tcPr>
            <w:tcW w:w="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320"/>
              <w:spacing w:after="0" w:line="84" w:lineRule="exact"/>
              <w:rPr>
                <w:sz w:val="20"/>
                <w:szCs w:val="20"/>
                <w:color w:val="auto"/>
              </w:rPr>
            </w:pPr>
            <w:r>
              <w:rPr>
                <w:rFonts w:ascii="Times New Roman" w:cs="Times New Roman" w:eastAsia="Times New Roman" w:hAnsi="Times New Roman"/>
                <w:sz w:val="9"/>
                <w:szCs w:val="9"/>
                <w:b w:val="1"/>
                <w:bCs w:val="1"/>
                <w:color w:val="auto"/>
              </w:rPr>
              <w:t>Deficit</w:t>
            </w:r>
          </w:p>
        </w:tc>
        <w:tc>
          <w:tcPr>
            <w:tcW w:w="1080" w:type="dxa"/>
            <w:vAlign w:val="bottom"/>
            <w:gridSpan w:val="5"/>
          </w:tcPr>
          <w:p>
            <w:pPr>
              <w:jc w:val="right"/>
              <w:ind w:right="12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Barinthus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right"/>
              <w:ind w:right="340"/>
              <w:spacing w:after="0" w:line="84" w:lineRule="exact"/>
              <w:rPr>
                <w:sz w:val="20"/>
                <w:szCs w:val="20"/>
                <w:color w:val="auto"/>
              </w:rPr>
            </w:pPr>
            <w:r>
              <w:rPr>
                <w:rFonts w:ascii="Times New Roman" w:cs="Times New Roman" w:eastAsia="Times New Roman" w:hAnsi="Times New Roman"/>
                <w:sz w:val="9"/>
                <w:szCs w:val="9"/>
                <w:b w:val="1"/>
                <w:bCs w:val="1"/>
                <w:color w:val="auto"/>
              </w:rPr>
              <w:t>Interest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58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1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Biotherapeutics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plc stockholders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40,234,663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63,443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393,474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(237,664)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(25,868)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130,029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8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614,230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0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Pr>
          <w:p>
            <w:pPr>
              <w:spacing w:after="0"/>
              <w:rPr>
                <w:sz w:val="24"/>
                <w:szCs w:val="24"/>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40,848,893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63,443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393,944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(304,092)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74,208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8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74,292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1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0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9"/>
                <w:szCs w:val="19"/>
                <w:color w:val="auto"/>
              </w:rPr>
            </w:pPr>
          </w:p>
        </w:tc>
        <w:tc>
          <w:tcPr>
            <w:tcW w:w="11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Deferred A 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60" w:type="dxa"/>
            <w:vAlign w:val="bottom"/>
            <w:gridSpan w:val="4"/>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640" w:type="dxa"/>
            <w:vAlign w:val="bottom"/>
            <w:gridSpan w:val="3"/>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3"/>
                <w:szCs w:val="13"/>
                <w:color w:val="auto"/>
              </w:rPr>
            </w:pPr>
          </w:p>
        </w:tc>
        <w:tc>
          <w:tcPr>
            <w:tcW w:w="4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jc w:val="right"/>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8"/>
                <w:szCs w:val="8"/>
                <w:color w:val="auto"/>
              </w:rPr>
            </w:pPr>
          </w:p>
        </w:tc>
        <w:tc>
          <w:tcPr>
            <w:tcW w:w="1000" w:type="dxa"/>
            <w:vAlign w:val="bottom"/>
            <w:gridSpan w:val="4"/>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Barinthus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right"/>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Biotherapeutics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plc stockholders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3"/>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gridSpan w:val="3"/>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38,643,540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63,443</w:t>
            </w:r>
          </w:p>
        </w:tc>
        <w:tc>
          <w:tcPr>
            <w:tcW w:w="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386,602</w:t>
            </w:r>
          </w:p>
        </w:tc>
        <w:tc>
          <w:tcPr>
            <w:tcW w:w="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(176,590)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(23,315)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186,784</w:t>
            </w:r>
          </w:p>
        </w:tc>
        <w:tc>
          <w:tcPr>
            <w:tcW w:w="20" w:type="dxa"/>
            <w:vAlign w:val="bottom"/>
          </w:tcPr>
          <w:p>
            <w:pPr>
              <w:spacing w:after="0"/>
              <w:rPr>
                <w:sz w:val="16"/>
                <w:szCs w:val="16"/>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211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186,995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4,709</w:t>
            </w: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1,591,123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2,163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86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6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(61,074)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(61,074)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(61,183)</w:t>
            </w: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40,234,663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63,443</w:t>
            </w:r>
          </w:p>
        </w:tc>
        <w:tc>
          <w:tcPr>
            <w:tcW w:w="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393,474</w:t>
            </w:r>
          </w:p>
        </w:tc>
        <w:tc>
          <w:tcPr>
            <w:tcW w:w="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(237,664)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(25,868)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130,029</w:t>
            </w:r>
          </w:p>
        </w:tc>
        <w:tc>
          <w:tcPr>
            <w:tcW w:w="20" w:type="dxa"/>
            <w:vAlign w:val="bottom"/>
          </w:tcPr>
          <w:p>
            <w:pPr>
              <w:spacing w:after="0"/>
              <w:rPr>
                <w:sz w:val="16"/>
                <w:szCs w:val="16"/>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130,135</w:t>
            </w: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-3693795</wp:posOffset>
            </wp:positionV>
            <wp:extent cx="706374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-3411220</wp:posOffset>
            </wp:positionV>
            <wp:extent cx="706374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-2931160</wp:posOffset>
            </wp:positionV>
            <wp:extent cx="706374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-1148080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-847725</wp:posOffset>
            </wp:positionV>
            <wp:extent cx="713232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-333375</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480"/>
            <w:col w:w="8960"/>
          </w:cols>
          <w:pgMar w:left="320" w:top="121" w:right="3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33" w:lineRule="exact"/>
        <w:rPr>
          <w:sz w:val="20"/>
          <w:szCs w:val="20"/>
          <w:color w:val="auto"/>
        </w:rPr>
      </w:pPr>
    </w:p>
    <w:p>
      <w:pPr>
        <w:ind w:left="120" w:hanging="112"/>
        <w:spacing w:after="0"/>
        <w:tabs>
          <w:tab w:leader="none" w:pos="12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amount less than one thousand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r>
      <w:tr>
        <w:trPr>
          <w:trHeight w:val="190"/>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17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(66,458)</w:t>
            </w:r>
          </w:p>
        </w:tc>
        <w:tc>
          <w:tcPr>
            <w:tcW w:w="2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(61,183)</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goodwill</w:t>
            </w:r>
          </w:p>
        </w:tc>
        <w:tc>
          <w:tcPr>
            <w:tcW w:w="200" w:type="dxa"/>
            <w:vAlign w:val="bottom"/>
          </w:tcPr>
          <w:p>
            <w:pPr>
              <w:spacing w:after="0"/>
              <w:rPr>
                <w:sz w:val="16"/>
                <w:szCs w:val="16"/>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foreign exchange loss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contingent consideration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benefit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Profit on sale of property and equipment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incentives receivable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190"/>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(47,979)</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(28,940)</w:t>
            </w:r>
          </w:p>
        </w:tc>
        <w:tc>
          <w:tcPr>
            <w:tcW w:w="220" w:type="dxa"/>
            <w:vAlign w:val="bottom"/>
            <w:tcBorders>
              <w:bottom w:val="single" w:sz="8" w:color="CCEEFF"/>
            </w:tcBorders>
            <w:shd w:val="clear" w:color="auto" w:fill="CCEEFF"/>
          </w:tcPr>
          <w:p>
            <w:pPr>
              <w:spacing w:after="0"/>
              <w:rPr>
                <w:sz w:val="16"/>
                <w:szCs w:val="16"/>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10"/>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Issue of shares from the exercise of stock options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w w:val="87"/>
              </w:rPr>
              <w:t>1</w:t>
            </w: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issue of ordinary shares, net of issuance costs</w:t>
            </w:r>
          </w:p>
        </w:tc>
        <w:tc>
          <w:tcPr>
            <w:tcW w:w="200" w:type="dxa"/>
            <w:vAlign w:val="bottom"/>
          </w:tcPr>
          <w:p>
            <w:pPr>
              <w:spacing w:after="0"/>
              <w:rPr>
                <w:sz w:val="16"/>
                <w:szCs w:val="16"/>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0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the period</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142,090</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the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112,400</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160" w:hanging="152"/>
        <w:spacing w:after="0" w:line="208" w:lineRule="auto"/>
        <w:tabs>
          <w:tab w:leader="none" w:pos="16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amount less than one thousand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Barinthus Biotherapeutics plc is a public limited company incorporated pursuant to the laws of England and Wales in March 2021. Barinthus Biotherapeutics plc and its direct and indirect subsidiaries, Barinthus Biotherapeutics (UK) Limited, Barinthus Biotherapeutics North America, Vaccitech Oncology Limited (“VOLT”), Barinthus Biotherapeutics Pty Limited, Barinthus Biotherapeutics Switzerland GmbH are collectively referred to as the “Company” or “Barinthus Bio”. During the quarterly period ended September 30 2025, the Company incorporated two new subsidiaries, Beacon Topco, Inc. (“Topco”) and Cdog Merger Sub, Inc. (“Merger Sub”), for the purpose of the transactions contemplated by the recently announced merger agreement with Clywedog Therapeutics, Inc. ("Clywedog"). These entities are not material to the Company's consolidated financial position or results of operations.</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clinical-stage biopharmaceutical company focused on developing novel immunotherapeutic drug candidates for treating autoimmune and inflammatory diseases within the immunology and inflammation ("I&amp;I") space enabled by the proprietary and highly differentiated platform for promoting immune tolerance, referred to as SNAP-TI. The Company's lead candidate, VTP-1000, is designed to restore immune non-responsiveness to gluten in patients with celiac disease, and is currently being assessed in a Phase 1 clinical trial. The Company occupies laboratory and office space in Germantown, Maryland, United States.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operates in an environment of rapid technological change and substantial competition from pharmaceutical and biotechnology companies. The Company is subject to risks common to companies in the biopharmaceutical industry that are also in a similar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Clywedog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29, 2025, the Company entered into an Agreement and Plan of Merger (the “Merger Agreement”) by and among the Company, Topco, Merger Sub and Clywedog. The Merger Agreement provides that, among other things, upon the terms and subject to the conditions set forth therein: (i) Topco will acquire the entire issued and to be issued share capital of the Company pursuant to a scheme of arrangement (subject to any modification, addition or condition which (a) the Company, Topco and Clywedog mutually agree and which (if required) is approved by the High Court of Justice of England and Wales (the “Court”) or (b) is otherwise imposed by the Court and mutually acceptable to the Company, Topco and Clywedog, each acting reasonably and in good faith, in each case in accordance with the Part 26 of the United Kingdom Companies Act 2006 and the Merger Agreement (the “Scheme of Arrangement” and such transaction, the “Scheme Transaction”)), resulting in the Company becoming a direct wholly owned subsidiary of Topco, and (ii) Merger Sub will merge with and into Clywedog, with Clywedog continuing as the surviving corporation and a direct wholly owned subsidiary of Topco in accordance with the Delaware General Corporations Law (the “Merger” and, together with the Scheme Transaction, the “Combinations”, and, together with such other transactions contemplated by the Merger Agreement, the “Contemplated Transactions”). The Scheme Transaction will be consummated prior to the Merger.</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effective time of the Scheme Transaction (the “Scheme Effective Time”), upon the terms and subject to the conditions set forth in the Merger Agreement, Topco will acquire each outstanding ordinary share of the Company, with a par value £0.000025 per ordinary share (each such acquired ordinary share, a “Scheme Share”), which, for the avoidance of doubt, will include ordinary shares held by The Bank of New York Mellon (the “Depositary”) (or to the extent that the Depositary is not itself the registered holder of such shares that underly the Company’s American Depositary Shares (the “ADSs”), each representing one (1) ordinary share, whichever nominee, custodian or other entity is the registered holder under the terms of the Deposit Agreement, dated as of April 29, 2021, among the Company, the Depositary, and all holders from time to time of the ADSs, as may be amended from time to time), from the holders of Scheme Shares whose names appear in the register of members of the Company at the Scheme Effective Time) in accordance with the provisions of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Scheme of Arrangement, and each Scheme Share will be converted into the right to receive (i) one (1) share of common stock, 0.0001 par value per share, of Topco (the “Topco Common Stock”) subject to and strictly in accordance with the terms of the Scheme of Arrangement plus (ii) cash in lieu of any fractional shares, rounded down to the nearest whole share. Following the Scheme Effective Time, Topco may in its discretion elect to commence a self-tender offer (“Self-Tender Offer”) to purchase up to $27.0 million in shares of Topco Common Stock then issued and outstanding, which Self-Tender Offer, if elected, will be consummated prior to the Merger.</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“Merger Effective Time”), subject to adjustment in accordance with the terms of the Merger Agreement, each share of common stock, $0.0001 par value per share, of Clywedog (the “Clywedog Common Stock”) and each share of Series Seed Preferred Stock, $0.0001 par value per share, of Clywedog (the “Clywedog Preferred Stock”, and together with the Clywedog Common Stock, the “Clywedog Capital Stock”), other than Clywedog Capital Stock held as treasury stock or owned by Topco or Merger Sub immediately prior to the Merger Effective Time, will be converted solely into the right to receive (i) 4.358932 of shares of Topco Common Stock rounded down to the nearest whole share plus (ii) cash in lieu of any fractional shares.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closing of the Contemplated Transactions is subject to the satisfaction or waiver of certain customary conditions, including, among other things: (i) the effectiveness of a registration statement (the “Registration Statement”) to register the shares of Topco Common Stock to be issued in connection with the Combinations; (ii) approvals by the Company’s shareholders of the Scheme Transaction and certain related matters, and sanction by the Court of the Scheme Transaction; (iii) approval by Clywedog’s stockholders of the Merger Agreement, the Merger and Contemplated Transactions; (iv) the approval for listing by the Nasdaq Stock Market of the shares of Topco Common Stock issuable in the Combinations, subject to official notice of issuance; (v) the completion of the Self-Tender Offer to the extent that Topco elects to commence the Self-Tender Offer; (ivi) minimum cash requirements for each party.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may be terminated and the transactions contemplated thereby abandoned at any time prior to the closing under certain specified circumstances. Either the Company or Clywedog may terminate the Merger Agreement if, among other things: (i) the closing date will not have occurred by September 30, 2026, subject to up to a 60 day extension if the U.S. Securities and Exchange Commission (the “SEC”) has not declared effective the Registration Statement by July 31, 2026, (ii) a governmental authority of competent jurisdiction has issued a final, non-appealable order prohibiting the Contemplated Transactions, (iii) the required Company shareholder approval or Clywedog shareholder approval is not obtained in accordance with the Merger Agreement, (iv) the Scheme of Arrangement is not sanctioned by the Court, or (v) another party breaches or fails to perform in any material respect any of its covenants or any of the other party’s representations or warranties are inaccurate and such breach, failure to perform or inaccuracy would result in certain of the closing conditions not being satisfied, subject to a cure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conformity with accounting principles generally accepted in the United States of America (“GAAP”) and pursuant to the rules and regulations of the Securities and Exchange Commission for annual financial reporting. The Company’s reporting currency is the U.S. dollar. As of December 31, 2025, the Company had cash, cash equivalents and restricted cash of $71.9 million and an accumulated deficit of $304.1 million and the Company expects to incur losses for the foreseeable future as it continues to pursue its activities, including the commercialization of its research and development. The Company expects to continue to incur costs and expenditures in connection with the Contemplated Transactions, further in connection with the Contemplated Transactions Barinthus may pay up to $27.0 million to existing shareholders under a Self Tender offer. If the Contemplated Transactions are consummated, any additional funding will be sought by the combined company. However as the transaction is not yet consummated, when performing the going concern assessment, management have assessed the Company on a standalone basis and expects that its cash, cash equivalents and restricted cash will be sufficient to fund current operations for at least the next 12 months from the issuance of the consolidated financial statements. </w:t>
      </w:r>
      <w:r>
        <w:rPr>
          <w:rFonts w:ascii="Times New Roman" w:cs="Times New Roman" w:eastAsia="Times New Roman" w:hAnsi="Times New Roman"/>
          <w:sz w:val="18"/>
          <w:szCs w:val="18"/>
          <w:color w:val="242424"/>
        </w:rPr>
        <w:t>In the future the Company will need additional cash inflows to</w:t>
      </w:r>
      <w:r>
        <w:rPr>
          <w:rFonts w:ascii="Times New Roman" w:cs="Times New Roman" w:eastAsia="Times New Roman" w:hAnsi="Times New Roman"/>
          <w:sz w:val="18"/>
          <w:szCs w:val="18"/>
          <w:color w:val="auto"/>
        </w:rPr>
        <w:t xml:space="preserve"> pursue its activities, including the commercialization of its research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There is no assurance that the Company will be successful in obtaining sufficient cash inflows on terms acceptable to the Company to fund continuing operations, if at all.</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permitted under the laws of England and Wales, the Company indemnifies its officers, directors, consultants and employees for certain events or occurrences that happen by reason of the relationship with, or position held at, the Company. Through the years ended December 31, 2025 and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Barinthus Biotherapeutics plc and those entities in which it has a controlling interest. Intercompany amounts are eliminated on consolidation. Amounts attributable to the noncontrolling interest are presented as a separate element of equity in the accompanying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income and expenses during the reporting period. The Company bases its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current year, the Company updated certain estimates related to the carrying value of long-lived assets as a result of the announced Contemplated Transactions with Clywedog. The adjustment reflects updated assumptions regarding expected future cash flows and market participant perspectives. Additional information regarding this change in estimate and its impact on the financial statements is included in Note 7.</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date of issuance of these consolidated financial statements, the Company is not aware of any other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for all periods presented is comprised primarily of net loss and other comprehensive loss, which solely relates to foreign currency translation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reporting currency is the United States dollar. The functional currency of the parent and each subsidiary is the currency of the country and economic environment in which it is located. Assets and liabilities of each legal entity denominated or measured in a currency other than British Pounds are first translated into British pounds and consolidated. The consolidated balances are then converted into United States dollars at period-end exchange rates. Revenues and expenses are translated into British pounds, then into U.S. dollars at average exchange rates for each reporting period. Translation adjustments are reflected as accumulated other comprehensive loss within stockholders’ equity. Gains and losses on foreign currency transactions are included in the consolidated statements of operations and comprehensive loss in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The aggregate net foreign exchange gain or loss included in determining net loss was a loss of $9.6 million and gain of $2.4 million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2018, Barinthus Biotherapeutics plc established VOLT with a related party. As of December 31, 2021, Barinthus Biotherapeutics plc had contributed cash and intellectual property with an aggregate value of $11.9 million for a 76% controlling interest. The related party had contributed cash and intellectual property with an aggregate value of $3.8 million for a 24% noncontrolling interest. There were no further contributions in subsequent financial years. The contributed intellectual properties were initially recorded at investment date fair value by VOLT and immediately expensed as research and development costs. The Company accounts for the noncontrolling interest in the accompanying consolidated financial statements initially at fair value with the subsequent carrying value adjusted for the noncontrolling share of VOLT’s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remaining maturities of three months or less on the purchase date to be cash and cash equivalents. Cash and cash equivalents include bank demand deposits and money market funds that are actively traded (a Level 1 input). As of December 31, 2025, and 2024 there were no cash equivalents.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entered into collaboration and license agreements, which are within the scope of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 discover, develop, manufacture and commercialize product candidates. The terms of these agreements typically contain multiple promises or obligations, which may include licenses, or options to obtain licenses, to product candidates or future product candidates.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recognized as revenue, but not yet received are generally recognized as accounts receivable or contract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arrangements may provide the collaboration partner with the right to select a target for licensing either at the inception of the arrangement or in the future. Under these arrangements, fees may be due to the Company (i) at the inception of the arrangement as an upfront fee or payment, (ii) upon the exercise of an option to acquire a license or (iii) upon extending the selection period as an extension fee or payment. If an arrangement is determined to contain customer options that allow the customer to acquire additional goods or services at their standalone selling prices,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arrangements that include sales-based milestones and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recognizes revenue allocated to such performance obligations based on an appropriate measure of progress. The Company utilizes judgment to determine the appropriate method of measuring progress for the purposes of recognizing revenue, which may include an input measure such as costs incurred during the reporting period or ratably over the service period. Reimbursements from the partner are evaluated as to whether the Company acts as a principal or an agent in such relationships. The Company evaluates whether control over the underlying goods or services were obtained prior to transferring these goods or services to the collaboration partner. Where the Company does not control the goods or services prior to transferring these goods or services to the collaboration partner, such reimbursements are presented net of costs. At the inception of each arrangement that includes development milestone payments in respect of development efforts,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development milestone value is included in the transaction price. Development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development milestone in making this assessment. There is judgment involved in determining whether it is probable that a significant revenue reversal would not occur. At the end of each reporting period, the Company reevaluates the probability of achievement of all development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 To date, the Company has not recognized any development milestone revenue resulting from any of its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Other operating income includes grant income from the CEPI Funding Agreement pursuant to which CEPI will provide funding to us to advance the development of VTP-500, a vaccine candidate against MERS. When there is reasonable assurance that we will comply with the conditions attached to a received grant, and when there is reasonable assurance that the grant will be received, grant income is recognized as other operating income on a gross basis in the consolidated statements of operations and comprehensive loss on a systematic basis over the periods in which we recognize expenses for the related costs for which the grants are intended to compensate. Payments received in advance of incurring reimbursable expenses are recorded as deferred income. Any remaining unused amounts of the cash payments received will be disclosed as restricted cash in the consolidated balance sheets.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in these deposits. The Company’s standard payment terms are typically 30 days.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revenue earned in connection with the license and services provided to customers. The Company provides credit to licensees in the normal course of providing such services based on evaluations of their financial condition and generally does not require collateral. To manage accounts receivable credit risk, the Company monitors the creditworthiness of its licensees. Historically, the Company has not experienced any credit losses related to accounts receivable and does not maintain allowances for uncollectible amounts.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Licensees that represented 10% or more of the Company’s revenue are presented below:</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0" w:type="dxa"/>
            <w:vAlign w:val="bottom"/>
            <w:vMerge w:val="restart"/>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Oxford University Innovation</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U.K.</w:t>
            </w:r>
          </w:p>
        </w:tc>
        <w:tc>
          <w:tcPr>
            <w:tcW w:w="17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evaluates its cash equivalents and accounts receivable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 With respect to cash equivalents and accounts receivable, given consideration of their short maturity, historical losses and the current market environment, the Company concluded there are no expected credit losses for these financial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accumulated impairment losses. Expenditures for maintenance and repairs are charged to operating expenses as incurred, whereas major betterments are capitalized as additions to property and equipment. Impairment losses are recorded within general and administrative expenses. Depreciation is recorded using the straight-line method over the estimated useful lives of the assets as follows:</w:t>
      </w:r>
    </w:p>
    <w:p>
      <w:pPr>
        <w:sectPr>
          <w:pgSz w:w="11900" w:h="16838" w:orient="portrait"/>
          <w:cols w:equalWidth="0" w:num="1">
            <w:col w:w="11240"/>
          </w:cols>
          <w:pgMar w:left="320" w:top="121" w:right="339" w:bottom="1440" w:gutter="0" w:footer="0" w:header="0"/>
        </w:sectPr>
      </w:pPr>
    </w:p>
    <w:p>
      <w:pPr>
        <w:spacing w:after="0" w:line="2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33655</wp:posOffset>
            </wp:positionV>
            <wp:extent cx="561467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5614670" cy="17145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5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Laboratory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26035</wp:posOffset>
            </wp:positionV>
            <wp:extent cx="5614670" cy="291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5614670" cy="291465"/>
                    </a:xfrm>
                    <a:prstGeom prst="rect">
                      <a:avLst/>
                    </a:prstGeom>
                    <a:noFill/>
                  </pic:spPr>
                </pic:pic>
              </a:graphicData>
            </a:graphic>
          </wp:anchor>
        </w:drawing>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acquired through business combinations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75" w:lineRule="exact"/>
        <w:rPr>
          <w:sz w:val="20"/>
          <w:szCs w:val="20"/>
          <w:color w:val="auto"/>
        </w:rPr>
      </w:pPr>
    </w:p>
    <w:p>
      <w:pPr>
        <w:ind w:left="680" w:hanging="126"/>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4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Lesser of lease term or</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useful lives</w:t>
      </w:r>
    </w:p>
    <w:p>
      <w:pPr>
        <w:spacing w:after="0" w:line="702"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acquired developed technology. Intangible assets are stated at cost less accumulated amortization and impairment losses.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is computed using the straight-line method over the estimated useful lives of the respective assets, which is 10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reviews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 There were impairments recorded during the year ended December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the net tangible and intangible assets of businesses acquired in a business combination. Goodwill is not amortized but rather is tested for impairment at least annually, or more frequently if events or changes in circumstances indicate that the carrying amount of goodwill may not be recoverable. The Company has elected to first assess the qualitative factors to determine whether it is more likely than not that the fair value of a reporting unit is less than its carrying amount as a basis of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and measures the amount of goodwill impairment loss, if any, to be recognized by comparing the fair value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 a reporting unit with its carrying amount. If the fair value exceeds the carrying amount, no further analysis is required; otherwise, if the fair value is less than the carrying amount, the difference is recognized as a goodwill impairment loss not to exceed the carrying amount of the goodwill. The carrying amount of goodwill was nil at December 31, 2024 . The Company has performed the annual impairment assessment and identified qualitative indicators of impairment, most notably the share price drop in November 2024, including the lack of recovery thereof, and the strategic considerations to partner VTP-300 for future clinical development. Therefore, the Company performed a qualitative impairment assessment and determined that it was more likely than not that the fair value of the reporting unit is less than its carrying amount. The reporting unit comprises the net assets of the Company. The Company then performed a quantitative impairment assessment using the income approach to determine the fair value of the reporting unit, including the net present value of clinical stage assets and overhead costs. Based on the quantitative assessment, the Company determined that the fair value of the reporting unit is less than its carrying amount as of December 31, 2024, and, as a result, recognized a goodwill impairment charge of $12.2 million. For the year ended December 31, 2025 there was no impairment charge to Goodwill (December 31, 2024: $12.2 million).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restricted cash, accounts receivable, accounts payable, certain accrued expenses and contingent consideration. The carrying amounts of cash, cash equivalents, accounts receivable, security deposits, accounts payable and accrued expenses approximate their fair value due to the short-term nature of those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89" w:lineRule="exact"/>
        <w:rPr>
          <w:sz w:val="20"/>
          <w:szCs w:val="20"/>
          <w:color w:val="auto"/>
        </w:rPr>
      </w:pPr>
    </w:p>
    <w:p>
      <w:pPr>
        <w:ind w:left="660" w:hanging="328"/>
        <w:spacing w:after="0" w:line="246" w:lineRule="auto"/>
        <w:tabs>
          <w:tab w:leader="none" w:pos="6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(unadjusted) in active markets for identical assets or liabilities that the reporting entity has the ability to access at the measurement date.</w:t>
      </w:r>
    </w:p>
    <w:p>
      <w:pPr>
        <w:ind w:left="660" w:right="460" w:hanging="328"/>
        <w:spacing w:after="0" w:line="249" w:lineRule="auto"/>
        <w:tabs>
          <w:tab w:leader="none" w:pos="6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in markets that are not active or for which all significant inputs are observable, either directly or indirectly.</w:t>
      </w:r>
    </w:p>
    <w:p>
      <w:pPr>
        <w:ind w:left="640" w:hanging="308"/>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2025 and 2024.</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a contingent consideration liability related to the acquisition of Avidea Technologies, Inc.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Changes in fair value are recognized in general and administrative expenses in the consolidated statements of operations and comprehensive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Leases are accounted for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resulting in the recognition of lease liabilities and right-of-use assets. The Company only has operating leases. The Company has elected the practical expedient allowed under ASC 842 to account for each lease component (e.g., the right to use office space) and the associated non-lease components (e.g., maintenance services) as a single lease component. The Company also elected the short-term lease accounting policy for all asset classes; therefore, the Company is not recognizing a lease liability or right-of-use asset for any lease that, at the commencement date, has a lease term of 12 months or less and does not include an option to purchase the underlying asset that the Company is reasonably certain to exercise.</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Variable lease payments such as the Company’s share of real estate taxes, utilities, and common area maintenance, are reported as non-lease operating expenses.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Right-of-use assets also include the effect of any lease payments made and exclude lease incentives. The lease terms may include options to extend or terminate the lease when it is reasonably certain that the Company will exercise that option. Operating lease expense is recognized as part of total operating expenses on a straight-line basis over the lease term. The difference between the value of the right of use asset and lease liability is due to the reclassification of prepaid rent and unamortized lease incentives.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costs are expensed as incurred on an accrual basis. Research and development costs include payroll and personnel expense (including share-based compensation), consulting costs, external contract research and development expenses, raw materials, drug product manufacturing costs, and allocated overheads including depreciation and amortization, facility costs, and utilities. Research and development costs that are paid in advance of performance are capitalized as a prepaid expense and amortized over the service period as the services are provided.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and licensing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and licensing costs are expensed as incurred because there is uncertainty as to any future economic benefits arising from these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are classified in stockholders’ equity and represent issued share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paid-in capital is classified in stockholders’ equity and represents the share premium account, where the difference between the price paid per share and the nominal value is recognized. The equity element of share based compensation is also recognized in additional paid in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grants options over ordinary shares and restricted shares units to employees or non-executive directors and accounts for share based compensation using the grant date fair value. Share based compensation awards are classified in the accompanying statements of operations and comprehensive loss based on the function to which the related services are provided. For service-based awards, compensation expense is generally recognized over the requisite service period of the awards, usually the vesting period. The Company applies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Assumptions used in the option pricing model include the following:</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Previously there was insufficient trading history for the Company’s ordinary shares, therefore the expected price volatility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was estimated using the average historical volatility of industry peers’ shares as of the grant date of the Company's options over a period of history commensurate with the expected life of the options. When selecting industry peers used in measuring implied volatility, the Company considered the similarity of their products and business lines, as well as their stage of development, size and financial leverage. The Company applied this process consistently using the same or similar public companies until 2023. For options granted since 2023, the Company determined that there is sufficient historical information on volatility of its share price available and the expected volatility used in the fair value calculation of new option grants is calculated based on a blended volatility of both historical volatility of the Company's share price and the average historical volatility of industry peers’ shares.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of the Company’s share options has been determined utilizing the “simplified” method for awards that qualify as “plain-vanilla” options. The “simplified” method was determined to be appropriate as the Company does not have sufficient historical exercise data to provide a reasonable basis upon which to estimate expected term due to the limited period of time its equity shares have been publicly traded.</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determined by reference to the U.S. Treasury yield curve in effect at the time of grant of the award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periods that are approximately equal to the expected term of the award.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Expected dividend yield of zero is based on the fact that the Company has never paid cash dividends on ordinary shares and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pay any cash dividends in the foreseeable future.</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on the date of modification for vested awards, and over the remaining vesting period for unvested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financial statements reflect provisions for income taxes in the U.K. and foreign jurisdictions.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nor has it recorded any unrecognized tax benefits.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the U.K., the Company had previously been entitled to a research and development tax credit regime, being the Small and Medium-sized Enterprises R&amp;D tax relief program (“SME”),and, to the extent that our projects are grant funded or relate to work subcontracted to us by third parties, the Research and Development Expenditure Credit program, or RDEC Program. For the year ended December 31, 2025, we benefit from the applicable United Kingdom research and development tax credit regime which is the merged scheme Research &amp; Development expenditure credit ("RDEC") and enhanced R&amp;D intensive support ("ERIS") that replaces the prior schemes. A large portion of costs relating to research and development, clinical trials and manufacturing activities are eligible for inclusion within these tax credit cash rebate claims. For expenditure under the merged RDEC scheme, the rate of Research and Development expenditure credit will is 20%, which is the same as the rate under the old RDEC scheme for expenditure incurred on or after April 1, 2023. For loss-makers and small profit-makers, a lower rate of notional tax restriction (currently 19%) applies at payment. Under both the merged RDEC scheme and the prior SME program, a company qualifies as an R&amp;D intensive business if R&amp;D expenditure constitutes at least 30% of total expenditure. From the analysis performed, the Company has not and do not currently expect to claim under the loss-making R&amp;D intensive scheme primarily due to the proportion of total relevant expenditure occurring outside the U.K. If the Company incurs tax losses, the Company is entitled to surrender the lesser of unrelieved tax loss sustained and the tax relief. As the realization of the tax relief does not depend on our generation of future taxable income or the Company’s ongoing tax status or tax position, the Company does not consider the tax relief as an element of income tax accounting under ASC 740,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and records the tax relief as a form of government grant or assistance. For the years ended December 31, 2025 and 2024,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research and development incentives of $2.0 million and $4.0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ordinary shareholders by the weighted-average number of ordinary shares outstanding for the reporting period without consideration for potentially dilutive securities. Net loss attributable to ordinary shareholders is computed as if all net 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diluted net loss per ordinary share after giving consideration to all potentially dilutive ordinary equivalents, including stock options outstanding during the period, except where the effect of such non-participating securities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ordinary shareholders by the weighted-average number of ordinary shares and dilutive ordinary share equivalents outstanding for the period, determined using the treasury-stock and if-converted methods.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provision for contingent liabilities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The Company is a party to certain litigation and disputes arising in the normal course of business. As of December 31, 2025, the Company does not expect that such matters will have a material adverse effect on the Company’s business, financial position, results of operations, or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applications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reviewed all recently issued standards and have determined that such standards do not or are not expected to have a material impact on its condensed consolidated financial statements or do not otherwise apply to its current operations.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2025, the FASB issued ASU 2025-12, Accounting Standards Update Codification Improvements. The amendments in this update facilitates codification updates for a broad range of Topics arising from technical corrections, unintended application of the codification, clarifications, and other minor improvements. This standard is effective for fiscal years beginning after December 15, 2026, including interim periods within those fiscal years. The Company is currently evaluating the impact of adopting this standard to determine its impact on its disclosures.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amendments in this update clarify interim disclosure requirements and the applicability of Topic 270. This standard is effective for interim reporting periods within annual reporting periods beginning after December 15, 2027. The Company is currently evaluating the impact of adopting this standard to determine its impact on its disclosures.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Determining the Accounting Acquirer in the Acquisition of a Variable Interest Entity. This ASU amends the guidance for identifying the accounting acquirer in transactions involving variable interest entities (“VIEs”) where the transaction is achieved primarily through the exchange of equity interests, aligning it more closely with the guidance for voting interest entities. The amendments are effective for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fiscal years beginning after December 15, 2026, including interim periods within those fiscal years, with early adoption permitted. The Company elected to early adopt ASU 2025-03 as of July 1, 2025. The adoption did not have a material impact on the consolidated financial statements. The Company will apply the amended guidance prospectively to applicable transactions.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Statement-Reporting Comprehensive Income-Expense Disaggregation Disclosures (Subtopic 220-40): Clarifying the Effective Date, in which the Board's intent in the basis of conclusion of Update 2024-03 is clear that all public business entities should initially adopt the disclosure requirements in the first annual reporting period beginning after December 15, 2026, and interim reporting periods within annual reporting periods beginning after December 15, 2027. The Company is currently evaluating the impact of adopting this standard to determine its impact on its disclosures.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disaggregation of specific expense categories in the notes to the 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The Company is currently evaluating the impact of adopting this standard to determine its impact on its disclosures.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standard is effective for fiscal years beginning after December 15, 2024. The Company has retrospectively adopted the ASU and the adoption did not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 information</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the Company’s Chief Executive Officer, in making decisions regarding resource allocation and assessing performance. The CODM approves key operating and strategic decisions, including key decisions in clinical development and clinical operating activities, entering into significant contracts and approves the Company's consolidated operating budget. The Company views its operations and manages its business as one operating segment, the research and development of immunotherapies and vaccines. The CODM uses loss before income tax to monitor budget versus actual results and decide how to use the Company's resources. As the Company operates in one operating segment, all required financial segment information can be found in these consolidated financial statements. The following table is a summary of the Company's significant segment expenses:</w:t>
      </w:r>
    </w:p>
    <w:p>
      <w:pPr>
        <w:spacing w:after="0" w:line="246"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90"/>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63"/>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VTP-1000 Celiac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77"/>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Barinthus legacy assets</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r>
      <w:tr>
        <w:trPr>
          <w:trHeight w:val="24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w:t>
            </w:r>
          </w:p>
        </w:tc>
      </w:tr>
      <w:tr>
        <w:trPr>
          <w:trHeight w:val="26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6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w:t>
            </w:r>
          </w:p>
        </w:tc>
      </w:tr>
      <w:tr>
        <w:trPr>
          <w:trHeight w:val="26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50"/>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indirect costs</w:t>
            </w: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5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w:t>
            </w:r>
          </w:p>
        </w:tc>
      </w:tr>
      <w:tr>
        <w:trPr>
          <w:trHeight w:val="25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42,236</w:t>
            </w:r>
          </w:p>
        </w:tc>
      </w:tr>
      <w:tr>
        <w:trPr>
          <w:trHeight w:val="21"/>
        </w:trPr>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both"/>
        <w:ind w:left="240" w:right="240" w:firstLine="2"/>
        <w:spacing w:after="0"/>
        <w:tabs>
          <w:tab w:leader="none" w:pos="310" w:val="left"/>
        </w:tabs>
        <w:numPr>
          <w:ilvl w:val="0"/>
          <w:numId w:val="8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 NSCLC, VTP-500 MERS and other and earlier stage programs.</w:t>
      </w:r>
    </w:p>
    <w:p>
      <w:pPr>
        <w:spacing w:after="0" w:line="3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in two geographic regions: the U.S. and the U.K. The following table summarizes the Company’s long-lived assets, which include the Company’s intangible assets, property and equipment, net and right-of-use assets by geography: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7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28,907</w:t>
            </w:r>
          </w:p>
        </w:tc>
      </w:tr>
      <w:tr>
        <w:trPr>
          <w:trHeight w:val="25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75"/>
        </w:trPr>
        <w:tc>
          <w:tcPr>
            <w:tcW w:w="760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Foreign Currency Translation in General and Administrative Expenses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net foreign exchange gain or loss recognized in general and administrative expenses for the year ended December 31, 2025, and 2024, was a loss of $9.6 million and a gain of $2.4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w:t>
      </w: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years ended December 31, 2025 and 2024 (in thousands, except number of shares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tcPr>
          <w:p>
            <w:pPr>
              <w:spacing w:after="0"/>
              <w:rPr>
                <w:sz w:val="18"/>
                <w:szCs w:val="18"/>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Barinthus Biotherapeutics plc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ordinary shares outstanding, basic</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40,527,218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ordinary shares outstanding, diluted</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40,527,218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as the inclusion of all potential ordinary share equivalents outstanding would have been anti-dilutive. For the year ended December 31, 2025, 5,976,157 (December 31, 2024: 7,285,275) potential ordinary shares issuable for stock options were excluded from the computation of diluted weighted-average shares outstanding because including them would have had an anti-dilutive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impairment charges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was $2.9 million (December 31, 2024: $2.6 million).</w:t>
      </w: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and 2024, the Company recorded a gain of $0.2 million and nil, respectively, from the sale of U.K. laboratory equipment. The recorded associated proceeds from the equipment sale for the year ended December 31, 2025 and 2024 was $0.5 million and nil, respectively).</w:t>
      </w:r>
    </w:p>
    <w:p>
      <w:pPr>
        <w:spacing w:after="0" w:line="3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identified circumstances that could indicate that the carrying amount of leasehold improvements located in the U.S. and the U.S. operating lease right-of-use asset may not be recoverable as of December 31, 2025, as it was more likely than not that the Company would cease to utilize some of the laboratory and office space in Germantown, Maryland in 2026, before the end of the previously estimated useful lives. The Company performed an impairment assessment of the leasehold improvements within the U.S. asset group using the income approach as of December 31, 2025 and recorded an impairment charge within general and administrative expenses of $0.7 million (December 31, 2024: U.K. property and equipment impairment $2.7 million) to write down assets to their estimated recoverable amount. The impairment charge is subject to a number of assumptions and actual results may differ. The Company will continue to refine these assumptions as additional information becomes available. The significant assumptions used in determining the estimated fair value of the leasehold improvements located in the U.S. included how much floor space would be relinquished during sub-leasing. Significant changes in these inputs could have a material effect on the fair value measurement. See Note 16 Commitments and Contingencies for details of the impairment assessment performed over the U.S. operating lease right-of-use asset, which is part of the U.S. asset group.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gross amount of amortizable intangible assets, consisting of acquired developed technology, was $31.6 million at both December 31, 2025 and 2024 and accumulated amortization was $17.3 million and $9.7 million as of December 31, 2025 and 2024, respectively. The amortization expense for the year ended December 31, 2025 was $3.0 million (December 31, 2024: $3.2 million). The estimated annual amortization expense is $2.5 million for the years 2026 through to 2031.</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During the quarter ended September 30, 2025, the Company announced it had entered into a definitive merger agreement to combine in an all-stock transaction with Clywedog. The indicative offer price was below fair value of the Company's net assets expected at completion and below prior valuations utilized in our most recent impairment assessments, thereby constituting an impairment triggering event. As a result, the Company recorded a total impairment charge for acquired development technology intangible assets of $4.7 million during the third quarter of 2025. The determination of the fair value of the Company's net assets expected at completion is a non-recurring fair value measurement. Subsequently, we reviewed through to December 31, 2025, for additional indicators of impairment and did not identify any additional impairment triggers nor was any additional impairment expense recorded.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5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manufacturing and clinical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 payable</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8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Grant Income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Coalition for Epidemic Preparedness Innovations (“CEPI”) Funding Agreement</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December 20, 2023, Barinthus Biotherapeutics (UK) Limited, the Chancellors, Masters and Scholars of the University of Oxford (“Oxford,” together with Barinthus Biotherapeutics (UK) Limited, the “Partners”) and the Coalition for Epidemic Preparedness Innovations (“CEPI”) entered into a Funding Agreement (the “Funding Agreement”) pursuant to which CEPI would provide funding of up to $34.8 million to the Company to advance the development of VTP-500, a vaccine candidate against Middle East Respiratory Syndrome (“MERS,” and such development activities, the “Project”). In December 2023, VTP-500 received PRIME (PRIority MEdicines) designation by the European Medicines Agency. There have been no changes to the terms or conditions of the grant since the previous reporting period.</w:t>
      </w: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In January 2025, the Company announced its strategic focus on developing a pipeline in I&amp;I, and the deprioritization of its programs in infectious disease and oncology. The Company intends to exit the Funding Agreement as part of aligning resources in accordance with the Company's strategy.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nil (December 31, 2024: $3.0 million) proceeds have been received. For the year ended December 31, 2025</w:t>
      </w:r>
    </w:p>
    <w:p>
      <w:pPr>
        <w:spacing w:after="0" w:line="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$0.4 million (December 31,2024: $1.2 million ) income has been recognized in relation to this contract. This is presented as other operating income in the consolidated statements of operations and comprehensive loss.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Agreement cash payments are restricted as to the use and management of the funds. The remaining unused amounts of the Funding Agreement cash payments of $1.4 million as of December 31, 2025 (December 31, 2024: $1.7 million), are reflected in restricted cash in the consolidated balance sheets until expenditures contemplated in the Funding Agreement are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Deferred income relates to payments received from CEPI in advance of the eligible research and development expenses being incurred and is disclosed as deferred income separately in the consolidated balance sheets. Deferred income is released to the consolidated statements of operations and comprehensive loss in the period in which such research and development activities are actually performed in a manner that satisfies the conditions of the Funding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income during the years ended December 31, 2025 and 2024,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received</w:t>
            </w:r>
          </w:p>
        </w:tc>
        <w:tc>
          <w:tcPr>
            <w:tcW w:w="2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7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recognized related to the Funding Agreement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6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82"/>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Ordinary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ordinary shares rank pari passu as a single class. The following is a summary of the rights and privileges of the holders of ordinary shares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In the event of the liquidation, dissolution or winding up of the Company, the assets of the Company available for distribution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ordinary shares shall be distributed amongst all holders of the ordinary shares in proportion to the number of shares held irrespective of the amount paid or credited as paid on any share.</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may, subject to the provisions of the Companies Act 2006 and its Articles, by ordinary resolution from time to time declare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be paid to shareholders not exceeding the amount recommended by the Company’s board of directors. Subject to the provisions of the Companies Act 2006, insofar as, in the board of directors’ opinions, the Company’s profits justify such payments, the board of directors (the "Board") may pay interim dividends on the Company’s ordinary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ordinary shares has the right to receive notice of, and to vote at, the Company’s general meetings. Each holder of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who is present (in person or by proxy) at a general meeting on a show of hands has one vote and, on a poll, every such holder who is present (in person or by proxy) has one vote in respect of for each share of which they are the holder.</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Preemption rights: </w:t>
      </w:r>
      <w:r>
        <w:rPr>
          <w:rFonts w:ascii="Times New Roman" w:cs="Times New Roman" w:eastAsia="Times New Roman" w:hAnsi="Times New Roman"/>
          <w:sz w:val="18"/>
          <w:szCs w:val="18"/>
          <w:color w:val="auto"/>
        </w:rPr>
        <w:t>Pursuant to section 561 of the Companies Act 2006, shareholders are granted preemptive rights when new shares are issued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it is possible under the Articles, for shareholders at a general meeting representing at least 75% of the Company's ordinary shares present (in person or by proxy) and eligible to vote at that general meeting, to disapply these preemptive rights by passing a special resolution. Such a disapplication of preemption rights may be for a maximum period of up to five years from the date on which the shareholder resolution was passed. In either case, this disapplication would need to be renewed by the Company's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21, 2021, the Company's shareholders approved the disapplication of preemptive rights for a period of five years from the date of approval by way of a special resolution of shareholders. This included the disapplication of preemption rights in relation to the allotment of the Company's ordinary shares in connection with the initial public offering ("IPO"). This disapplication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 but may be sought more frequently for additional five-year terms (or any shorter period).</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November 6, 2023, the Company held a general meeting where its shareholders approved resolutions granting the Board or any duly authorized committee of the Board the authority to allot shares in the Company or grant rights to subscribe for or to convert any security into shares in the Company free from pre-emption rights. Pursuant to such approval, the Board was authorized to allot shares up to an aggregate nominal amount of £1,928 free from statutory pre-emption rights. The granting of this authority and the corresponding disapplication of preemptive rights was in addition to all subsisting authorities. This disapplication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 but may be sought more frequently for additional five-year terms (or any shorter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has reserved the following ordinary shares for future issuance: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5,976,157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incentive plan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3,248,605</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9,224,762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Deferred Shares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All deferred shares rank pari passu as a single class. The deferred shares do not have rights to dividends or to any other rights of participation in the profits of the Company.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in respect of each ordinary share held by them respectively. The deferred shares shall confer on the holders thereof no further right to participate in the assets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deferred A shares with a nominal value of £1.00 each remain in issue for the purposes of satisfying the minimum share capital requirements for a public limited company as prescribed by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and restricted cash, accounts payable, certain accrued expenses, and contingent consideration. The carrying amounts of cash, cash equivalents and restricted cash, accounts payable, and accrued expenses approximated their respective fair value due to the short-term nature and maturity of these instruments.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December 31, 2025, the Company had a contingent consideration liability of $2.9 million related to the acquisition of Avidea. Avidea’s stockholders may be entitled to receive an aggregate of up to $40.0 million in additional payments, payable in a combination of cash and American Depositary Shares, upon the achievement of certain milestones. To date, the Company has made settlement payments of $0.5 million. The fair value of the contingent consideration is a Level 3 valuation and determined using the cost approach. The significant unobservable inputs used in the fair value measurement of the contingent consideration are the probability of success of achievement of the milestones and the expected date of the milestone achievement. Significant judgment is employed in determining the appropriateness of certain of these inputs. Significant increases (decreases) in the probability of success of achievement of the milestones would have resulted in a significantly higher (lower) fair value measurement. Significant extension (reduction) in the expected date of the milestone achievement would have resulted in a significantly lower (higher) fair value measurement.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changes to the Company's financial instruments carried at fair value and classified within Level 3 of the fair value hierarchy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net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recognized in other comprehensive loss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April 8, 2021, the Board of the Company adopted the Barinthus Biotherapeutics plc Share Award Plan 2021 (“the Plan”) and the Barinthus Biotherapeutics plc Non-Employee Sub-Plan which is a sub-plan of the Plan. Under the terms of the Plan, the Board is permitted to grant awards to employees as restricted share units, options, share appreciation rights and restricted shares. The aggregate number of shares initially available for issuance under the Plan and the Barinthus Biotherapeutics plc Non-Employee Sub-Plan cannot exceed 3,675,680 ordinary shares (the “Initial Limit”). Beginning calendar year 2022, the total number of ordinary shares available for issuance under the Plan shall be increased on January 1 of each year in an amount equal to the lesser of (i) 4% of the Company’s issued and outstanding ordinary shares (which 4% limit shall be measured as of January 1 of such year) and</w:t>
      </w:r>
    </w:p>
    <w:p>
      <w:pPr>
        <w:spacing w:after="0" w:line="3" w:lineRule="exact"/>
        <w:rPr>
          <w:sz w:val="20"/>
          <w:szCs w:val="20"/>
          <w:color w:val="auto"/>
        </w:rPr>
      </w:pPr>
    </w:p>
    <w:p>
      <w:pPr>
        <w:jc w:val="both"/>
        <w:ind w:firstLine="8"/>
        <w:spacing w:after="0" w:line="241" w:lineRule="auto"/>
        <w:tabs>
          <w:tab w:leader="none" w:pos="27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ordinary shares as determined by the Compensation Committee of the Board in its discretion (the “Annual Increase”). In accordance with the terms of the Annual Increase, the total number of ordinary shares available for issuance under the Plan increased by 1,609,386 as of January 1, 2025. The awards generally vest based on the grantee’s continued service with the Company during a specified period following grant as determined by the Board and generally expire ten years from the grant date. Option awards generally vest over three years, but vesting conditions can vary at the discretion of the Company’s Board. As of December 31, 2025 and 2024, 3,248,605 and 1,906,080 ordinary shares are available for future grants, respectively.</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2018, the Company’s board of directors adopted the Enterprise Management Incentive Share Option Scheme (the “EMI Plan”) which provided for the grant of incentive stock options and nonqualified stock options to non-director employees of the Company. The Company also has a nonqualified stock option plan for officers and directors. The awards generally vest based on the grantee’s continued service with the Company during a specified period following grant as determined by the board of directors and generally expire ten years from the grant date. Option awards generally vest over three years, but vesting conditions can vary at the discretion of the Company’s board of directors. A total of 3,530,634 ordinary shares were reserved for issuance in accordance with the provisions of the EMI Plan and restricted stock unit (“RSUs”) plan. Upon adoption of the Plan, no further awards are to be made under the EMI Plan.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issued to employees was estimated at the date of grant using Black-Scholes with the following weighted-average assumptions: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1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108.73 %</w:t>
            </w:r>
          </w:p>
        </w:tc>
      </w:tr>
      <w:tr>
        <w:trPr>
          <w:trHeight w:val="25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3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Previously there was insufficient trading history for the Company’s ordinary shares, therefore the expected price volatility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was estimated using the average historical volatility of industry peers’ shares as of the grant date of our options over a period of history commensurate with the expected life of the options. When selecting industry peers used in measuring implied volatility, the Company considered the similarity of their products and business lines, as well as their stage of development, size and financial leverage. The Company applied this process consistently using the same or similar public companies until 2023. For options granted in and after 2023, the Company determined that there is sufficient historical information on volatility of its share price available and the expected volatility used in the fair value calculation of new option grants is calculated based on a blended volatility of both historical volatility of the Company's share price and the expected volatility of the average historical volatility of industry peers’ shares.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Expected term (years): </w:t>
      </w:r>
      <w:r>
        <w:rPr>
          <w:rFonts w:ascii="Times New Roman" w:cs="Times New Roman" w:eastAsia="Times New Roman" w:hAnsi="Times New Roman"/>
          <w:sz w:val="18"/>
          <w:szCs w:val="18"/>
          <w:color w:val="auto"/>
        </w:rPr>
        <w:t>Expected term represents the period that the Company’s option grants are expected to be outstanding. There is not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share exercise data to calculate the expected term of the stock options. Therefore, the Company elected to utilize the simplified method to value option grants. Under this approach, the weighted-average expected life is presumed to be the average of the vesting term and the contractual term of the option.</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determined the risk-free interest rate by using a weighted-average equivalent to the expected term based on the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Treasury yield curve rate in effect as of the date of grant.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does not anticipate paying any dividends in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020" w:type="dxa"/>
            <w:vAlign w:val="bottom"/>
          </w:tcPr>
          <w:p>
            <w:pPr>
              <w:spacing w:after="0"/>
              <w:rPr>
                <w:sz w:val="14"/>
                <w:szCs w:val="14"/>
                <w:color w:val="auto"/>
              </w:rPr>
            </w:pP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5020" w:type="dxa"/>
            <w:vAlign w:val="bottom"/>
          </w:tcPr>
          <w:p>
            <w:pPr>
              <w:spacing w:after="0"/>
              <w:rPr>
                <w:sz w:val="17"/>
                <w:szCs w:val="17"/>
                <w:color w:val="auto"/>
              </w:rPr>
            </w:pP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7"/>
                <w:szCs w:val="17"/>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7,285,275</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50"/>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1,470,812</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(614,230)</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(2,165,700)</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2.74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r>
      <w:tr>
        <w:trPr>
          <w:trHeight w:val="28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5,976,157</w:t>
            </w:r>
          </w:p>
        </w:tc>
        <w:tc>
          <w:tcPr>
            <w:tcW w:w="116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December 31,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4,351,787</w:t>
            </w:r>
          </w:p>
        </w:tc>
        <w:tc>
          <w:tcPr>
            <w:tcW w:w="11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7.94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weighted-average grant date per-share fair value of stock options granted during the year ended December 31, 2025 was $0.85 per share (December 31, 2024: $2.66 per share). The aggregate intrinsic value of stock options exercised during the year ended December 31, 2025 was $0.2 million (December 31, 2024: $0.4 million). As of December 31, 2025, there was $0.6 million (2024: $3.1 million) of unrecognized compensation cost related to stock options, which is expected to be recognized over a weighted-average period of 1.42 years (2024: 1.46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('RSUs") under the Plan since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6740" w:type="dxa"/>
            <w:vAlign w:val="bottom"/>
          </w:tcPr>
          <w:p>
            <w:pPr>
              <w:spacing w:after="0"/>
              <w:rPr>
                <w:sz w:val="16"/>
                <w:szCs w:val="16"/>
                <w:color w:val="auto"/>
              </w:rPr>
            </w:pPr>
          </w:p>
        </w:tc>
        <w:tc>
          <w:tcPr>
            <w:tcW w:w="2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Underlying RSUs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67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886,018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r>
      <w:tr>
        <w:trPr>
          <w:trHeight w:val="26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 and settled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and deferred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r>
      <w:tr>
        <w:trPr>
          <w:trHeight w:val="25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outstanding, December 31, 2025</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864,724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21"/>
                <w:szCs w:val="21"/>
                <w:color w:val="auto"/>
              </w:rPr>
            </w:pPr>
          </w:p>
        </w:tc>
      </w:tr>
      <w:tr>
        <w:trPr>
          <w:trHeight w:val="250"/>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 but subject to deferred settlement at December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864,724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2025, the Company granted an aggregate of 886,018 restricted stock units (“RSUs”) to employees under the Plan. The RSUs will vest in full on the seventh day following the occurrence of either the closing of the Contemplated Transactions or the termination of the Merger Agreement pursuant to its terms, subject to the employee’s continued employment with the Company through such vesting date, and were granted as part of the Company’s equity incentive program to support employee retention and alignment with shareholder interests. The grant date fair value of the RSUs was $1.3 million.</w:t>
      </w:r>
    </w:p>
    <w:p>
      <w:pPr>
        <w:spacing w:after="0" w:line="19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Total share-based compensation expense for RSUs granted for the years ended December 31, 2025 and 2024 was $0.5 million and nil, respectively. As of December 31, 2025, the total unrecognized compensation expense related to RSUs was $0.8 million, which is expected to be recognized over a weighted-average of 0.7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based compensation expense is classified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163195</wp:posOffset>
            </wp:positionV>
            <wp:extent cx="19456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r>
      <w:tr>
        <w:trPr>
          <w:trHeight w:val="277"/>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468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F-24</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before income taxes are as follows (in thousands):</w:t>
      </w:r>
    </w:p>
    <w:p>
      <w:pPr>
        <w:spacing w:after="0" w:line="273" w:lineRule="exact"/>
        <w:rPr>
          <w:sz w:val="20"/>
          <w:szCs w:val="20"/>
          <w:color w:val="auto"/>
        </w:rPr>
      </w:pPr>
    </w:p>
    <w:tbl>
      <w:tblPr>
        <w:tblLayout w:type="fixed"/>
        <w:tblInd w:w="8480" w:type="dxa"/>
        <w:tblCellMar>
          <w:top w:w="0" w:type="dxa"/>
          <w:left w:w="0" w:type="dxa"/>
          <w:bottom w:w="0" w:type="dxa"/>
          <w:right w:w="0" w:type="dxa"/>
        </w:tblCellMar>
      </w:tblPr>
      <w:tr>
        <w:trPr>
          <w:trHeight w:val="162"/>
        </w:trPr>
        <w:tc>
          <w:tcPr>
            <w:tcW w:w="122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12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2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foreign</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(27,510)</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w:t>
            </w:r>
          </w:p>
        </w:tc>
      </w:tr>
      <w:tr>
        <w:trPr>
          <w:trHeight w:val="263"/>
        </w:trPr>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(61,227)</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1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2024</w:t>
            </w:r>
          </w:p>
        </w:tc>
      </w:tr>
    </w:tbl>
    <w:p>
      <w:pPr>
        <w:spacing w:after="0" w:line="32" w:lineRule="exact"/>
        <w:rPr>
          <w:sz w:val="20"/>
          <w:szCs w:val="20"/>
          <w:color w:val="auto"/>
        </w:rPr>
      </w:pPr>
    </w:p>
    <w:p>
      <w:pPr>
        <w:sectPr>
          <w:pgSz w:w="11900" w:h="16838" w:orient="portrait"/>
          <w:cols w:equalWidth="0" w:num="2">
            <w:col w:w="7440" w:space="720"/>
            <w:col w:w="30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Current income tax benefit/(expense):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Foreign</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8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U.K. statutory income tax rate to the Company's effective tax rate as reflected in the consolidated financial statements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80" w:type="dxa"/>
            <w:vAlign w:val="bottom"/>
          </w:tcPr>
          <w:p>
            <w:pPr>
              <w:spacing w:after="0"/>
              <w:rPr>
                <w:sz w:val="16"/>
                <w:szCs w:val="16"/>
                <w:color w:val="auto"/>
              </w:rPr>
            </w:pPr>
          </w:p>
        </w:tc>
        <w:tc>
          <w:tcPr>
            <w:tcW w:w="276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23"/>
        </w:trPr>
        <w:tc>
          <w:tcPr>
            <w:tcW w:w="4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25.00 %</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25.00 %</w:t>
            </w:r>
          </w:p>
        </w:tc>
      </w:tr>
      <w:tr>
        <w:trPr>
          <w:trHeight w:val="25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(decreases) resulting from:</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effects-United States: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w:t>
            </w:r>
          </w:p>
        </w:tc>
      </w:tr>
      <w:tr>
        <w:trPr>
          <w:trHeight w:val="26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r>
      <w:tr>
        <w:trPr>
          <w:trHeight w:val="26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effects-Switzerland:</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 in tax laws or rates enacted in the current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4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(5.72)</w:t>
            </w:r>
          </w:p>
        </w:tc>
      </w:tr>
      <w:tr>
        <w:trPr>
          <w:trHeight w:val="2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w:t>
            </w:r>
          </w:p>
        </w:tc>
      </w:tr>
      <w:tr>
        <w:trPr>
          <w:trHeight w:val="25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r>
      <w:tr>
        <w:trPr>
          <w:trHeight w:val="25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w:t>
            </w:r>
          </w:p>
        </w:tc>
      </w:tr>
      <w:tr>
        <w:trPr>
          <w:trHeight w:val="25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The Company has adopted ASU 2023-09 and evaluated all required categories and determined that no additional jurisdictional disaggregation or reconciling items were individually material.</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26,040</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amortization</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and Development expenditure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lease asset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Undistributed earnings of subsidiaries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Specified research and experimentation costs under Section 174 of the Internal Revenue Code are required to be capitalized and amortized ratably over five years for domestic expenditures and over 15 years for foreign expenditures. This provision of Section 174 became effective for tax years beginning after December 31, 2021. As a result of the capitalization of these costs in the current year, the Company has recorded a $4.8 million deferred tax asset (2024: $6.2 million).</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December 31, 2025, the Company had a valuation allowance of $46.3 million (2024: $30.8 million) against its deferred tax assets, which consisted principally of net operating loss and research and development credit carryforwards. The Company considered the positive and negative evidence bearing upon its ability to realize the deferred tax assets. In addition to the Company’s history of cumulative losses, the Company cannot be certain that future taxable income will be sufficient to realize its deferred tax assets. Accordingly, a valuation allowance has been provided against its deferred tax assets. When the Company changes its determination as to the amount of its deferred tax assets that can be realized, the valuation allowance is adjusted with a corresponding impact to the provision for income taxes in the period in which such determination is made.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2025 and 2024 related primarily to the increase in net operating loss and credit carryforwards, and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2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6620" w:type="dxa"/>
            <w:vAlign w:val="bottom"/>
          </w:tcPr>
          <w:p>
            <w:pPr>
              <w:spacing w:after="0"/>
              <w:rPr>
                <w:sz w:val="14"/>
                <w:szCs w:val="14"/>
                <w:color w:val="auto"/>
              </w:rPr>
            </w:pPr>
          </w:p>
        </w:tc>
        <w:tc>
          <w:tcPr>
            <w:tcW w:w="162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620" w:type="dxa"/>
            <w:vAlign w:val="bottom"/>
          </w:tcPr>
          <w:p>
            <w:pPr>
              <w:spacing w:after="0"/>
              <w:rPr>
                <w:sz w:val="16"/>
                <w:szCs w:val="16"/>
                <w:color w:val="auto"/>
              </w:rPr>
            </w:pPr>
          </w:p>
        </w:tc>
        <w:tc>
          <w:tcPr>
            <w:tcW w:w="162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Valuations allowance at beginning of year</w:t>
            </w:r>
          </w:p>
        </w:tc>
        <w:tc>
          <w:tcPr>
            <w:tcW w:w="1620" w:type="dxa"/>
            <w:vAlign w:val="bottom"/>
            <w:shd w:val="clear" w:color="auto" w:fill="CCEEFF"/>
          </w:tcPr>
          <w:p>
            <w:pPr>
              <w:jc w:val="right"/>
              <w:ind w:right="14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r>
      <w:tr>
        <w:trPr>
          <w:trHeight w:val="250"/>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valuation allowance arising from in-year additions</w:t>
            </w:r>
          </w:p>
        </w:tc>
        <w:tc>
          <w:tcPr>
            <w:tcW w:w="16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16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50"/>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8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1620" w:type="dxa"/>
            <w:vAlign w:val="bottom"/>
            <w:tcBorders>
              <w:bottom w:val="single" w:sz="8" w:color="auto"/>
            </w:tcBorders>
            <w:shd w:val="clear" w:color="auto" w:fill="CCEEFF"/>
          </w:tcPr>
          <w:p>
            <w:pPr>
              <w:jc w:val="right"/>
              <w:ind w:right="14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net operating loss ("NOL") carryforwards totaling approximately $160.4 million which have an unlimited carryforward period, of which $114.0 million originate in the U.K. As of December 31, 2025, the Company had $0.3 million of research and development tax credit carryforwards which also have an unlimited carryforward period.</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NOL carryforwards totaling approximately $101.7 million which have an unlimited carryforward period, of which $75.6 million originate in the U.K. As of December 31, 2024, the Company had $0.1 million of research and development tax credit carryforwards which also have an unlimited carryforward period.</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December 31, 2025 and 2024, the Company does not have any material unrecognized tax benefit liabilities. The Company files corporation/income tax returns in the U.K., the United States, Switzerland, Australia and Italy. The associated tax filings remain subject to examination by applicable tax authorities for a certain length of time following the tax year to which those filings relate. In the U.K., tax years from 2022 remain subject to examination by HMRC. In all other jurisdictions, the tax years since inception remain subject to examination by the applicable taxing authorities as of December 31, 2025 and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In-License Agreements</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or accrued any material payments under these license agreements during the years ended December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laboratory and office space under operating leases, which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Harwell Science and Innovation Campus, Oxfordshire</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3, 2021, the Company entered into a lease agreement for the lease of approximately 31,000 square feet in Harwell, Oxfordshire, which expires in September 2031.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2024, an impairment charge to write down the U.K. operating lease right-of-use asset to the estimated recoverable amount was recorded and the estimated useful life of the asset reduced. In August 2025, the Company ceased the research and development activities undertaken in the laboratory and transitioned the remaining clinical and operational workforce to remote roles. The U.K. operating lease right-of-use asset has a value of nil as of December 31, 2025. The Company is actively marketing the building in Harwell, Oxfordshire, for the remainder of the lease.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Germantown, Maryland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14, 2022, the Company entered into a lease agreement for the lease of approximately 19,700 square feet in Germantown, Maryland. The site houses the Company’s state-of-the-art wet laboratory in the United States of America.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lease expires on February 28, 2034, with the Company having a single right to extend for an additional five years on the same terms and conditions other than for the base rent. The Company had a rent-free period up to February 29, 2024 and was entitled to up to $3.5 million for leasehold improvements to the premises desired by the Company. The Company has provided the lessor with a refundable security deposit of $0.2 million which is included in Other assets.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right-of-use asset and a lease liability on the effective date of the lease term. The Company’s right-of-use asset and lease liabilities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4,384</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1,920</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10,087</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1,789</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77"/>
        </w:trPr>
        <w:tc>
          <w:tcPr>
            <w:tcW w:w="7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1,443</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1,443</w:t>
            </w:r>
          </w:p>
        </w:tc>
      </w:tr>
      <w:tr>
        <w:trPr>
          <w:trHeight w:val="21"/>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identified circumstances that could indicate that the carrying amount of the U.S. operating lease right-of-use asset and the leasehold improvements located in the U.S. may not be recoverable as of December 31, 2025, as it was more likely than not that the Company would cease some of the operating activities undertaken in the laboratory and office space in Germantown, Maryland in 2026, before the end of the previously estimated useful lives. The Company performed an impairment assessment of the U.S. operating lease right-of-use asset, which is part of the U.S. asset group, using the income approach and recorded an impairment charge within general and administrative expenses of $0.4 million (December 31, 2024: U.K. impairment $2.6 million) to write down the asset to the estimated recoverable amount. The impairment charge is subject to a number of assumptions and actual results may differ. The Company will continue to refine these assumptions as additional information becomes available. The significant assumptions used in determining the estimated fair value of the U.S. operating lease right-of-use asset are the timing of successful sub-leasing of the Company's U.S. lease obligations and the value of any charges associated with sub-leasing the Company's U.S. lease obligations. Significant changes in these inputs could have a material effect on the fair value measurement. See Note 6 Property and Equipment, Net for details of the impairment assessment performed over the property and equipment within the U.S. asset group.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minimum lease liabilities as of December 31, 2025 were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 of lease liabilities: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Non-lease and other costs paid to the lessors are primarily related to services provided by the lessors in operating the premises that includes fees, operating costs, taxes, and insurance related to the leased premises.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Contemplated Transactions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2025, the Company entered into a merger agreement to combine with Clywedog, a private company advancing novel breakthrough medicines in diabetes. The Contemplated Transactions are expected to close in the second quarter of 2026, subject to customary closing conditions. In connection with this strategic combination, the Company may incur additional or contingent costs, including transaction-related legal and advisory fees, and other expenses. The Company accrued transaction-related legal and advisory fees in the amount of $2.8 million for the year ended December 31, 2025 (December 31, 2024: nil). Regardless of the outcome, there are anticipated additional costs and a focus of management resources on the strategic transaction which may or may not complete.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the date of issuance of the audited financial statements included herein, the Company does not believe it is party to any claim or litigation the outcome of which, if determined adversely to it, would individually or in the aggregate be reasonably expected to have a material adverse effect on the Company's business. However, 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U.K., the Company has adopted a defined contribution plan (the U.K. Plan) which qualifies under the rules established by HM Revenue &amp; Customs.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U.K. Plan are charged to the consolidated statements of operations and comprehensive loss in the year to which they relate.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401(k) defined contribution retirement plans in which all its employees located in the United States are eligible to participate. Eligible employees may elect to contribute up to the maximum limits, as set by the Internal Revenue Service, of their eligible compensation. Contributions to the plans are charged to the consolidated statements of operations and comprehensive loss in the year to which they relate.</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provided a total of $0.5 million (December 31, 2024: $0.8 million) in contributions under both the U.K. Plan and the 401(k)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expenses of $0.4 million (December 31, 2024: $0.8 million) from OUI which is a wholly owned subsidiary of the Company’s shareholder, the University of Oxford, primarily related to patent costs.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license revenue of nil (December 31, 2024: $15.0 million) from OUI which is a wholly owned subsidiary of the Company’s shareholder, the University of Oxford.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22, 2026, the Company, Topco, Merger Sub and Clywedog entered into an amendment to the Merger Agreement (the “Merger Agreement Amendment”). Pursuant to the Merger Agreement Amendment, (i) the definition of “Scheme Exchange Ratio” as set forth in Section 1.1 of the Merger Agreement was amended and replaced in its entirety to mean a number between 0.1 and 0.166667, as finally determined by the Company’s board of directors (or a duly appointed committee thereof), (ii) the definition of “Merger Exchange Ratio” as set forth in Section 1.1 of the Merger Agreement was amended and replaced in its entirety to mean a number between 0.000305 and 0.000508, as finally determined by Clywedog and the Company in accordance with Section 2.6(d) of the Merger Agreement and correspondingly based on the change to the Scheme Exchange Ratio, in order to maintain the agreed ownership split of Topco following closing of the Combinations, and (iii) the Clywedog Minimum Cash and Beacon Minimum Cash (each as defined in the Merger Agreement) requirements as set forth in Section 8.9 and 9.6 of the Merger Agreement, respectively, are expanded to include required minimum cash amounts based on an assumed closing date of May 31, 2026 and June 30,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in light of the unexpected delay in the overall transaction timeline due to the U.S. federal government shutdowns.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139"/>
          </w:cols>
          <w:pgMar w:left="320" w:top="121" w:right="1440" w:bottom="1440" w:gutter="0" w:footer="0" w:header="0"/>
        </w:sectPr>
      </w:pPr>
    </w:p>
    <w:bookmarkStart w:id="169" w:name="page170"/>
    <w:bookmarkEnd w:id="169"/>
    <w:p>
      <w:pPr>
        <w:spacing w:after="0" w:line="11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LEASE AGREEMENT</w:t>
      </w:r>
    </w:p>
    <w:p>
      <w:pPr>
        <w:spacing w:after="0" w:line="347" w:lineRule="exact"/>
        <w:rPr>
          <w:sz w:val="20"/>
          <w:szCs w:val="20"/>
          <w:color w:val="auto"/>
        </w:rPr>
      </w:pPr>
    </w:p>
    <w:p>
      <w:pPr>
        <w:ind w:right="320" w:firstLine="391"/>
        <w:spacing w:after="0" w:line="296" w:lineRule="auto"/>
        <w:rPr>
          <w:sz w:val="20"/>
          <w:szCs w:val="20"/>
          <w:color w:val="auto"/>
        </w:rPr>
      </w:pPr>
      <w:r>
        <w:rPr>
          <w:rFonts w:ascii="Arial" w:cs="Arial" w:eastAsia="Arial" w:hAnsi="Arial"/>
          <w:sz w:val="18"/>
          <w:szCs w:val="18"/>
          <w:b w:val="1"/>
          <w:bCs w:val="1"/>
          <w:color w:val="auto"/>
        </w:rPr>
        <w:t xml:space="preserve">THIS LEASE AGREEMENT </w:t>
      </w:r>
      <w:r>
        <w:rPr>
          <w:rFonts w:ascii="Arial" w:cs="Arial" w:eastAsia="Arial" w:hAnsi="Arial"/>
          <w:sz w:val="18"/>
          <w:szCs w:val="18"/>
          <w:color w:val="auto"/>
        </w:rPr>
        <w:t>(“</w:t>
      </w:r>
      <w:r>
        <w:rPr>
          <w:rFonts w:ascii="Arial" w:cs="Arial" w:eastAsia="Arial" w:hAnsi="Arial"/>
          <w:sz w:val="18"/>
          <w:szCs w:val="18"/>
          <w:b w:val="1"/>
          <w:bCs w:val="1"/>
          <w:color w:val="auto"/>
        </w:rPr>
        <w:t>this Lease</w:t>
      </w:r>
      <w:r>
        <w:rPr>
          <w:rFonts w:ascii="Arial" w:cs="Arial" w:eastAsia="Arial" w:hAnsi="Arial"/>
          <w:sz w:val="18"/>
          <w:szCs w:val="18"/>
          <w:color w:val="auto"/>
        </w:rPr>
        <w:t>”) is made as of this</w:t>
      </w:r>
      <w:r>
        <w:rPr>
          <w:rFonts w:ascii="Arial" w:cs="Arial" w:eastAsia="Arial" w:hAnsi="Arial"/>
          <w:sz w:val="18"/>
          <w:szCs w:val="18"/>
          <w:b w:val="1"/>
          <w:bCs w:val="1"/>
          <w:color w:val="auto"/>
        </w:rPr>
        <w:t xml:space="preserve"> </w:t>
      </w:r>
      <w:r>
        <w:rPr>
          <w:rFonts w:ascii="Arial" w:cs="Arial" w:eastAsia="Arial" w:hAnsi="Arial"/>
          <w:sz w:val="16"/>
          <w:szCs w:val="16"/>
          <w:color w:val="auto"/>
        </w:rPr>
        <w:t>14</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6"/>
          <w:szCs w:val="16"/>
          <w:color w:val="auto"/>
        </w:rPr>
        <w:t>June</w:t>
      </w:r>
      <w:r>
        <w:rPr>
          <w:rFonts w:ascii="Arial" w:cs="Arial" w:eastAsia="Arial" w:hAnsi="Arial"/>
          <w:sz w:val="18"/>
          <w:szCs w:val="18"/>
          <w:color w:val="auto"/>
        </w:rPr>
        <w:t>, 2022, between</w:t>
      </w:r>
      <w:r>
        <w:rPr>
          <w:rFonts w:ascii="Arial" w:cs="Arial" w:eastAsia="Arial" w:hAnsi="Arial"/>
          <w:sz w:val="18"/>
          <w:szCs w:val="18"/>
          <w:b w:val="1"/>
          <w:bCs w:val="1"/>
          <w:color w:val="auto"/>
        </w:rPr>
        <w:t xml:space="preserve"> ARE-MARYLAND NO. 52, LLC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VACCITECH NORTH AMERICA,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2482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1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BASIC LEASE PROVISIONS</w:t>
      </w:r>
    </w:p>
    <w:p>
      <w:pPr>
        <w:spacing w:after="0" w:line="2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7"/>
          <w:szCs w:val="17"/>
          <w:color w:val="auto"/>
        </w:rPr>
        <w:t>Suite 210, 20400 Century Boulevard, Germantown, Maryland 20874.</w:t>
      </w:r>
    </w:p>
    <w:p>
      <w:pPr>
        <w:spacing w:after="0" w:line="252" w:lineRule="exact"/>
        <w:rPr>
          <w:sz w:val="20"/>
          <w:szCs w:val="20"/>
          <w:color w:val="auto"/>
        </w:rPr>
      </w:pPr>
    </w:p>
    <w:p>
      <w:pPr>
        <w:jc w:val="both"/>
        <w:ind w:left="1280" w:right="240" w:hanging="1295"/>
        <w:spacing w:after="0" w:line="255" w:lineRule="auto"/>
        <w:rPr>
          <w:sz w:val="20"/>
          <w:szCs w:val="20"/>
          <w:color w:val="auto"/>
        </w:rPr>
      </w:pPr>
      <w:r>
        <w:rPr>
          <w:rFonts w:ascii="Arial" w:cs="Arial" w:eastAsia="Arial" w:hAnsi="Arial"/>
          <w:sz w:val="18"/>
          <w:szCs w:val="18"/>
          <w:b w:val="1"/>
          <w:bCs w:val="1"/>
          <w:color w:val="auto"/>
        </w:rPr>
        <w:t xml:space="preserve">Premises: </w:t>
      </w:r>
      <w:r>
        <w:rPr>
          <w:rFonts w:ascii="Arial" w:cs="Arial" w:eastAsia="Arial" w:hAnsi="Arial"/>
          <w:sz w:val="18"/>
          <w:szCs w:val="18"/>
          <w:color w:val="auto"/>
        </w:rPr>
        <w:t>That portion of the Project, containing approximately 19,692 rentable square feet, as determined by Landlord, as shown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the hatched area labeled “Premises”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Ewing Cole, Inc., Landlord’s architect, has measured the area of the Premises pursuant to the </w:t>
      </w:r>
      <w:r>
        <w:rPr>
          <w:rFonts w:ascii="Arial" w:cs="Arial" w:eastAsia="Arial" w:hAnsi="Arial"/>
          <w:sz w:val="18"/>
          <w:szCs w:val="18"/>
          <w:i w:val="1"/>
          <w:iCs w:val="1"/>
          <w:color w:val="auto"/>
        </w:rPr>
        <w:t>BOMA 2017 for Office Buildings: Standard Methods of Measurement</w:t>
      </w:r>
      <w:r>
        <w:rPr>
          <w:rFonts w:ascii="Arial" w:cs="Arial" w:eastAsia="Arial" w:hAnsi="Arial"/>
          <w:sz w:val="18"/>
          <w:szCs w:val="18"/>
          <w:color w:val="auto"/>
        </w:rPr>
        <w:t xml:space="preserve"> as adopted by the Building Owners and Managers Association International (ANSI/BOMA Z65.1-2017) (“</w:t>
      </w:r>
      <w:r>
        <w:rPr>
          <w:rFonts w:ascii="Arial" w:cs="Arial" w:eastAsia="Arial" w:hAnsi="Arial"/>
          <w:sz w:val="18"/>
          <w:szCs w:val="18"/>
          <w:b w:val="1"/>
          <w:bCs w:val="1"/>
          <w:color w:val="auto"/>
        </w:rPr>
        <w:t>BOMA Standards</w:t>
      </w:r>
      <w:r>
        <w:rPr>
          <w:rFonts w:ascii="Arial" w:cs="Arial" w:eastAsia="Arial" w:hAnsi="Arial"/>
          <w:sz w:val="18"/>
          <w:szCs w:val="18"/>
          <w:color w:val="auto"/>
        </w:rPr>
        <w:t xml:space="preserve">”). Tenant acknowledges receipt of such measurement and confirms that (a) Tenant has had an opportunity to confirm such measurement with an architect of its selection before the date of this Lease and (b) such measurement shall be conclusive as to the area of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shall have no right to re-measure the Premises during the Term.</w:t>
      </w:r>
    </w:p>
    <w:p>
      <w:pPr>
        <w:spacing w:after="0" w:line="225" w:lineRule="exact"/>
        <w:rPr>
          <w:sz w:val="20"/>
          <w:szCs w:val="20"/>
          <w:color w:val="auto"/>
        </w:rPr>
      </w:pPr>
    </w:p>
    <w:p>
      <w:pPr>
        <w:jc w:val="both"/>
        <w:ind w:left="920" w:right="260" w:hanging="1295"/>
        <w:spacing w:after="0" w:line="296" w:lineRule="auto"/>
        <w:tabs>
          <w:tab w:leader="none" w:pos="900" w:val="left"/>
        </w:tabs>
        <w:rPr>
          <w:sz w:val="20"/>
          <w:szCs w:val="20"/>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real property on which the building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in which the Premises are located, together with all improvements thereon and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286"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$63,999.00, per month</w:t>
      </w:r>
      <w:r>
        <w:rPr>
          <w:sz w:val="20"/>
          <w:szCs w:val="20"/>
          <w:color w:val="auto"/>
        </w:rPr>
        <w:tab/>
      </w:r>
      <w:r>
        <w:rPr>
          <w:rFonts w:ascii="Arial" w:cs="Arial" w:eastAsia="Arial" w:hAnsi="Arial"/>
          <w:sz w:val="17"/>
          <w:szCs w:val="17"/>
          <w:b w:val="1"/>
          <w:bCs w:val="1"/>
          <w:color w:val="auto"/>
        </w:rPr>
        <w:t>Rentable Area of Premises</w:t>
      </w:r>
      <w:r>
        <w:rPr>
          <w:rFonts w:ascii="Arial" w:cs="Arial" w:eastAsia="Arial" w:hAnsi="Arial"/>
          <w:sz w:val="17"/>
          <w:szCs w:val="17"/>
          <w:color w:val="auto"/>
        </w:rPr>
        <w:t>: 19,692 sq. ft.</w:t>
      </w:r>
      <w:r>
        <w:rPr>
          <w:rFonts w:ascii="Arial" w:cs="Arial" w:eastAsia="Arial" w:hAnsi="Arial"/>
          <w:sz w:val="17"/>
          <w:szCs w:val="17"/>
          <w:b w:val="1"/>
          <w:bCs w:val="1"/>
          <w:color w:val="auto"/>
        </w:rPr>
        <w:t xml:space="preserve"> Rentable Area of Project</w:t>
      </w:r>
      <w:r>
        <w:rPr>
          <w:rFonts w:ascii="Arial" w:cs="Arial" w:eastAsia="Arial" w:hAnsi="Arial"/>
          <w:sz w:val="17"/>
          <w:szCs w:val="17"/>
          <w:color w:val="auto"/>
        </w:rPr>
        <w:t>: 81,007 sq.</w:t>
      </w:r>
    </w:p>
    <w:p>
      <w:pPr>
        <w:spacing w:after="0" w:line="212" w:lineRule="exact"/>
        <w:rPr>
          <w:sz w:val="20"/>
          <w:szCs w:val="20"/>
          <w:color w:val="auto"/>
        </w:rPr>
      </w:pPr>
    </w:p>
    <w:p>
      <w:pPr>
        <w:spacing w:after="0"/>
        <w:tabs>
          <w:tab w:leader="none" w:pos="320" w:val="left"/>
          <w:tab w:leader="none" w:pos="7080" w:val="left"/>
        </w:tabs>
        <w:rPr>
          <w:sz w:val="20"/>
          <w:szCs w:val="20"/>
          <w:color w:val="auto"/>
        </w:rPr>
      </w:pPr>
      <w:r>
        <w:rPr>
          <w:rFonts w:ascii="Arial" w:cs="Arial" w:eastAsia="Arial" w:hAnsi="Arial"/>
          <w:sz w:val="18"/>
          <w:szCs w:val="18"/>
          <w:color w:val="auto"/>
        </w:rPr>
        <w:t>ft.</w:t>
      </w:r>
      <w:r>
        <w:rPr>
          <w:sz w:val="20"/>
          <w:szCs w:val="20"/>
          <w:color w:val="auto"/>
        </w:rPr>
        <w:tab/>
      </w: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24.31%</w:t>
      </w:r>
      <w:r>
        <w:rPr>
          <w:rFonts w:ascii="Arial" w:cs="Arial" w:eastAsia="Arial" w:hAnsi="Arial"/>
          <w:sz w:val="18"/>
          <w:szCs w:val="18"/>
          <w:b w:val="1"/>
          <w:bCs w:val="1"/>
          <w:color w:val="auto"/>
        </w:rPr>
        <w:t xml:space="preserve"> Security Deposit</w:t>
      </w:r>
      <w:r>
        <w:rPr>
          <w:rFonts w:ascii="Arial" w:cs="Arial" w:eastAsia="Arial" w:hAnsi="Arial"/>
          <w:sz w:val="18"/>
          <w:szCs w:val="18"/>
          <w:color w:val="auto"/>
        </w:rPr>
        <w:t>: $191,997.00</w:t>
      </w:r>
      <w:r>
        <w:rPr>
          <w:sz w:val="20"/>
          <w:szCs w:val="20"/>
          <w:color w:val="auto"/>
        </w:rPr>
        <w:tab/>
      </w:r>
      <w:r>
        <w:rPr>
          <w:rFonts w:ascii="Arial" w:cs="Arial" w:eastAsia="Arial" w:hAnsi="Arial"/>
          <w:sz w:val="17"/>
          <w:szCs w:val="17"/>
          <w:b w:val="1"/>
          <w:bCs w:val="1"/>
          <w:color w:val="auto"/>
        </w:rPr>
        <w:t>Target Commencement Date</w:t>
      </w:r>
      <w:r>
        <w:rPr>
          <w:rFonts w:ascii="Arial" w:cs="Arial" w:eastAsia="Arial" w:hAnsi="Arial"/>
          <w:sz w:val="17"/>
          <w:szCs w:val="17"/>
          <w:color w:val="auto"/>
        </w:rPr>
        <w:t>: May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15, 2022 </w:t>
      </w:r>
      <w:r>
        <w:rPr>
          <w:rFonts w:ascii="Arial" w:cs="Arial" w:eastAsia="Arial" w:hAnsi="Arial"/>
          <w:sz w:val="18"/>
          <w:szCs w:val="18"/>
          <w:b w:val="1"/>
          <w:bCs w:val="1"/>
          <w:color w:val="auto"/>
        </w:rPr>
        <w:t>Rent Adjustment Percentage</w:t>
      </w:r>
      <w:r>
        <w:rPr>
          <w:rFonts w:ascii="Arial" w:cs="Arial" w:eastAsia="Arial" w:hAnsi="Arial"/>
          <w:sz w:val="18"/>
          <w:szCs w:val="18"/>
          <w:color w:val="auto"/>
        </w:rPr>
        <w:t>: 3%</w:t>
      </w:r>
    </w:p>
    <w:p>
      <w:pPr>
        <w:spacing w:after="0" w:line="104" w:lineRule="exact"/>
        <w:rPr>
          <w:sz w:val="20"/>
          <w:szCs w:val="20"/>
          <w:color w:val="auto"/>
        </w:rPr>
      </w:pPr>
    </w:p>
    <w:p>
      <w:pPr>
        <w:jc w:val="both"/>
        <w:ind w:left="1280" w:right="240" w:hanging="1295"/>
        <w:spacing w:after="0" w:line="262" w:lineRule="auto"/>
        <w:rPr>
          <w:sz w:val="20"/>
          <w:szCs w:val="20"/>
          <w:color w:val="auto"/>
        </w:rPr>
      </w:pPr>
      <w:r>
        <w:rPr>
          <w:rFonts w:ascii="Arial" w:cs="Arial" w:eastAsia="Arial" w:hAnsi="Arial"/>
          <w:sz w:val="18"/>
          <w:szCs w:val="18"/>
          <w:b w:val="1"/>
          <w:bCs w:val="1"/>
          <w:color w:val="auto"/>
        </w:rPr>
        <w:t xml:space="preserve">Base Term: </w:t>
      </w:r>
      <w:r>
        <w:rPr>
          <w:rFonts w:ascii="Arial" w:cs="Arial" w:eastAsia="Arial" w:hAnsi="Arial"/>
          <w:sz w:val="18"/>
          <w:szCs w:val="18"/>
          <w:color w:val="auto"/>
        </w:rPr>
        <w:t>Beginning on the Commencement Date and ending 128 months from the first day of the first full month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Rent Commencement Date. For clarity, if the Rent Commencement Date occurs on the first day of a month, the Base Term will be measured from that date. If the Rent Commencement Date occurs on a day other than the first day of a month, the Base Term will be measured from the first day of the following month.</w:t>
      </w:r>
    </w:p>
    <w:p>
      <w:pPr>
        <w:spacing w:after="0" w:line="217" w:lineRule="exact"/>
        <w:rPr>
          <w:sz w:val="20"/>
          <w:szCs w:val="20"/>
          <w:color w:val="auto"/>
        </w:rPr>
      </w:pPr>
    </w:p>
    <w:p>
      <w:pPr>
        <w:jc w:val="both"/>
        <w:ind w:left="1460" w:right="240" w:hanging="1457"/>
        <w:spacing w:after="0" w:line="271" w:lineRule="auto"/>
        <w:rPr>
          <w:sz w:val="20"/>
          <w:szCs w:val="20"/>
          <w:color w:val="auto"/>
        </w:rPr>
      </w:pPr>
      <w:r>
        <w:rPr>
          <w:rFonts w:ascii="Arial" w:cs="Arial" w:eastAsia="Arial" w:hAnsi="Arial"/>
          <w:sz w:val="18"/>
          <w:szCs w:val="18"/>
          <w:b w:val="1"/>
          <w:bCs w:val="1"/>
          <w:color w:val="auto"/>
        </w:rPr>
        <w:t xml:space="preserve">Permitted Use: </w:t>
      </w:r>
      <w:r>
        <w:rPr>
          <w:rFonts w:ascii="Arial" w:cs="Arial" w:eastAsia="Arial" w:hAnsi="Arial"/>
          <w:sz w:val="18"/>
          <w:szCs w:val="18"/>
          <w:color w:val="auto"/>
        </w:rPr>
        <w:t>research and development laboratory, manufacturing, related office and other related uses 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character of the Project and otherwise in compliance with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194"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color w:val="auto"/>
        </w:rPr>
        <w:t>Address for Rent Payment:</w:t>
      </w:r>
      <w:r>
        <w:rPr>
          <w:sz w:val="20"/>
          <w:szCs w:val="20"/>
          <w:color w:val="auto"/>
        </w:rPr>
        <w:tab/>
      </w:r>
      <w:r>
        <w:rPr>
          <w:rFonts w:ascii="Arial" w:cs="Arial" w:eastAsia="Arial" w:hAnsi="Arial"/>
          <w:sz w:val="17"/>
          <w:szCs w:val="17"/>
          <w:b w:val="1"/>
          <w:bCs w:val="1"/>
          <w:color w:val="auto"/>
        </w:rPr>
        <w:t>Landlord’s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check payments remit to</w:t>
      </w:r>
      <w:r>
        <w:rPr>
          <w:rFonts w:ascii="Arial" w:cs="Arial" w:eastAsia="Arial" w:hAnsi="Arial"/>
          <w:sz w:val="18"/>
          <w:szCs w:val="18"/>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i w:val="1"/>
                <w:iCs w:val="1"/>
                <w:color w:val="auto"/>
                <w:w w:val="96"/>
              </w:rPr>
              <w:t>Regular mail</w:t>
            </w:r>
          </w:p>
        </w:tc>
        <w:tc>
          <w:tcPr>
            <w:tcW w:w="440" w:type="dxa"/>
            <w:vAlign w:val="bottom"/>
            <w:vMerge w:val="restart"/>
          </w:tcPr>
          <w:p>
            <w:pPr>
              <w:jc w:val="right"/>
              <w:ind w:right="290"/>
              <w:spacing w:after="0"/>
              <w:rPr>
                <w:sz w:val="20"/>
                <w:szCs w:val="20"/>
                <w:color w:val="auto"/>
              </w:rPr>
            </w:pPr>
            <w:r>
              <w:rPr>
                <w:rFonts w:ascii="Arial" w:cs="Arial" w:eastAsia="Arial" w:hAnsi="Arial"/>
                <w:sz w:val="18"/>
                <w:szCs w:val="18"/>
                <w:color w:val="auto"/>
                <w:w w:val="78"/>
              </w:rPr>
              <w:t>:</w:t>
            </w:r>
          </w:p>
        </w:tc>
        <w:tc>
          <w:tcPr>
            <w:tcW w:w="2600" w:type="dxa"/>
            <w:vAlign w:val="bottom"/>
          </w:tcPr>
          <w:p>
            <w:pPr>
              <w:spacing w:after="0"/>
              <w:rPr>
                <w:sz w:val="18"/>
                <w:szCs w:val="18"/>
                <w:color w:val="auto"/>
              </w:rPr>
            </w:pPr>
          </w:p>
        </w:tc>
        <w:tc>
          <w:tcPr>
            <w:tcW w:w="4240" w:type="dxa"/>
            <w:vAlign w:val="bottom"/>
          </w:tcPr>
          <w:p>
            <w:pPr>
              <w:ind w:left="1160"/>
              <w:spacing w:after="0"/>
              <w:rPr>
                <w:sz w:val="20"/>
                <w:szCs w:val="20"/>
                <w:color w:val="auto"/>
              </w:rPr>
            </w:pPr>
            <w:r>
              <w:rPr>
                <w:rFonts w:ascii="Arial" w:cs="Arial" w:eastAsia="Arial" w:hAnsi="Arial"/>
                <w:sz w:val="18"/>
                <w:szCs w:val="18"/>
                <w:color w:val="auto"/>
                <w:w w:val="98"/>
              </w:rPr>
              <w:t>26 North Euclid Avenue Pasadena, CA</w:t>
            </w:r>
          </w:p>
        </w:tc>
        <w:tc>
          <w:tcPr>
            <w:tcW w:w="0" w:type="dxa"/>
            <w:vAlign w:val="bottom"/>
          </w:tcPr>
          <w:p>
            <w:pPr>
              <w:spacing w:after="0"/>
              <w:rPr>
                <w:sz w:val="1"/>
                <w:szCs w:val="1"/>
                <w:color w:val="auto"/>
              </w:rPr>
            </w:pPr>
          </w:p>
        </w:tc>
      </w:tr>
      <w:tr>
        <w:trPr>
          <w:trHeight w:val="172"/>
        </w:trPr>
        <w:tc>
          <w:tcPr>
            <w:tcW w:w="100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600" w:type="dxa"/>
            <w:vAlign w:val="bottom"/>
          </w:tcPr>
          <w:p>
            <w:pPr>
              <w:spacing w:after="0"/>
              <w:rPr>
                <w:sz w:val="14"/>
                <w:szCs w:val="14"/>
                <w:color w:val="auto"/>
              </w:rPr>
            </w:pPr>
          </w:p>
        </w:tc>
        <w:tc>
          <w:tcPr>
            <w:tcW w:w="4240" w:type="dxa"/>
            <w:vAlign w:val="bottom"/>
          </w:tcPr>
          <w:p>
            <w:pPr>
              <w:ind w:left="1160"/>
              <w:spacing w:after="0" w:line="161" w:lineRule="exact"/>
              <w:rPr>
                <w:sz w:val="20"/>
                <w:szCs w:val="20"/>
                <w:color w:val="auto"/>
              </w:rPr>
            </w:pPr>
            <w:r>
              <w:rPr>
                <w:rFonts w:ascii="Arial" w:cs="Arial" w:eastAsia="Arial" w:hAnsi="Arial"/>
                <w:sz w:val="18"/>
                <w:szCs w:val="18"/>
                <w:color w:val="auto"/>
              </w:rPr>
              <w:t>91101 Attn: Corporate Secretary</w:t>
            </w:r>
          </w:p>
        </w:tc>
        <w:tc>
          <w:tcPr>
            <w:tcW w:w="0" w:type="dxa"/>
            <w:vAlign w:val="bottom"/>
          </w:tcPr>
          <w:p>
            <w:pPr>
              <w:spacing w:after="0"/>
              <w:rPr>
                <w:sz w:val="1"/>
                <w:szCs w:val="1"/>
                <w:color w:val="auto"/>
              </w:rPr>
            </w:pPr>
          </w:p>
        </w:tc>
      </w:tr>
      <w:tr>
        <w:trPr>
          <w:trHeight w:val="204"/>
        </w:trPr>
        <w:tc>
          <w:tcPr>
            <w:tcW w:w="4040" w:type="dxa"/>
            <w:vAlign w:val="bottom"/>
            <w:gridSpan w:val="3"/>
          </w:tcPr>
          <w:p>
            <w:pPr>
              <w:spacing w:after="0" w:line="204" w:lineRule="exact"/>
              <w:rPr>
                <w:sz w:val="20"/>
                <w:szCs w:val="20"/>
                <w:color w:val="auto"/>
              </w:rPr>
            </w:pPr>
            <w:r>
              <w:rPr>
                <w:rFonts w:ascii="Arial" w:cs="Arial" w:eastAsia="Arial" w:hAnsi="Arial"/>
                <w:sz w:val="18"/>
                <w:szCs w:val="18"/>
                <w:color w:val="auto"/>
              </w:rPr>
              <w:t>Alexandria Real Estate Equities, Inc.</w:t>
            </w: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P.O. Box 896541</w:t>
            </w: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40" w:type="dxa"/>
            <w:vAlign w:val="bottom"/>
            <w:gridSpan w:val="3"/>
          </w:tcPr>
          <w:p>
            <w:pPr>
              <w:spacing w:after="0"/>
              <w:rPr>
                <w:sz w:val="20"/>
                <w:szCs w:val="20"/>
                <w:color w:val="auto"/>
              </w:rPr>
            </w:pPr>
            <w:r>
              <w:rPr>
                <w:rFonts w:ascii="Arial" w:cs="Arial" w:eastAsia="Arial" w:hAnsi="Arial"/>
                <w:sz w:val="18"/>
                <w:szCs w:val="18"/>
                <w:color w:val="auto"/>
              </w:rPr>
              <w:t>Charlotte, NC 28289-6541</w:t>
            </w: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4040" w:type="dxa"/>
            <w:vAlign w:val="bottom"/>
            <w:gridSpan w:val="3"/>
          </w:tcPr>
          <w:p>
            <w:pPr>
              <w:spacing w:after="0"/>
              <w:rPr>
                <w:sz w:val="20"/>
                <w:szCs w:val="20"/>
                <w:color w:val="auto"/>
              </w:rPr>
            </w:pPr>
            <w:r>
              <w:rPr>
                <w:rFonts w:ascii="Arial" w:cs="Arial" w:eastAsia="Arial" w:hAnsi="Arial"/>
                <w:sz w:val="18"/>
                <w:szCs w:val="18"/>
                <w:i w:val="1"/>
                <w:iCs w:val="1"/>
                <w:color w:val="auto"/>
              </w:rPr>
              <w:t>Overnight delivery</w:t>
            </w:r>
            <w:r>
              <w:rPr>
                <w:rFonts w:ascii="Arial" w:cs="Arial" w:eastAsia="Arial" w:hAnsi="Arial"/>
                <w:sz w:val="18"/>
                <w:szCs w:val="18"/>
                <w:color w:val="auto"/>
              </w:rPr>
              <w:t>:</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-129540</wp:posOffset>
            </wp:positionV>
            <wp:extent cx="702945"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0820"/>
          </w:cols>
          <w:pgMar w:left="660" w:top="1440" w:right="41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color w:val="auto"/>
        </w:rPr>
        <w:t>Suite 210, 20400 Century Boulevard—Vaccitech North America, Inc.—Page 2</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Truist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Attn: Lockbox #896541 5130 Parkway Plaza Blvd.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Charlotte, NC 28217-1964</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For wire/ACH payments</w:t>
      </w:r>
      <w:r>
        <w:rPr>
          <w:rFonts w:ascii="Arial" w:cs="Arial" w:eastAsia="Arial" w:hAnsi="Arial"/>
          <w:sz w:val="18"/>
          <w:szCs w:val="18"/>
          <w:color w:val="auto"/>
        </w:rPr>
        <w: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request, Landlord will provide information to Tenant via a secure format.</w:t>
      </w:r>
    </w:p>
    <w:p>
      <w:pPr>
        <w:sectPr>
          <w:pgSz w:w="11900" w:h="16838" w:orient="portrait"/>
          <w:cols w:equalWidth="0" w:num="1">
            <w:col w:w="11120"/>
          </w:cols>
          <w:pgMar w:left="360" w:top="188" w:right="419" w:bottom="1440" w:gutter="0" w:footer="0" w:header="0"/>
        </w:sect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Tenant’s Notice Address (before Commencement Date):</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Schrödinger Building Heatley Road</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Tenant’s Notice Address (from and after</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Commencement Date):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Suite 210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20400 Century Boulevard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Oxford Science Park Oxford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OX4 4GE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Germantown, MD 20874</w:t>
      </w:r>
    </w:p>
    <w:p>
      <w:pPr>
        <w:spacing w:after="0" w:line="434" w:lineRule="exact"/>
        <w:rPr>
          <w:sz w:val="20"/>
          <w:szCs w:val="20"/>
          <w:color w:val="auto"/>
        </w:rPr>
      </w:pPr>
    </w:p>
    <w:p>
      <w:pPr>
        <w:sectPr>
          <w:pgSz w:w="11900" w:h="16838" w:orient="portrait"/>
          <w:cols w:equalWidth="0" w:num="2">
            <w:col w:w="5480" w:space="720"/>
            <w:col w:w="4920"/>
          </w:cols>
          <w:pgMar w:left="360" w:top="188" w:right="41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[X] EXHIBIT A - PREMISES DESCRIPTION</w:t>
            </w:r>
          </w:p>
        </w:tc>
        <w:tc>
          <w:tcPr>
            <w:tcW w:w="700" w:type="dxa"/>
            <w:vAlign w:val="bottom"/>
          </w:tcPr>
          <w:p>
            <w:pPr>
              <w:spacing w:after="0"/>
              <w:rPr>
                <w:sz w:val="18"/>
                <w:szCs w:val="18"/>
                <w:color w:val="auto"/>
              </w:rPr>
            </w:pPr>
          </w:p>
        </w:tc>
        <w:tc>
          <w:tcPr>
            <w:tcW w:w="5580" w:type="dxa"/>
            <w:vAlign w:val="bottom"/>
          </w:tcPr>
          <w:p>
            <w:pPr>
              <w:ind w:left="580"/>
              <w:spacing w:after="0"/>
              <w:rPr>
                <w:sz w:val="20"/>
                <w:szCs w:val="20"/>
                <w:color w:val="auto"/>
              </w:rPr>
            </w:pPr>
            <w:r>
              <w:rPr>
                <w:rFonts w:ascii="Arial" w:cs="Arial" w:eastAsia="Arial" w:hAnsi="Arial"/>
                <w:sz w:val="18"/>
                <w:szCs w:val="18"/>
                <w:b w:val="1"/>
                <w:bCs w:val="1"/>
                <w:color w:val="auto"/>
                <w:w w:val="98"/>
              </w:rPr>
              <w:t>[X] EXHIBIT A-1 - LOCATION OF HAZMAT STORAGE SHED</w:t>
            </w:r>
          </w:p>
        </w:tc>
        <w:tc>
          <w:tcPr>
            <w:tcW w:w="0" w:type="dxa"/>
            <w:vAlign w:val="bottom"/>
          </w:tcPr>
          <w:p>
            <w:pPr>
              <w:spacing w:after="0"/>
              <w:rPr>
                <w:sz w:val="1"/>
                <w:szCs w:val="1"/>
                <w:color w:val="auto"/>
              </w:rPr>
            </w:pPr>
          </w:p>
        </w:tc>
      </w:tr>
      <w:tr>
        <w:trPr>
          <w:trHeight w:val="81"/>
        </w:trPr>
        <w:tc>
          <w:tcPr>
            <w:tcW w:w="35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55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[X] EXHIBIT C - WORK LETTER</w:t>
            </w:r>
          </w:p>
        </w:tc>
        <w:tc>
          <w:tcPr>
            <w:tcW w:w="0" w:type="dxa"/>
            <w:vAlign w:val="bottom"/>
          </w:tcPr>
          <w:p>
            <w:pPr>
              <w:spacing w:after="0"/>
              <w:rPr>
                <w:sz w:val="1"/>
                <w:szCs w:val="1"/>
                <w:color w:val="auto"/>
              </w:rPr>
            </w:pPr>
          </w:p>
        </w:tc>
      </w:tr>
      <w:tr>
        <w:trPr>
          <w:trHeight w:val="166"/>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[X] EXHIBIT B - DESCRIPTION OF PROJECT</w:t>
            </w:r>
          </w:p>
        </w:tc>
        <w:tc>
          <w:tcPr>
            <w:tcW w:w="5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continue"/>
          </w:tcPr>
          <w:p>
            <w:pPr>
              <w:spacing w:after="0"/>
              <w:rPr>
                <w:sz w:val="7"/>
                <w:szCs w:val="7"/>
                <w:color w:val="auto"/>
              </w:rPr>
            </w:pPr>
          </w:p>
        </w:tc>
        <w:tc>
          <w:tcPr>
            <w:tcW w:w="5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6"/>
        </w:trPr>
        <w:tc>
          <w:tcPr>
            <w:tcW w:w="3580" w:type="dxa"/>
            <w:vAlign w:val="bottom"/>
          </w:tcPr>
          <w:p>
            <w:pPr>
              <w:spacing w:after="0"/>
              <w:rPr>
                <w:sz w:val="20"/>
                <w:szCs w:val="20"/>
                <w:color w:val="auto"/>
              </w:rPr>
            </w:pPr>
            <w:r>
              <w:rPr>
                <w:rFonts w:ascii="Arial" w:cs="Arial" w:eastAsia="Arial" w:hAnsi="Arial"/>
                <w:sz w:val="18"/>
                <w:szCs w:val="18"/>
                <w:b w:val="1"/>
                <w:bCs w:val="1"/>
                <w:color w:val="auto"/>
              </w:rPr>
              <w:t>[X] EXHIBIT D - COMMENCEMENT DATE</w:t>
            </w:r>
          </w:p>
        </w:tc>
        <w:tc>
          <w:tcPr>
            <w:tcW w:w="6280" w:type="dxa"/>
            <w:vAlign w:val="bottom"/>
            <w:gridSpan w:val="2"/>
          </w:tcPr>
          <w:p>
            <w:pPr>
              <w:ind w:left="60"/>
              <w:spacing w:after="0"/>
              <w:rPr>
                <w:sz w:val="20"/>
                <w:szCs w:val="20"/>
                <w:color w:val="auto"/>
              </w:rPr>
            </w:pPr>
            <w:r>
              <w:rPr>
                <w:rFonts w:ascii="Arial" w:cs="Arial" w:eastAsia="Arial" w:hAnsi="Arial"/>
                <w:sz w:val="18"/>
                <w:szCs w:val="18"/>
                <w:b w:val="1"/>
                <w:bCs w:val="1"/>
                <w:color w:val="auto"/>
              </w:rPr>
              <w:t>[X] EXHIBIT E - RULES AND REGULATIONS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[X] EXHIBIT F - TENANT’S PERSONAL</w:t>
            </w:r>
          </w:p>
        </w:tc>
        <w:tc>
          <w:tcPr>
            <w:tcW w:w="700" w:type="dxa"/>
            <w:vAlign w:val="bottom"/>
          </w:tcPr>
          <w:p>
            <w:pPr>
              <w:spacing w:after="0"/>
              <w:rPr>
                <w:sz w:val="18"/>
                <w:szCs w:val="18"/>
                <w:color w:val="auto"/>
              </w:rPr>
            </w:pPr>
          </w:p>
        </w:tc>
        <w:tc>
          <w:tcPr>
            <w:tcW w:w="5580" w:type="dxa"/>
            <w:vAlign w:val="bottom"/>
          </w:tcPr>
          <w:p>
            <w:pPr>
              <w:ind w:left="540"/>
              <w:spacing w:after="0"/>
              <w:rPr>
                <w:sz w:val="20"/>
                <w:szCs w:val="20"/>
                <w:color w:val="auto"/>
              </w:rPr>
            </w:pPr>
            <w:r>
              <w:rPr>
                <w:rFonts w:ascii="Arial" w:cs="Arial" w:eastAsia="Arial" w:hAnsi="Arial"/>
                <w:sz w:val="18"/>
                <w:szCs w:val="18"/>
                <w:b w:val="1"/>
                <w:bCs w:val="1"/>
                <w:color w:val="auto"/>
              </w:rPr>
              <w:t>[X] EXHIBIT G - BUILDING ATTRIBUTES</w:t>
            </w:r>
          </w:p>
        </w:tc>
        <w:tc>
          <w:tcPr>
            <w:tcW w:w="0" w:type="dxa"/>
            <w:vAlign w:val="bottom"/>
          </w:tcPr>
          <w:p>
            <w:pPr>
              <w:spacing w:after="0"/>
              <w:rPr>
                <w:sz w:val="1"/>
                <w:szCs w:val="1"/>
                <w:color w:val="auto"/>
              </w:rPr>
            </w:pPr>
          </w:p>
        </w:tc>
      </w:tr>
      <w:tr>
        <w:trPr>
          <w:trHeight w:val="247"/>
        </w:trPr>
        <w:tc>
          <w:tcPr>
            <w:tcW w:w="3580" w:type="dxa"/>
            <w:vAlign w:val="bottom"/>
          </w:tcPr>
          <w:p>
            <w:pPr>
              <w:spacing w:after="0"/>
              <w:rPr>
                <w:sz w:val="20"/>
                <w:szCs w:val="20"/>
                <w:color w:val="auto"/>
              </w:rPr>
            </w:pPr>
            <w:r>
              <w:rPr>
                <w:rFonts w:ascii="Arial" w:cs="Arial" w:eastAsia="Arial" w:hAnsi="Arial"/>
                <w:sz w:val="18"/>
                <w:szCs w:val="18"/>
                <w:b w:val="1"/>
                <w:bCs w:val="1"/>
                <w:color w:val="auto"/>
              </w:rPr>
              <w:t>PROPERTY</w:t>
            </w:r>
          </w:p>
        </w:tc>
        <w:tc>
          <w:tcPr>
            <w:tcW w:w="7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00" w:right="240" w:firstLine="639"/>
        <w:spacing w:after="0" w:line="256" w:lineRule="auto"/>
        <w:tabs>
          <w:tab w:leader="none" w:pos="1259"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Lease of Premises</w:t>
      </w:r>
      <w:r>
        <w:rPr>
          <w:rFonts w:ascii="Arial" w:cs="Arial" w:eastAsia="Arial" w:hAnsi="Arial"/>
          <w:sz w:val="18"/>
          <w:szCs w:val="18"/>
          <w:color w:val="auto"/>
        </w:rPr>
        <w:t>. Upon and subject to all of the terms and conditions hereof, Landlord hereby leases the Premises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Tenant hereby leases the Premises from Landlord. The portions of the Project that are for the non-exclusive use of tenants of the Project are collectively referred to herein as the “</w:t>
      </w:r>
      <w:r>
        <w:rPr>
          <w:rFonts w:ascii="Arial" w:cs="Arial" w:eastAsia="Arial" w:hAnsi="Arial"/>
          <w:sz w:val="18"/>
          <w:szCs w:val="18"/>
          <w:b w:val="1"/>
          <w:bCs w:val="1"/>
          <w:color w:val="auto"/>
        </w:rPr>
        <w:t>Common Areas</w:t>
      </w:r>
      <w:r>
        <w:rPr>
          <w:rFonts w:ascii="Arial" w:cs="Arial" w:eastAsia="Arial" w:hAnsi="Arial"/>
          <w:sz w:val="18"/>
          <w:szCs w:val="18"/>
          <w:color w:val="auto"/>
        </w:rPr>
        <w:t xml:space="preserve">.” Landlord reserves the right to modify Common Areas, provided that such modifications do not materially adversely affect Tenant’s use of the Premises for the Permitted Use. Subject to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 Taking (as defined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the provisions of the preceding sentence, and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Tenant shall have access to and egress from the Building, the Premises, the Common Areas, and the parking spaces provided by Landlord to Tenant pursuant to the terms of this Lease, 24 hours a day, 7 days a week.</w:t>
      </w:r>
    </w:p>
    <w:p>
      <w:pPr>
        <w:spacing w:after="0" w:line="209" w:lineRule="exact"/>
        <w:rPr>
          <w:rFonts w:ascii="Arial" w:cs="Arial" w:eastAsia="Arial" w:hAnsi="Arial"/>
          <w:sz w:val="18"/>
          <w:szCs w:val="18"/>
          <w:color w:val="auto"/>
        </w:rPr>
      </w:pPr>
    </w:p>
    <w:p>
      <w:pPr>
        <w:jc w:val="both"/>
        <w:ind w:left="300" w:right="240" w:firstLine="639"/>
        <w:spacing w:after="0" w:line="253" w:lineRule="auto"/>
        <w:tabs>
          <w:tab w:leader="none" w:pos="1259"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 Landlord shall use reasonable efforts to make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available to Tenant for Tenant’s Work under the Work Letter within 5 days of full execution of this Lease and Tenant’s delivery of evidence of the insurance required hereby and by the Work Letter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xml:space="preserve">”). Landlord shall Deliver the Premises in accordance with the Building Attributes attached hereto as a part hereof as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entry plaza work described in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will be completed by no later than 90 days after the Commencement Date. If Landlord fails to timely Deliver the Premises, Landlord shall not be liable to Tenant for any loss or damage resulting therefrom, and this Lease shall not be void or voidable except as provided herein. If Landlord does not Deliver the Premises within 60 days of the Target Commencement Date for any reason other than Force Majeure Delays, this Lease may be terminated by Landlord or Tenant by written notice to the other, and if so terminated by either: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that expressly survive termination of this Lease. As used herein, (i) “</w:t>
      </w:r>
      <w:r>
        <w:rPr>
          <w:rFonts w:ascii="Arial" w:cs="Arial" w:eastAsia="Arial" w:hAnsi="Arial"/>
          <w:sz w:val="18"/>
          <w:szCs w:val="18"/>
          <w:b w:val="1"/>
          <w:bCs w:val="1"/>
          <w:color w:val="auto"/>
        </w:rPr>
        <w:t>Force Majeure Delays</w:t>
      </w:r>
      <w:r>
        <w:rPr>
          <w:rFonts w:ascii="Arial" w:cs="Arial" w:eastAsia="Arial" w:hAnsi="Arial"/>
          <w:sz w:val="18"/>
          <w:szCs w:val="18"/>
          <w:color w:val="auto"/>
        </w:rPr>
        <w:t xml:space="preserve">” means delays arising by reason of any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and (ii) “</w:t>
      </w:r>
      <w:r>
        <w:rPr>
          <w:rFonts w:ascii="Arial" w:cs="Arial" w:eastAsia="Arial" w:hAnsi="Arial"/>
          <w:sz w:val="18"/>
          <w:szCs w:val="18"/>
          <w:b w:val="1"/>
          <w:bCs w:val="1"/>
          <w:color w:val="auto"/>
        </w:rPr>
        <w:t>Tenant’s Work</w:t>
      </w:r>
      <w:r>
        <w:rPr>
          <w:rFonts w:ascii="Arial" w:cs="Arial" w:eastAsia="Arial" w:hAnsi="Arial"/>
          <w:sz w:val="18"/>
          <w:szCs w:val="18"/>
          <w:color w:val="auto"/>
        </w:rPr>
        <w:t>” means the improvements to be made to the Premises by Tenant pursuant to the Work Letter. If neither Landlord nor</w:t>
      </w:r>
    </w:p>
    <w:p>
      <w:pPr>
        <w:spacing w:after="0" w:line="200" w:lineRule="exact"/>
        <w:rPr>
          <w:sz w:val="20"/>
          <w:szCs w:val="20"/>
          <w:color w:val="auto"/>
        </w:rPr>
      </w:pPr>
    </w:p>
    <w:p>
      <w:pPr>
        <w:spacing w:after="0" w:line="292" w:lineRule="exact"/>
        <w:rPr>
          <w:sz w:val="20"/>
          <w:szCs w:val="20"/>
          <w:color w:val="auto"/>
        </w:rPr>
      </w:pPr>
    </w:p>
    <w:p>
      <w:pPr>
        <w:ind w:left="670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120"/>
          </w:cols>
          <w:pgMar w:left="360" w:top="188" w:right="41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Suite 210, 20400 Century Boulevard—Vaccitech North America, Inc.—Page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 w:right="800"/>
        <w:spacing w:after="0" w:line="287" w:lineRule="auto"/>
        <w:rPr>
          <w:sz w:val="20"/>
          <w:szCs w:val="20"/>
          <w:color w:val="auto"/>
        </w:rPr>
      </w:pPr>
      <w:r>
        <w:rPr>
          <w:rFonts w:ascii="Arial" w:cs="Arial" w:eastAsia="Arial" w:hAnsi="Arial"/>
          <w:sz w:val="18"/>
          <w:szCs w:val="18"/>
          <w:color w:val="auto"/>
        </w:rPr>
        <w:t>Tenant elects to void this Lease within 5 business days of the lapse of such 60 day period, such right to void this Lease shall be waived and this Lease shall remain in full force and effect.</w:t>
      </w:r>
    </w:p>
    <w:p>
      <w:pPr>
        <w:spacing w:after="0" w:line="180" w:lineRule="exact"/>
        <w:rPr>
          <w:sz w:val="20"/>
          <w:szCs w:val="20"/>
          <w:color w:val="auto"/>
        </w:rPr>
      </w:pPr>
    </w:p>
    <w:p>
      <w:pPr>
        <w:jc w:val="both"/>
        <w:ind w:left="300" w:right="320" w:firstLine="647"/>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mean the date of this Lease.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xml:space="preserve">” shall be the first day after the expiration of 12 full calendar months after the Commencement Date.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in the Basic Lease Provisions and the Extension Term that Tenant may elect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hereof.</w:t>
      </w:r>
    </w:p>
    <w:p>
      <w:pPr>
        <w:spacing w:after="0" w:line="223" w:lineRule="exact"/>
        <w:rPr>
          <w:sz w:val="20"/>
          <w:szCs w:val="20"/>
          <w:color w:val="auto"/>
        </w:rPr>
      </w:pPr>
    </w:p>
    <w:p>
      <w:pPr>
        <w:jc w:val="both"/>
        <w:ind w:left="300" w:right="320" w:firstLine="647"/>
        <w:spacing w:after="0" w:line="259" w:lineRule="auto"/>
        <w:rPr>
          <w:sz w:val="20"/>
          <w:szCs w:val="20"/>
          <w:color w:val="auto"/>
        </w:rPr>
      </w:pPr>
      <w:r>
        <w:rPr>
          <w:rFonts w:ascii="Arial" w:cs="Arial" w:eastAsia="Arial" w:hAnsi="Arial"/>
          <w:sz w:val="18"/>
          <w:szCs w:val="18"/>
          <w:color w:val="auto"/>
        </w:rPr>
        <w:t xml:space="preserve">Except as set forth in the Work Letter and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 Tenant shall accept the Premises in their condition as of the Commencement Date, subject to all applicable Legal Requirements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w:t>
      </w:r>
    </w:p>
    <w:p>
      <w:pPr>
        <w:spacing w:after="0" w:line="220" w:lineRule="exact"/>
        <w:rPr>
          <w:sz w:val="20"/>
          <w:szCs w:val="20"/>
          <w:color w:val="auto"/>
        </w:rPr>
      </w:pPr>
    </w:p>
    <w:p>
      <w:pPr>
        <w:jc w:val="both"/>
        <w:ind w:left="300" w:right="320" w:firstLine="647"/>
        <w:spacing w:after="0" w:line="257" w:lineRule="auto"/>
        <w:rPr>
          <w:sz w:val="20"/>
          <w:szCs w:val="20"/>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Tenant shall have a period of 90 days after Landlord’s Delivery of the Premises to Tenant to reasonably identify in writing any latent defects in the mechanical, electrical, and plumbing systems and the structural components serving the Premises. For purposes of this paragraph, “</w:t>
      </w:r>
      <w:r>
        <w:rPr>
          <w:rFonts w:ascii="Arial" w:cs="Arial" w:eastAsia="Arial" w:hAnsi="Arial"/>
          <w:sz w:val="18"/>
          <w:szCs w:val="18"/>
          <w:b w:val="1"/>
          <w:bCs w:val="1"/>
          <w:color w:val="auto"/>
        </w:rPr>
        <w:t>latent defects</w:t>
      </w:r>
      <w:r>
        <w:rPr>
          <w:rFonts w:ascii="Arial" w:cs="Arial" w:eastAsia="Arial" w:hAnsi="Arial"/>
          <w:sz w:val="18"/>
          <w:szCs w:val="18"/>
          <w:color w:val="auto"/>
        </w:rPr>
        <w:t>” means those material defects in such systems and/or components that could not have been identified or discovered through a reasonable inspection of such systems or components conducted by a qualified technician. Landlord will promptly repair such identified latent defects (subject to Landlord’s reasonable confirmation that such defects are, in fact, latent defects).</w:t>
      </w:r>
    </w:p>
    <w:p>
      <w:pPr>
        <w:spacing w:after="0" w:line="209" w:lineRule="exact"/>
        <w:rPr>
          <w:sz w:val="20"/>
          <w:szCs w:val="20"/>
          <w:color w:val="auto"/>
        </w:rPr>
      </w:pPr>
    </w:p>
    <w:p>
      <w:pPr>
        <w:jc w:val="both"/>
        <w:ind w:left="300" w:right="320" w:firstLine="647"/>
        <w:spacing w:after="0" w:line="256"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that are not contained herein. Landlord in executing this Lease does so in reliance upon Tenant’s representations, warranties, acknowledgments and agreements contained herein.</w:t>
      </w:r>
    </w:p>
    <w:p>
      <w:pPr>
        <w:spacing w:after="0" w:line="223" w:lineRule="exact"/>
        <w:rPr>
          <w:sz w:val="20"/>
          <w:szCs w:val="20"/>
          <w:color w:val="auto"/>
        </w:rPr>
      </w:pPr>
    </w:p>
    <w:p>
      <w:pPr>
        <w:jc w:val="both"/>
        <w:ind w:left="300" w:right="340" w:firstLine="647"/>
        <w:spacing w:after="0" w:line="287" w:lineRule="auto"/>
        <w:rPr>
          <w:sz w:val="20"/>
          <w:szCs w:val="20"/>
          <w:color w:val="auto"/>
        </w:rPr>
      </w:pPr>
      <w:r>
        <w:rPr>
          <w:rFonts w:ascii="Arial" w:cs="Arial" w:eastAsia="Arial" w:hAnsi="Arial"/>
          <w:sz w:val="18"/>
          <w:szCs w:val="18"/>
          <w:color w:val="auto"/>
        </w:rPr>
        <w:t>Tenant acknowledges receipt of that certain Phase I Environmental Site Assessment prepared by Ramboll US Corporation and dated December 2020 with respect to the Project.</w:t>
      </w:r>
    </w:p>
    <w:p>
      <w:pPr>
        <w:spacing w:after="0" w:line="180" w:lineRule="exact"/>
        <w:rPr>
          <w:sz w:val="20"/>
          <w:szCs w:val="20"/>
          <w:color w:val="auto"/>
        </w:rPr>
      </w:pPr>
    </w:p>
    <w:p>
      <w:pPr>
        <w:ind w:left="1580" w:hanging="640"/>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66" w:lineRule="exact"/>
        <w:rPr>
          <w:sz w:val="20"/>
          <w:szCs w:val="20"/>
          <w:color w:val="auto"/>
        </w:rPr>
      </w:pPr>
    </w:p>
    <w:p>
      <w:pPr>
        <w:jc w:val="both"/>
        <w:ind w:left="300" w:firstLine="647"/>
        <w:spacing w:after="0" w:line="256" w:lineRule="auto"/>
        <w:rPr>
          <w:sz w:val="20"/>
          <w:szCs w:val="20"/>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The first month’s Base Rent and the Security Deposit shall be due and payable on delivery of an executed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Lease to Landlord. Beginning on the Rent Commencement Date (but subject to the abatement of Base Rent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4(a))</w:t>
      </w:r>
      <w:r>
        <w:rPr>
          <w:rFonts w:ascii="Arial" w:cs="Arial" w:eastAsia="Arial" w:hAnsi="Arial"/>
          <w:sz w:val="18"/>
          <w:szCs w:val="18"/>
          <w:color w:val="auto"/>
        </w:rPr>
        <w:t>,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0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-248285</wp:posOffset>
            </wp:positionV>
            <wp:extent cx="702945" cy="257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72" w:name="page173"/>
    <w:bookmarkEnd w:id="172"/>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color w:val="auto"/>
        </w:rPr>
        <w:t xml:space="preserve">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180" w:lineRule="exact"/>
        <w:rPr>
          <w:sz w:val="20"/>
          <w:szCs w:val="20"/>
          <w:color w:val="auto"/>
        </w:rPr>
      </w:pPr>
    </w:p>
    <w:p>
      <w:pPr>
        <w:jc w:val="both"/>
        <w:ind w:left="340" w:right="320" w:firstLine="639"/>
        <w:spacing w:after="0" w:line="259" w:lineRule="auto"/>
        <w:tabs>
          <w:tab w:leader="none" w:pos="130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220" w:lineRule="exact"/>
        <w:rPr>
          <w:sz w:val="20"/>
          <w:szCs w:val="20"/>
          <w:color w:val="auto"/>
        </w:rPr>
      </w:pPr>
    </w:p>
    <w:p>
      <w:pPr>
        <w:jc w:val="both"/>
        <w:ind w:left="340" w:right="320" w:firstLine="639"/>
        <w:spacing w:after="0" w:line="259" w:lineRule="auto"/>
        <w:tabs>
          <w:tab w:leader="none" w:pos="1299"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anniversary of the first day of the first full month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206" w:lineRule="exact"/>
        <w:rPr>
          <w:sz w:val="20"/>
          <w:szCs w:val="20"/>
          <w:color w:val="auto"/>
        </w:rPr>
      </w:pPr>
    </w:p>
    <w:p>
      <w:pPr>
        <w:jc w:val="both"/>
        <w:ind w:left="340" w:right="320" w:firstLine="639"/>
        <w:spacing w:after="0" w:line="254" w:lineRule="auto"/>
        <w:tabs>
          <w:tab w:leader="none" w:pos="1301"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Base Rent Abatement</w:t>
      </w:r>
      <w:r>
        <w:rPr>
          <w:rFonts w:ascii="Arial" w:cs="Arial" w:eastAsia="Arial" w:hAnsi="Arial"/>
          <w:sz w:val="18"/>
          <w:szCs w:val="18"/>
          <w:color w:val="auto"/>
        </w:rPr>
        <w:t>. Notwithstanding anything to the contrary contained in this Lease, but provided Tenant is not in</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hereunder, Landlord hereby grants Tenant an abatement of the Base Rent payable during the period beginning on the Rent Commencement Date and ending 8 months after the Rent Commencement Date (“</w:t>
      </w:r>
      <w:r>
        <w:rPr>
          <w:rFonts w:ascii="Arial" w:cs="Arial" w:eastAsia="Arial" w:hAnsi="Arial"/>
          <w:sz w:val="18"/>
          <w:szCs w:val="18"/>
          <w:b w:val="1"/>
          <w:bCs w:val="1"/>
          <w:color w:val="auto"/>
        </w:rPr>
        <w:t>Base Rent Abatement</w:t>
      </w:r>
      <w:r>
        <w:rPr>
          <w:rFonts w:ascii="Arial" w:cs="Arial" w:eastAsia="Arial" w:hAnsi="Arial"/>
          <w:sz w:val="18"/>
          <w:szCs w:val="18"/>
          <w:color w:val="auto"/>
        </w:rPr>
        <w:t xml:space="preserve">”). For the avoidance of doubt, if the Rent Commencement Date occurs on the first day of a month, the Base Rent Abatement will be measured from that date. If the Rent Commencement Date occurs on a day other than the first day of a month, the Base Rent Abatement will be measured from the first day of the following month. Except as provided in the preceding sentences, Tenant shall pay the full amount of Base Rent due in accordance with the provisions of this Lease. The administration rent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shall not be abated and shall be based on the amount of Base Rent that would have been payable but for the Base Rent Abatement. Notwithstanding anything to the contrary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the adjustment in the Base Rent as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based on the full and unabated amount of Base Rent payable for the first 12 month period from and after the Rent Commencement Date.</w:t>
      </w:r>
    </w:p>
    <w:p>
      <w:pPr>
        <w:spacing w:after="0" w:line="223" w:lineRule="exact"/>
        <w:rPr>
          <w:sz w:val="20"/>
          <w:szCs w:val="20"/>
          <w:color w:val="auto"/>
        </w:rPr>
      </w:pPr>
    </w:p>
    <w:p>
      <w:pPr>
        <w:jc w:val="both"/>
        <w:ind w:left="340" w:right="320" w:firstLine="639"/>
        <w:spacing w:after="0" w:line="256" w:lineRule="auto"/>
        <w:tabs>
          <w:tab w:leader="none" w:pos="1299"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 during the Term (“</w:t>
      </w:r>
      <w:r>
        <w:rPr>
          <w:rFonts w:ascii="Arial" w:cs="Arial" w:eastAsia="Arial" w:hAnsi="Arial"/>
          <w:sz w:val="18"/>
          <w:szCs w:val="18"/>
          <w:b w:val="1"/>
          <w:bCs w:val="1"/>
          <w:color w:val="auto"/>
        </w:rPr>
        <w:t>Annual Estimate</w:t>
      </w:r>
      <w:r>
        <w:rPr>
          <w:rFonts w:ascii="Arial" w:cs="Arial" w:eastAsia="Arial" w:hAnsi="Arial"/>
          <w:sz w:val="18"/>
          <w:szCs w:val="18"/>
          <w:color w:val="auto"/>
        </w:rPr>
        <w:t xml:space="preserve">”), which may be revised by Landlord no more frequently than twice during such calendar year. Beginning on the date on which Landlord Delivers the Premises to Tenant and continuing through the day before the Rent Commencement Date, Tenant shall pay the cost of utilities furnished to the Premises as more fully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Beginning on the Rent Commencement Date and continuing for the balance of the Term, Tenant shall pay Landlord on or before the first day of each calendar month during the Term hereof an amount equal to 1/12</w:t>
      </w:r>
      <w:r>
        <w:rPr>
          <w:rFonts w:ascii="Arial" w:cs="Arial" w:eastAsia="Arial" w:hAnsi="Arial"/>
          <w:sz w:val="11"/>
          <w:szCs w:val="11"/>
          <w:color w:val="auto"/>
        </w:rPr>
        <w:t>th</w:t>
      </w:r>
      <w:r>
        <w:rPr>
          <w:rFonts w:ascii="Arial" w:cs="Arial" w:eastAsia="Arial" w:hAnsi="Arial"/>
          <w:sz w:val="18"/>
          <w:szCs w:val="18"/>
          <w:color w:val="auto"/>
        </w:rPr>
        <w:t xml:space="preserve"> of Tenant’s Share of the Annual Estimate. Payments for any fractional calendar month shall be prorated.</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capital repairs and improvements amortized over the lesser of 7 years and the useful life of such capital items, the cost of upgrades to the Building or Project or enhanced services provided at the Building and/or Project that are intended to encourage social distancing (also referred to as physical distancing), promote and protect health and physical well-being and/or intended to prevent or limit the spread or transmission of communicable diseases and/or viruses of any kind or nature (collectively, “</w:t>
      </w:r>
      <w:r>
        <w:rPr>
          <w:rFonts w:ascii="Arial" w:cs="Arial" w:eastAsia="Arial" w:hAnsi="Arial"/>
          <w:sz w:val="18"/>
          <w:szCs w:val="18"/>
          <w:b w:val="1"/>
          <w:bCs w:val="1"/>
          <w:color w:val="auto"/>
        </w:rPr>
        <w:t>Infectious Conditions</w:t>
      </w:r>
      <w:r>
        <w:rPr>
          <w:rFonts w:ascii="Arial" w:cs="Arial" w:eastAsia="Arial" w:hAnsi="Arial"/>
          <w:sz w:val="18"/>
          <w:szCs w:val="18"/>
          <w:color w:val="auto"/>
        </w:rPr>
        <w:t xml:space="preserve">”), the costs of Landlord’s third party property manager or, if there is no third party property manager, administration rent in the amount of 4% of Base Rent and the costs and expenses for maintaining, repairing, replacing, and operating the Shared Lab Area and the Shared Lab Systems (as such terms are defined in </w:t>
      </w:r>
      <w:r>
        <w:rPr>
          <w:rFonts w:ascii="Arial" w:cs="Arial" w:eastAsia="Arial" w:hAnsi="Arial"/>
          <w:sz w:val="18"/>
          <w:szCs w:val="18"/>
          <w:u w:val="single" w:color="auto"/>
          <w:color w:val="auto"/>
        </w:rPr>
        <w:t>Section 7(b)</w:t>
      </w:r>
      <w:r>
        <w:rPr>
          <w:rFonts w:ascii="Arial" w:cs="Arial" w:eastAsia="Arial" w:hAnsi="Arial"/>
          <w:sz w:val="18"/>
          <w:szCs w:val="18"/>
          <w:color w:val="auto"/>
        </w:rPr>
        <w:t>), excluding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4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702945" cy="2571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4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40"/>
          </w:cols>
          <w:pgMar w:left="320" w:top="188"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Suite 210, 20400 Century Boulevard—Vaccitech North America, Inc.—Page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right="260" w:firstLine="639"/>
        <w:spacing w:after="0" w:line="287" w:lineRule="auto"/>
        <w:tabs>
          <w:tab w:leader="none" w:pos="126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any renovation prior to the date of this Lease and costs of correcting defects in such original construction or renovation;</w:t>
      </w:r>
    </w:p>
    <w:p>
      <w:pPr>
        <w:spacing w:after="0" w:line="179" w:lineRule="exact"/>
        <w:rPr>
          <w:rFonts w:ascii="Arial" w:cs="Arial" w:eastAsia="Arial" w:hAnsi="Arial"/>
          <w:sz w:val="18"/>
          <w:szCs w:val="18"/>
          <w:color w:val="auto"/>
        </w:rPr>
      </w:pPr>
    </w:p>
    <w:p>
      <w:pPr>
        <w:ind w:left="1580" w:hanging="640"/>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265" w:lineRule="exact"/>
        <w:rPr>
          <w:rFonts w:ascii="Arial" w:cs="Arial" w:eastAsia="Arial" w:hAnsi="Arial"/>
          <w:sz w:val="18"/>
          <w:szCs w:val="18"/>
          <w:color w:val="auto"/>
        </w:rPr>
      </w:pPr>
    </w:p>
    <w:p>
      <w:pPr>
        <w:jc w:val="both"/>
        <w:ind w:left="300" w:right="240" w:firstLine="639"/>
        <w:spacing w:after="0" w:line="268" w:lineRule="auto"/>
        <w:tabs>
          <w:tab w:leader="none" w:pos="12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211" w:lineRule="exact"/>
        <w:rPr>
          <w:rFonts w:ascii="Arial" w:cs="Arial" w:eastAsia="Arial" w:hAnsi="Arial"/>
          <w:sz w:val="18"/>
          <w:szCs w:val="18"/>
          <w:color w:val="auto"/>
        </w:rPr>
      </w:pPr>
    </w:p>
    <w:p>
      <w:pPr>
        <w:ind w:left="1260" w:hanging="321"/>
        <w:spacing w:after="0"/>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are includable in Operating Expenses);</w:t>
      </w:r>
    </w:p>
    <w:p>
      <w:pPr>
        <w:spacing w:after="0" w:line="252" w:lineRule="exact"/>
        <w:rPr>
          <w:rFonts w:ascii="Arial" w:cs="Arial" w:eastAsia="Arial" w:hAnsi="Arial"/>
          <w:sz w:val="18"/>
          <w:szCs w:val="18"/>
          <w:color w:val="auto"/>
        </w:rPr>
      </w:pPr>
    </w:p>
    <w:p>
      <w:pPr>
        <w:jc w:val="both"/>
        <w:ind w:left="300" w:right="260" w:firstLine="639"/>
        <w:spacing w:after="0" w:line="268" w:lineRule="auto"/>
        <w:tabs>
          <w:tab w:leader="none" w:pos="126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211" w:lineRule="exact"/>
        <w:rPr>
          <w:rFonts w:ascii="Arial" w:cs="Arial" w:eastAsia="Arial" w:hAnsi="Arial"/>
          <w:sz w:val="18"/>
          <w:szCs w:val="18"/>
          <w:color w:val="auto"/>
        </w:rPr>
      </w:pPr>
    </w:p>
    <w:p>
      <w:pPr>
        <w:ind w:left="1580" w:hanging="640"/>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265" w:lineRule="exact"/>
        <w:rPr>
          <w:rFonts w:ascii="Arial" w:cs="Arial" w:eastAsia="Arial" w:hAnsi="Arial"/>
          <w:sz w:val="18"/>
          <w:szCs w:val="18"/>
          <w:color w:val="auto"/>
        </w:rPr>
      </w:pPr>
    </w:p>
    <w:p>
      <w:pPr>
        <w:ind w:left="300" w:right="240" w:firstLine="639"/>
        <w:spacing w:after="0" w:line="287" w:lineRule="auto"/>
        <w:tabs>
          <w:tab w:leader="none" w:pos="1261"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179" w:lineRule="exact"/>
        <w:rPr>
          <w:rFonts w:ascii="Arial" w:cs="Arial" w:eastAsia="Arial" w:hAnsi="Arial"/>
          <w:sz w:val="18"/>
          <w:szCs w:val="18"/>
          <w:color w:val="auto"/>
        </w:rPr>
      </w:pPr>
    </w:p>
    <w:p>
      <w:pPr>
        <w:ind w:left="1580" w:hanging="640"/>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of utilities outside normal business hours sold to tenants of the Project;</w:t>
      </w:r>
    </w:p>
    <w:p>
      <w:pPr>
        <w:spacing w:after="0" w:line="265" w:lineRule="exact"/>
        <w:rPr>
          <w:rFonts w:ascii="Arial" w:cs="Arial" w:eastAsia="Arial" w:hAnsi="Arial"/>
          <w:sz w:val="18"/>
          <w:szCs w:val="18"/>
          <w:color w:val="auto"/>
        </w:rPr>
      </w:pPr>
    </w:p>
    <w:p>
      <w:pPr>
        <w:ind w:left="300" w:right="260" w:firstLine="639"/>
        <w:spacing w:after="0" w:line="287" w:lineRule="auto"/>
        <w:tabs>
          <w:tab w:leader="none" w:pos="1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regardless of whether actually paid;</w:t>
      </w:r>
    </w:p>
    <w:p>
      <w:pPr>
        <w:spacing w:after="0" w:line="193" w:lineRule="exact"/>
        <w:rPr>
          <w:rFonts w:ascii="Arial" w:cs="Arial" w:eastAsia="Arial" w:hAnsi="Arial"/>
          <w:sz w:val="18"/>
          <w:szCs w:val="18"/>
          <w:color w:val="auto"/>
        </w:rPr>
      </w:pPr>
    </w:p>
    <w:p>
      <w:pPr>
        <w:ind w:left="300" w:right="260" w:firstLine="639"/>
        <w:spacing w:after="0" w:line="287" w:lineRule="auto"/>
        <w:tabs>
          <w:tab w:leader="none" w:pos="1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179" w:lineRule="exact"/>
        <w:rPr>
          <w:rFonts w:ascii="Arial" w:cs="Arial" w:eastAsia="Arial" w:hAnsi="Arial"/>
          <w:sz w:val="18"/>
          <w:szCs w:val="18"/>
          <w:color w:val="auto"/>
        </w:rPr>
      </w:pPr>
    </w:p>
    <w:p>
      <w:pPr>
        <w:ind w:left="300" w:right="260" w:firstLine="639"/>
        <w:spacing w:after="0" w:line="287" w:lineRule="auto"/>
        <w:tabs>
          <w:tab w:leader="none" w:pos="12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93" w:lineRule="exact"/>
        <w:rPr>
          <w:rFonts w:ascii="Arial" w:cs="Arial" w:eastAsia="Arial" w:hAnsi="Arial"/>
          <w:sz w:val="18"/>
          <w:szCs w:val="18"/>
          <w:color w:val="auto"/>
        </w:rPr>
      </w:pPr>
    </w:p>
    <w:p>
      <w:pPr>
        <w:jc w:val="both"/>
        <w:ind w:left="300" w:right="240" w:firstLine="639"/>
        <w:spacing w:after="0" w:line="262" w:lineRule="auto"/>
        <w:tabs>
          <w:tab w:leader="none" w:pos="1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216" w:lineRule="exact"/>
        <w:rPr>
          <w:rFonts w:ascii="Arial" w:cs="Arial" w:eastAsia="Arial" w:hAnsi="Arial"/>
          <w:sz w:val="18"/>
          <w:szCs w:val="18"/>
          <w:color w:val="auto"/>
        </w:rPr>
      </w:pPr>
    </w:p>
    <w:p>
      <w:pPr>
        <w:ind w:left="300" w:right="240" w:firstLine="639"/>
        <w:spacing w:after="0" w:line="287" w:lineRule="auto"/>
        <w:tabs>
          <w:tab w:leader="none" w:pos="12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left="300" w:right="240" w:firstLine="639"/>
        <w:spacing w:after="0" w:line="268" w:lineRule="auto"/>
        <w:tabs>
          <w:tab w:leader="none" w:pos="1261"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120"/>
          </w:cols>
          <w:pgMar w:left="360" w:top="188" w:right="419" w:bottom="1440" w:gutter="0" w:footer="0" w:header="0"/>
        </w:sectPr>
      </w:pPr>
    </w:p>
    <w:bookmarkStart w:id="174" w:name="page175"/>
    <w:bookmarkEnd w:id="174"/>
    <w:p>
      <w:pPr>
        <w:ind w:left="32"/>
        <w:spacing w:after="0"/>
        <w:rPr>
          <w:sz w:val="20"/>
          <w:szCs w:val="20"/>
          <w:color w:val="auto"/>
        </w:rPr>
      </w:pPr>
      <w:r>
        <w:rPr>
          <w:rFonts w:ascii="Arial" w:cs="Arial" w:eastAsia="Arial" w:hAnsi="Arial"/>
          <w:sz w:val="18"/>
          <w:szCs w:val="18"/>
          <w:b w:val="1"/>
          <w:bCs w:val="1"/>
          <w:color w:val="auto"/>
        </w:rPr>
        <w:t>Suite 210, 20400 Century Boulevard—Vaccitech North America, Inc.—Page 6</w:t>
      </w:r>
    </w:p>
    <w:p>
      <w:pPr>
        <w:spacing w:after="0" w:line="200" w:lineRule="exact"/>
        <w:rPr>
          <w:sz w:val="20"/>
          <w:szCs w:val="20"/>
          <w:color w:val="auto"/>
        </w:rPr>
      </w:pPr>
    </w:p>
    <w:p>
      <w:pPr>
        <w:spacing w:after="0" w:line="363" w:lineRule="exact"/>
        <w:rPr>
          <w:sz w:val="20"/>
          <w:szCs w:val="20"/>
          <w:color w:val="auto"/>
        </w:rPr>
      </w:pPr>
    </w:p>
    <w:p>
      <w:pPr>
        <w:jc w:val="both"/>
        <w:ind w:left="332" w:right="20" w:firstLine="647"/>
        <w:spacing w:after="0" w:line="268" w:lineRule="auto"/>
        <w:rPr>
          <w:sz w:val="20"/>
          <w:szCs w:val="20"/>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12" w:hanging="640"/>
        <w:spacing w:after="0"/>
        <w:tabs>
          <w:tab w:leader="none" w:pos="16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w:t>
      </w:r>
    </w:p>
    <w:p>
      <w:pPr>
        <w:spacing w:after="0" w:line="2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Project;</w:t>
      </w:r>
    </w:p>
    <w:p>
      <w:pPr>
        <w:spacing w:after="0" w:line="234" w:lineRule="exact"/>
        <w:rPr>
          <w:sz w:val="20"/>
          <w:szCs w:val="20"/>
          <w:color w:val="auto"/>
        </w:rPr>
      </w:pPr>
    </w:p>
    <w:p>
      <w:pPr>
        <w:jc w:val="both"/>
        <w:ind w:left="332" w:right="320" w:firstLine="639"/>
        <w:spacing w:after="0" w:line="268" w:lineRule="auto"/>
        <w:tabs>
          <w:tab w:leader="none" w:pos="12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that are not standard for the Project and that are not available to Tenant without specific charges therefor, but which are provided to another tenant or occupant of the Project, regardless of whether such other tenant or occupant is specifically charged therefor by Landlord;</w:t>
      </w:r>
    </w:p>
    <w:p>
      <w:pPr>
        <w:spacing w:after="0" w:line="211" w:lineRule="exact"/>
        <w:rPr>
          <w:rFonts w:ascii="Arial" w:cs="Arial" w:eastAsia="Arial" w:hAnsi="Arial"/>
          <w:sz w:val="18"/>
          <w:szCs w:val="18"/>
          <w:color w:val="auto"/>
        </w:rPr>
      </w:pPr>
    </w:p>
    <w:p>
      <w:pPr>
        <w:ind w:left="1612" w:hanging="640"/>
        <w:spacing w:after="0"/>
        <w:tabs>
          <w:tab w:leader="none" w:pos="16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265" w:lineRule="exact"/>
        <w:rPr>
          <w:rFonts w:ascii="Arial" w:cs="Arial" w:eastAsia="Arial" w:hAnsi="Arial"/>
          <w:sz w:val="18"/>
          <w:szCs w:val="18"/>
          <w:color w:val="auto"/>
        </w:rPr>
      </w:pPr>
    </w:p>
    <w:p>
      <w:pPr>
        <w:jc w:val="both"/>
        <w:ind w:left="332" w:right="320" w:firstLine="639"/>
        <w:spacing w:after="0" w:line="268" w:lineRule="auto"/>
        <w:tabs>
          <w:tab w:leader="none" w:pos="1294"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(except to the extent such net income taxes are in substitution for any Taxes payable hereunder), franchise, capital stock, gift, estate or inheritance taxes or any federal, state or local documentary taxes imposed against the Project or any portion thereof or interest therein;</w:t>
      </w:r>
    </w:p>
    <w:p>
      <w:pPr>
        <w:spacing w:after="0" w:line="197" w:lineRule="exact"/>
        <w:rPr>
          <w:rFonts w:ascii="Arial" w:cs="Arial" w:eastAsia="Arial" w:hAnsi="Arial"/>
          <w:sz w:val="18"/>
          <w:szCs w:val="18"/>
          <w:color w:val="auto"/>
        </w:rPr>
      </w:pPr>
    </w:p>
    <w:p>
      <w:pPr>
        <w:ind w:left="1612" w:hanging="640"/>
        <w:spacing w:after="0"/>
        <w:tabs>
          <w:tab w:leader="none" w:pos="16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reserves for future repairs and replacements;</w:t>
      </w:r>
    </w:p>
    <w:p>
      <w:pPr>
        <w:spacing w:after="0" w:line="265" w:lineRule="exact"/>
        <w:rPr>
          <w:rFonts w:ascii="Arial" w:cs="Arial" w:eastAsia="Arial" w:hAnsi="Arial"/>
          <w:sz w:val="18"/>
          <w:szCs w:val="18"/>
          <w:color w:val="auto"/>
        </w:rPr>
      </w:pPr>
    </w:p>
    <w:p>
      <w:pPr>
        <w:ind w:left="1292" w:hanging="321"/>
        <w:spacing w:after="0"/>
        <w:tabs>
          <w:tab w:leader="none" w:pos="12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interest or penalties arising solely by reason of Landlord’s failure to pay timely any Operating Expenses;</w:t>
      </w:r>
    </w:p>
    <w:p>
      <w:pPr>
        <w:spacing w:after="0" w:line="252" w:lineRule="exact"/>
        <w:rPr>
          <w:rFonts w:ascii="Arial" w:cs="Arial" w:eastAsia="Arial" w:hAnsi="Arial"/>
          <w:sz w:val="18"/>
          <w:szCs w:val="18"/>
          <w:color w:val="auto"/>
        </w:rPr>
      </w:pPr>
    </w:p>
    <w:p>
      <w:pPr>
        <w:ind w:left="1292" w:hanging="321"/>
        <w:spacing w:after="0"/>
        <w:tabs>
          <w:tab w:leader="none" w:pos="12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costs for which Landlord is reimbursed by its insurance carrier or is reimbursed by Tenant’s insurance carrier;</w:t>
      </w:r>
    </w:p>
    <w:p>
      <w:pPr>
        <w:spacing w:after="0" w:line="265" w:lineRule="exact"/>
        <w:rPr>
          <w:rFonts w:ascii="Arial" w:cs="Arial" w:eastAsia="Arial" w:hAnsi="Arial"/>
          <w:sz w:val="18"/>
          <w:szCs w:val="18"/>
          <w:color w:val="auto"/>
        </w:rPr>
      </w:pPr>
    </w:p>
    <w:p>
      <w:pPr>
        <w:ind w:left="1292" w:hanging="321"/>
        <w:spacing w:after="0"/>
        <w:tabs>
          <w:tab w:leader="none" w:pos="12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costs directly resulting from the gross negligence or willful misconduct of Landlord or its employees; and</w:t>
      </w:r>
    </w:p>
    <w:p>
      <w:pPr>
        <w:spacing w:after="0" w:line="265" w:lineRule="exact"/>
        <w:rPr>
          <w:rFonts w:ascii="Arial" w:cs="Arial" w:eastAsia="Arial" w:hAnsi="Arial"/>
          <w:sz w:val="18"/>
          <w:szCs w:val="18"/>
          <w:color w:val="auto"/>
        </w:rPr>
      </w:pPr>
    </w:p>
    <w:p>
      <w:pPr>
        <w:ind w:left="332" w:right="340" w:firstLine="639"/>
        <w:spacing w:after="0" w:line="287" w:lineRule="auto"/>
        <w:tabs>
          <w:tab w:leader="none" w:pos="129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93" w:lineRule="exact"/>
        <w:rPr>
          <w:sz w:val="20"/>
          <w:szCs w:val="20"/>
          <w:color w:val="auto"/>
        </w:rPr>
      </w:pPr>
    </w:p>
    <w:p>
      <w:pPr>
        <w:jc w:val="both"/>
        <w:ind w:left="332" w:right="320" w:firstLine="647"/>
        <w:spacing w:after="0" w:line="257" w:lineRule="auto"/>
        <w:rPr>
          <w:sz w:val="20"/>
          <w:szCs w:val="20"/>
          <w:color w:val="auto"/>
        </w:rPr>
      </w:pPr>
      <w:r>
        <w:rPr>
          <w:rFonts w:ascii="Arial" w:cs="Arial" w:eastAsia="Arial" w:hAnsi="Arial"/>
          <w:sz w:val="18"/>
          <w:szCs w:val="18"/>
          <w:color w:val="auto"/>
        </w:rPr>
        <w:t xml:space="preserve">Notwithstanding any contrary provision contained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each line item of the Controllable Operating Expenses (as defined below) shall be capped so that no increase in any calendar year, on a line-item basis, exceeds 5% over the prior year’s line-item amount on a non-cumulative basis. As a result, the actual annual increase in each line item of Controllable Operating Expenses in any given calendar year from and after the calendar year in which the Lease Commencement Date occurs may be less than or equal to 5% (but shall not exceed 5% in any such year). For purposes of this Lease, “</w:t>
      </w:r>
      <w:r>
        <w:rPr>
          <w:rFonts w:ascii="Arial" w:cs="Arial" w:eastAsia="Arial" w:hAnsi="Arial"/>
          <w:sz w:val="18"/>
          <w:szCs w:val="18"/>
          <w:b w:val="1"/>
          <w:bCs w:val="1"/>
          <w:color w:val="auto"/>
        </w:rPr>
        <w:t>Controllable Operating Expenses</w:t>
      </w:r>
      <w:r>
        <w:rPr>
          <w:rFonts w:ascii="Arial" w:cs="Arial" w:eastAsia="Arial" w:hAnsi="Arial"/>
          <w:sz w:val="18"/>
          <w:szCs w:val="18"/>
          <w:color w:val="auto"/>
        </w:rPr>
        <w:t>” means all Operating Expenses except real estate taxes, utilities, snow and ice removal, expenses relating to limiting or preventing Infectious Conditions, and insurance premiums (such exceptions collectively referred to herein as the “</w:t>
      </w:r>
      <w:r>
        <w:rPr>
          <w:rFonts w:ascii="Arial" w:cs="Arial" w:eastAsia="Arial" w:hAnsi="Arial"/>
          <w:sz w:val="18"/>
          <w:szCs w:val="18"/>
          <w:b w:val="1"/>
          <w:bCs w:val="1"/>
          <w:color w:val="auto"/>
        </w:rPr>
        <w:t>Non-Controllable Operating</w:t>
      </w:r>
      <w:r>
        <w:rPr>
          <w:rFonts w:ascii="Arial" w:cs="Arial" w:eastAsia="Arial" w:hAnsi="Arial"/>
          <w:sz w:val="18"/>
          <w:szCs w:val="18"/>
          <w:color w:val="auto"/>
        </w:rPr>
        <w:t xml:space="preserve"> </w:t>
      </w:r>
      <w:r>
        <w:rPr>
          <w:rFonts w:ascii="Arial" w:cs="Arial" w:eastAsia="Arial" w:hAnsi="Arial"/>
          <w:sz w:val="18"/>
          <w:szCs w:val="18"/>
          <w:b w:val="1"/>
          <w:bCs w:val="1"/>
          <w:color w:val="auto"/>
        </w:rPr>
        <w:t>Expenses</w:t>
      </w:r>
      <w:r>
        <w:rPr>
          <w:rFonts w:ascii="Arial" w:cs="Arial" w:eastAsia="Arial" w:hAnsi="Arial"/>
          <w:sz w:val="18"/>
          <w:szCs w:val="18"/>
          <w:color w:val="auto"/>
        </w:rPr>
        <w:t>”).</w:t>
      </w:r>
    </w:p>
    <w:p>
      <w:pPr>
        <w:spacing w:after="0" w:line="198" w:lineRule="exact"/>
        <w:rPr>
          <w:sz w:val="20"/>
          <w:szCs w:val="20"/>
          <w:color w:val="auto"/>
        </w:rPr>
      </w:pPr>
    </w:p>
    <w:p>
      <w:pPr>
        <w:jc w:val="both"/>
        <w:ind w:left="332" w:right="320" w:firstLine="647"/>
        <w:spacing w:after="0" w:line="257" w:lineRule="auto"/>
        <w:rPr>
          <w:sz w:val="20"/>
          <w:szCs w:val="20"/>
          <w:color w:val="auto"/>
        </w:rPr>
      </w:pPr>
      <w:r>
        <w:rPr>
          <w:rFonts w:ascii="Arial" w:cs="Arial" w:eastAsia="Arial" w:hAnsi="Arial"/>
          <w:sz w:val="18"/>
          <w:szCs w:val="18"/>
          <w:color w:val="auto"/>
        </w:rPr>
        <w:t>Within 90 days after the end of each calendar year (or such longer period as may be reasonably required), Landlord shall furnish to Tenant a statement (an “</w:t>
      </w:r>
      <w:r>
        <w:rPr>
          <w:rFonts w:ascii="Arial" w:cs="Arial" w:eastAsia="Arial" w:hAnsi="Arial"/>
          <w:sz w:val="18"/>
          <w:szCs w:val="18"/>
          <w:b w:val="1"/>
          <w:bCs w:val="1"/>
          <w:color w:val="auto"/>
        </w:rPr>
        <w:t>Annual Statement</w:t>
      </w:r>
      <w:r>
        <w:rPr>
          <w:rFonts w:ascii="Arial" w:cs="Arial" w:eastAsia="Arial" w:hAnsi="Arial"/>
          <w:sz w:val="18"/>
          <w:szCs w:val="18"/>
          <w:color w:val="auto"/>
        </w:rPr>
        <w:t>”) showing in reasonable detail: (a) the total and Tenant’s Share of actual Operating Expenses for the previous calendar year, and</w:t>
      </w:r>
    </w:p>
    <w:p>
      <w:pPr>
        <w:spacing w:after="0" w:line="1" w:lineRule="exact"/>
        <w:rPr>
          <w:sz w:val="20"/>
          <w:szCs w:val="20"/>
          <w:color w:val="auto"/>
        </w:rPr>
      </w:pPr>
    </w:p>
    <w:p>
      <w:pPr>
        <w:jc w:val="both"/>
        <w:ind w:left="-8" w:firstLine="8"/>
        <w:spacing w:after="0" w:line="254" w:lineRule="auto"/>
        <w:tabs>
          <w:tab w:leader="none" w:pos="2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32"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-239395</wp:posOffset>
            </wp:positionV>
            <wp:extent cx="702945" cy="2571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32"/>
          </w:cols>
          <w:pgMar w:left="328" w:top="188" w:right="339" w:bottom="1440" w:gutter="0" w:footer="0" w:header="0"/>
        </w:sectPr>
      </w:pPr>
    </w:p>
    <w:bookmarkStart w:id="175" w:name="page176"/>
    <w:bookmarkEnd w:id="175"/>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7</w:t>
      </w:r>
    </w:p>
    <w:p>
      <w:pPr>
        <w:spacing w:after="0" w:line="200" w:lineRule="exact"/>
        <w:rPr>
          <w:sz w:val="20"/>
          <w:szCs w:val="20"/>
          <w:color w:val="auto"/>
        </w:rPr>
      </w:pPr>
    </w:p>
    <w:p>
      <w:pPr>
        <w:spacing w:after="0" w:line="3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that after the expiration, or earlier termination of the Term or if Tenant is delinquent in its obligation to pay Rent, Landlord shall pay the excess to Tenant after deducting all other amounts due Landlord.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40" w:right="320" w:firstLine="647"/>
        <w:spacing w:after="0" w:line="252" w:lineRule="auto"/>
        <w:rPr>
          <w:sz w:val="20"/>
          <w:szCs w:val="20"/>
          <w:color w:val="auto"/>
        </w:rPr>
      </w:pPr>
      <w:r>
        <w:rPr>
          <w:rFonts w:ascii="Arial" w:cs="Arial" w:eastAsia="Arial" w:hAnsi="Arial"/>
          <w:sz w:val="18"/>
          <w:szCs w:val="18"/>
          <w:color w:val="auto"/>
        </w:rPr>
        <w:t>The Annual Statement shall be final and binding upon Tenant unless Tenant, within 60 days after Tenant’s receipt thereof, shall contest any item therein by giving written notice to Landlord, specifying each item contested and the reason therefor. If, during such 60 day period, Tenant reasonably and in good faith questions or contests the accuracy of Landlord’s statement of Tenant’s Share of Operating Expenses, Landlord will provide Tenant with access (in the Washington D.C., metropolitan area) to Landlord’s books and records relating to the operation of the Project and such information as Landlord reasonably determines to be responsive to Tenant’s questions (“</w:t>
      </w:r>
      <w:r>
        <w:rPr>
          <w:rFonts w:ascii="Arial" w:cs="Arial" w:eastAsia="Arial" w:hAnsi="Arial"/>
          <w:sz w:val="18"/>
          <w:szCs w:val="18"/>
          <w:b w:val="1"/>
          <w:bCs w:val="1"/>
          <w:color w:val="auto"/>
        </w:rPr>
        <w:t>Expense Information</w:t>
      </w:r>
      <w:r>
        <w:rPr>
          <w:rFonts w:ascii="Arial" w:cs="Arial" w:eastAsia="Arial" w:hAnsi="Arial"/>
          <w:sz w:val="18"/>
          <w:szCs w:val="18"/>
          <w:color w:val="auto"/>
        </w:rPr>
        <w:t>”). If after Tenant’s review of such Expense Information, Landlord and Tenant cannot agree upon the amount of Tenant’s Share of Operating Expenses, then Tenant shall have the right to have an independent public accounting firm (or a real estate services firm) selected by Tenant that has a regional or national presence, working pursuant to a fee arrangement other than a contingent fee (at Tenant’s sole cost and expense) and approved by Landlord (which approval shall not be unreasonably withheld or delayed), audit and/or review the Expense Information for the year in question (“</w:t>
      </w:r>
      <w:r>
        <w:rPr>
          <w:rFonts w:ascii="Arial" w:cs="Arial" w:eastAsia="Arial" w:hAnsi="Arial"/>
          <w:sz w:val="18"/>
          <w:szCs w:val="18"/>
          <w:b w:val="1"/>
          <w:bCs w:val="1"/>
          <w:color w:val="auto"/>
        </w:rPr>
        <w:t>Independent Review</w:t>
      </w:r>
      <w:r>
        <w:rPr>
          <w:rFonts w:ascii="Arial" w:cs="Arial" w:eastAsia="Arial" w:hAnsi="Arial"/>
          <w:sz w:val="18"/>
          <w:szCs w:val="18"/>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212" w:lineRule="exact"/>
        <w:rPr>
          <w:sz w:val="20"/>
          <w:szCs w:val="20"/>
          <w:color w:val="auto"/>
        </w:rPr>
      </w:pPr>
    </w:p>
    <w:p>
      <w:pPr>
        <w:jc w:val="both"/>
        <w:ind w:left="340" w:right="320" w:firstLine="647"/>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in the Basic Lease Provisions as Tenant’s Share as reasonably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by Landlord for changes in the physical size of the Premises or the Project occurring thereafter</w:t>
      </w:r>
      <w:r>
        <w:rPr>
          <w:rFonts w:ascii="Arial" w:cs="Arial" w:eastAsia="Arial" w:hAnsi="Arial"/>
          <w:sz w:val="18"/>
          <w:szCs w:val="18"/>
          <w:i w:val="1"/>
          <w:iCs w:val="1"/>
          <w:color w:val="auto"/>
        </w:rPr>
        <w:t>.</w:t>
      </w:r>
      <w:r>
        <w:rPr>
          <w:rFonts w:ascii="Arial" w:cs="Arial" w:eastAsia="Arial" w:hAnsi="Arial"/>
          <w:sz w:val="18"/>
          <w:szCs w:val="18"/>
          <w:color w:val="auto"/>
        </w:rPr>
        <w:t xml:space="preserve">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12" w:lineRule="exact"/>
        <w:rPr>
          <w:sz w:val="20"/>
          <w:szCs w:val="20"/>
          <w:color w:val="auto"/>
        </w:rPr>
      </w:pPr>
    </w:p>
    <w:p>
      <w:pPr>
        <w:jc w:val="both"/>
        <w:ind w:left="340" w:firstLine="647"/>
        <w:spacing w:after="0" w:line="255" w:lineRule="auto"/>
        <w:rPr>
          <w:sz w:val="20"/>
          <w:szCs w:val="20"/>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Tenant shall deposit with Landlord, upon delivery of an executed copy of this Lease to Landlord, 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in the Basic Lease Provisions, which Security Deposit shall be in the form of an unconditional and irrevocable letter of credit (“</w:t>
      </w:r>
      <w:r>
        <w:rPr>
          <w:rFonts w:ascii="Arial" w:cs="Arial" w:eastAsia="Arial" w:hAnsi="Arial"/>
          <w:sz w:val="18"/>
          <w:szCs w:val="18"/>
          <w:b w:val="1"/>
          <w:bCs w:val="1"/>
          <w:color w:val="auto"/>
        </w:rPr>
        <w:t>Letter of Credit</w:t>
      </w:r>
      <w:r>
        <w:rPr>
          <w:rFonts w:ascii="Arial" w:cs="Arial" w:eastAsia="Arial" w:hAnsi="Arial"/>
          <w:sz w:val="18"/>
          <w:szCs w:val="18"/>
          <w:color w:val="auto"/>
        </w:rPr>
        <w:t>”): (i) in form and substance satisfactory to Landlord, (ii) naming Landlord as beneficiary, (iii) expressly allowing Landlord to draw upon it at any time from time to time by delivering to the issuer notice that a Default is continuing and Landlord is entitled to draw thereunder, (iv) issued by an FDIC-insured financial institution satisfactory to Landlord, and (v) redeemable by presentation of a sight draft in the State of Maryland.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4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-246380</wp:posOffset>
            </wp:positionV>
            <wp:extent cx="702945" cy="257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76" w:name="page177"/>
    <w:bookmarkEnd w:id="176"/>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8</w:t>
      </w:r>
    </w:p>
    <w:p>
      <w:pPr>
        <w:spacing w:after="0" w:line="200" w:lineRule="exact"/>
        <w:rPr>
          <w:sz w:val="20"/>
          <w:szCs w:val="20"/>
          <w:color w:val="auto"/>
        </w:rPr>
      </w:pPr>
    </w:p>
    <w:p>
      <w:pPr>
        <w:spacing w:after="0" w:line="36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 xml:space="preserve">Deposit. The Security Deposit shall be held by Landlord as security for the performance of Tenant’s obligations under this Lease. Upon each occurrence of a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Landlord may use all or any part of the Security Deposit to pay delinquent payments due under this Lease, and the cost of any damage, injury, expense or liability caused by such Default, without prejudice to any other remedy provided herein or provided by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340" w:right="320"/>
        <w:spacing w:after="0" w:line="253" w:lineRule="auto"/>
        <w:rPr>
          <w:sz w:val="20"/>
          <w:szCs w:val="20"/>
          <w:color w:val="auto"/>
        </w:rPr>
      </w:pPr>
      <w:r>
        <w:rPr>
          <w:rFonts w:ascii="Arial" w:cs="Arial" w:eastAsia="Arial" w:hAnsi="Arial"/>
          <w:sz w:val="18"/>
          <w:szCs w:val="18"/>
          <w:color w:val="auto"/>
        </w:rPr>
        <w:t>law. Upon any such use of all or any portion of the Security Deposit, Tenant shall pay Landlord within 5 business days after written demand the amount that will restore the Security Deposit (by posting a replacement or amended Letter of Credit) to the amount set forth in the Basic Lease Provisions.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involving Tenant, the Security Deposit shall be deemed to be applied first to the payment of Rent and other charges due Landlord for periods prior to the filing of such proceedings. Upon any such use of all or any portion of the Security Deposit, Tenant shall, within 5 business days after demand from Landlord, restore the Security Deposit to its original amount (by posting a replacement or amended Letter of Credit).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212" w:lineRule="exact"/>
        <w:rPr>
          <w:sz w:val="20"/>
          <w:szCs w:val="20"/>
          <w:color w:val="auto"/>
        </w:rPr>
      </w:pPr>
    </w:p>
    <w:p>
      <w:pPr>
        <w:jc w:val="both"/>
        <w:ind w:left="340" w:right="320" w:firstLine="647"/>
        <w:spacing w:after="0" w:line="256"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223" w:lineRule="exact"/>
        <w:rPr>
          <w:sz w:val="20"/>
          <w:szCs w:val="20"/>
          <w:color w:val="auto"/>
        </w:rPr>
      </w:pPr>
    </w:p>
    <w:p>
      <w:pPr>
        <w:jc w:val="both"/>
        <w:ind w:left="340" w:right="320" w:firstLine="639"/>
        <w:spacing w:after="0" w:line="247" w:lineRule="auto"/>
        <w:tabs>
          <w:tab w:leader="none" w:pos="1299"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The Premises shall be used solely for the Permitted Use set forth in the Basic Lease Provisions, and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laws, orders, judgments, ordinances, regulations, codes, directives, permits, licenses, covenants and restrictions now or hereafter applicable to the Premises, and to the use and occupancy thereof, including, without limitation, the Americans With Disabilities Act, 42</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U.S.C. § 12101, et seq.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(collectively, “</w:t>
      </w:r>
      <w:r>
        <w:rPr>
          <w:rFonts w:ascii="Arial" w:cs="Arial" w:eastAsia="Arial" w:hAnsi="Arial"/>
          <w:sz w:val="18"/>
          <w:szCs w:val="18"/>
          <w:b w:val="1"/>
          <w:bCs w:val="1"/>
          <w:color w:val="auto"/>
        </w:rPr>
        <w:t>Legal 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xml:space="preserve">”). Tenant shall, upon 5 days’ written notice from Landlord, discontinue any use of the Premises that is declared by any Governmental Authority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Notwithstanding the foregoing, Landlord expressly acknowledges and agrees that Tenant’s use of the Premises for research and development, laboratory, manufacturing, and general office purposes in accordance with Legal Requirements shall not be deemed to void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4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-246380</wp:posOffset>
            </wp:positionV>
            <wp:extent cx="702945" cy="2571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77" w:name="page178"/>
    <w:bookmarkEnd w:id="177"/>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9</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340" w:right="320"/>
        <w:spacing w:after="0" w:line="259" w:lineRule="auto"/>
        <w:rPr>
          <w:sz w:val="20"/>
          <w:szCs w:val="20"/>
          <w:color w:val="auto"/>
        </w:rPr>
      </w:pPr>
      <w:r>
        <w:rPr>
          <w:rFonts w:ascii="Arial" w:cs="Arial" w:eastAsia="Arial" w:hAnsi="Arial"/>
          <w:sz w:val="18"/>
          <w:szCs w:val="18"/>
          <w:color w:val="auto"/>
        </w:rPr>
        <w:t>move such items through the Common Areas of the Project or in the Project elevators without the prior written consent of Landlord (which consent shall not be unreasonably withheld, conditioned, or delayed). Except as may be provided under the Work Letter, Tenant shall not, without the prior written consent of Landlord, use the Premises in any manner that will require ventilation, air exchange, heating, gas, steam, electricity or water beyond the existing capacity of the Project as proportionately allocated to the Premises based upon Tenant’s Share as usually furnished for the Permitted Use.</w:t>
      </w:r>
    </w:p>
    <w:p>
      <w:pPr>
        <w:spacing w:after="0" w:line="206" w:lineRule="exact"/>
        <w:rPr>
          <w:sz w:val="20"/>
          <w:szCs w:val="20"/>
          <w:color w:val="auto"/>
        </w:rPr>
      </w:pPr>
    </w:p>
    <w:p>
      <w:pPr>
        <w:jc w:val="both"/>
        <w:ind w:left="340" w:right="320" w:firstLine="639"/>
        <w:spacing w:after="0" w:line="253" w:lineRule="auto"/>
        <w:tabs>
          <w:tab w:leader="none" w:pos="1301"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Modifications to Common Areas</w:t>
      </w:r>
      <w:r>
        <w:rPr>
          <w:rFonts w:ascii="Arial" w:cs="Arial" w:eastAsia="Arial" w:hAnsi="Arial"/>
          <w:sz w:val="18"/>
          <w:szCs w:val="18"/>
          <w:color w:val="auto"/>
        </w:rPr>
        <w:t>. Landlord shall, as an Operating Expense (to the extent such Legal Requirement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applicable to similar buildings in the area in which the Project is located) or at Tenant’s expense (to the extent such Legal Requirement is applicable solely by reason of Tenant’s, as compared to other tenants of the Project, particular use of the Premises) make any alterations or modifications to the Common Areas or the exterior of the Building that are required by Legal Requirements, including the ADA. Tenant, at its sole expense, shall make any alterations or modifications to the interior of the Premises that are required by Legal Requirements (including, without limitation, compliance of the Premises with the ADA).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any failure of the Premises to comply with any Legal Requirements, and Tenant shall indemnify, defend, hold and save Landlord harmless from and against any and all Claims arising out of or in connection with any failure of the Premises to comply with any Legal Requirement.</w:t>
      </w:r>
    </w:p>
    <w:p>
      <w:pPr>
        <w:spacing w:after="0" w:line="230" w:lineRule="exact"/>
        <w:rPr>
          <w:rFonts w:ascii="Arial" w:cs="Arial" w:eastAsia="Arial" w:hAnsi="Arial"/>
          <w:sz w:val="18"/>
          <w:szCs w:val="18"/>
          <w:color w:val="auto"/>
        </w:rPr>
      </w:pPr>
    </w:p>
    <w:p>
      <w:pPr>
        <w:jc w:val="both"/>
        <w:ind w:left="340" w:right="320" w:firstLine="639"/>
        <w:spacing w:after="0" w:line="256" w:lineRule="auto"/>
        <w:tabs>
          <w:tab w:leader="none" w:pos="1301"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Shared Lab Area</w:t>
      </w:r>
      <w:r>
        <w:rPr>
          <w:rFonts w:ascii="Arial" w:cs="Arial" w:eastAsia="Arial" w:hAnsi="Arial"/>
          <w:sz w:val="18"/>
          <w:szCs w:val="18"/>
          <w:color w:val="auto"/>
        </w:rPr>
        <w:t>. Tenant shall have a non-exclusive license to use that portion of the Building identified on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Shared Lab Area</w:t>
      </w:r>
      <w:r>
        <w:rPr>
          <w:rFonts w:ascii="Arial" w:cs="Arial" w:eastAsia="Arial" w:hAnsi="Arial"/>
          <w:sz w:val="18"/>
          <w:szCs w:val="18"/>
          <w:color w:val="auto"/>
        </w:rPr>
        <w:t>” in accordance with the Legal Requirements and the terms and conditions of this paragraph. The Shared Lab Area contains certain equipment, furnishings, systems, and personal property, including a glass washer and autoclave (collectively, the “</w:t>
      </w:r>
      <w:r>
        <w:rPr>
          <w:rFonts w:ascii="Arial" w:cs="Arial" w:eastAsia="Arial" w:hAnsi="Arial"/>
          <w:sz w:val="18"/>
          <w:szCs w:val="18"/>
          <w:b w:val="1"/>
          <w:bCs w:val="1"/>
          <w:color w:val="auto"/>
        </w:rPr>
        <w:t>Shared Lab Systems</w:t>
      </w:r>
      <w:r>
        <w:rPr>
          <w:rFonts w:ascii="Arial" w:cs="Arial" w:eastAsia="Arial" w:hAnsi="Arial"/>
          <w:sz w:val="18"/>
          <w:szCs w:val="18"/>
          <w:color w:val="auto"/>
        </w:rPr>
        <w:t xml:space="preserve">”). The license granted hereby is personal to Tenant and shall not be assigned or otherwise pledged or transferred, directly or indirectly, except in connection with a Permitted Assignment and otherwise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In the case of a Permitted Assignment involving an assignment of this Lease (as distinct from a sublease), the assignor shall have no further right to use the Shared Lab Area and the Shared Lab Systems.</w:t>
      </w:r>
    </w:p>
    <w:p>
      <w:pPr>
        <w:spacing w:after="0" w:line="223" w:lineRule="exact"/>
        <w:rPr>
          <w:sz w:val="20"/>
          <w:szCs w:val="20"/>
          <w:color w:val="auto"/>
        </w:rPr>
      </w:pPr>
    </w:p>
    <w:p>
      <w:pPr>
        <w:jc w:val="both"/>
        <w:ind w:left="340" w:right="320" w:firstLine="639"/>
        <w:spacing w:after="0" w:line="262" w:lineRule="auto"/>
        <w:tabs>
          <w:tab w:leader="none" w:pos="1309"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Relocation/Modification of Shared Lab Area</w:t>
      </w:r>
      <w:r>
        <w:rPr>
          <w:rFonts w:ascii="Arial" w:cs="Arial" w:eastAsia="Arial" w:hAnsi="Arial"/>
          <w:sz w:val="18"/>
          <w:szCs w:val="18"/>
          <w:color w:val="auto"/>
        </w:rPr>
        <w:t>. Landlord shall make the Shared Lab Area available for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use during the Term subject to Landlord’s right at any time and from time to time in the exercise of its sole and absolute subjective discretion to reconfigure, relocate, or modify the Shared Lab Area and to revise or expand any of the Shared Lab Systems.</w:t>
      </w:r>
    </w:p>
    <w:p>
      <w:pPr>
        <w:spacing w:after="0" w:line="203" w:lineRule="exact"/>
        <w:rPr>
          <w:rFonts w:ascii="Arial" w:cs="Arial" w:eastAsia="Arial" w:hAnsi="Arial"/>
          <w:sz w:val="18"/>
          <w:szCs w:val="18"/>
          <w:color w:val="auto"/>
        </w:rPr>
      </w:pPr>
    </w:p>
    <w:p>
      <w:pPr>
        <w:jc w:val="both"/>
        <w:ind w:left="340" w:right="320" w:firstLine="639"/>
        <w:spacing w:after="0" w:line="262" w:lineRule="auto"/>
        <w:tabs>
          <w:tab w:leader="none" w:pos="130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Interference</w:t>
      </w:r>
      <w:r>
        <w:rPr>
          <w:rFonts w:ascii="Arial" w:cs="Arial" w:eastAsia="Arial" w:hAnsi="Arial"/>
          <w:sz w:val="18"/>
          <w:szCs w:val="18"/>
          <w:color w:val="auto"/>
        </w:rPr>
        <w:t>. Tenant shall use the Shared Lab Area and the Shared Lab Systems in a manner that will not interfere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of any tenants or occupants in the Building or the providers of the services associated with the Shared Lab Systems. Landlord assumes no responsibility for enforcing Tenant’s rights or for protecting the Shared Lab Area from any person or entity, including, but not limited to, other tenants or occupants of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74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702945" cy="2571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4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40"/>
          </w:cols>
          <w:pgMar w:left="320" w:top="188"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Suite 210, 20400 Century Boulevard—Vaccitech North America, Inc.—Page 10</w:t>
      </w:r>
    </w:p>
    <w:p>
      <w:pPr>
        <w:spacing w:after="0" w:line="200" w:lineRule="exact"/>
        <w:rPr>
          <w:sz w:val="20"/>
          <w:szCs w:val="20"/>
          <w:color w:val="auto"/>
        </w:rPr>
      </w:pPr>
    </w:p>
    <w:p>
      <w:pPr>
        <w:spacing w:after="0" w:line="363" w:lineRule="exact"/>
        <w:rPr>
          <w:sz w:val="20"/>
          <w:szCs w:val="20"/>
          <w:color w:val="auto"/>
        </w:rPr>
      </w:pPr>
    </w:p>
    <w:p>
      <w:pPr>
        <w:ind w:left="1580" w:hanging="640"/>
        <w:spacing w:after="0"/>
        <w:tabs>
          <w:tab w:leader="none" w:pos="15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Landlord’s sole obligation for providing the Shared Lab Systems shall be:</w:t>
      </w:r>
    </w:p>
    <w:p>
      <w:pPr>
        <w:spacing w:after="0" w:line="27" w:lineRule="exact"/>
        <w:rPr>
          <w:sz w:val="20"/>
          <w:szCs w:val="20"/>
          <w:color w:val="auto"/>
        </w:rPr>
      </w:pPr>
    </w:p>
    <w:p>
      <w:pPr>
        <w:jc w:val="both"/>
        <w:ind w:left="300" w:firstLine="647"/>
        <w:spacing w:after="0" w:line="253" w:lineRule="auto"/>
        <w:rPr>
          <w:sz w:val="20"/>
          <w:szCs w:val="20"/>
          <w:color w:val="auto"/>
        </w:rPr>
      </w:pPr>
      <w:r>
        <w:rPr>
          <w:rFonts w:ascii="Arial" w:cs="Arial" w:eastAsia="Arial" w:hAnsi="Arial"/>
          <w:sz w:val="18"/>
          <w:szCs w:val="18"/>
          <w:color w:val="auto"/>
        </w:rPr>
        <w:t>to provide the Shared Lab Systems as is determined by Landlord in the exercise of its sole and absolute subjective discretion, and (B) to contract with one or more third parties to maintain the Shared Lab Systems that are deemed by Landlord in the exercise of its sole and absolute subjective discretion to need periodic maintenance in accordance with the manufacturer’s or supplier’s standard guidelines or otherwise. During any period of replacement, repair, or maintenance of the Shared Lab Systems when they are not operational (including, but not limited to, any delays thereto due to the inability to obtain parts or replacements), Landlord shall have no obligation to provide Tenant with alternative, supplemental, temporary, or back-up Shared Lab Systems. The terms and provisions of this paragraph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00" w:right="320" w:firstLine="639"/>
        <w:spacing w:after="0" w:line="259" w:lineRule="auto"/>
        <w:tabs>
          <w:tab w:leader="none" w:pos="1264"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No Warranties</w:t>
      </w:r>
      <w:r>
        <w:rPr>
          <w:rFonts w:ascii="Arial" w:cs="Arial" w:eastAsia="Arial" w:hAnsi="Arial"/>
          <w:sz w:val="18"/>
          <w:szCs w:val="18"/>
          <w:color w:val="auto"/>
        </w:rPr>
        <w:t>. Landlord makes no warranties of any kind, express or implied, with respect to the Shared Lab Area and</w:t>
      </w:r>
      <w:r>
        <w:rPr>
          <w:rFonts w:ascii="Arial" w:cs="Arial" w:eastAsia="Arial" w:hAnsi="Arial"/>
          <w:sz w:val="18"/>
          <w:szCs w:val="18"/>
          <w:b w:val="1"/>
          <w:bCs w:val="1"/>
          <w:color w:val="auto"/>
        </w:rPr>
        <w:t xml:space="preserve"> </w:t>
      </w:r>
      <w:r>
        <w:rPr>
          <w:rFonts w:ascii="Arial" w:cs="Arial" w:eastAsia="Arial" w:hAnsi="Arial"/>
          <w:sz w:val="18"/>
          <w:szCs w:val="18"/>
          <w:color w:val="auto"/>
        </w:rPr>
        <w:t>Shared Lab Systems, and Landlord disclaims any such warranties. Without limiting the foregoing, Tenant expressly acknowledges and agrees that Landlord does not guaranty or warrant that the Shared Lab Systems will be operational at all times, will be of sufficient capacity to accommodate Tenant’s use thereof, will be free of Hazardous Materials, or will function or perform adequately, and Landlord shall not be liable for any damages resulting from the failure of the Shared Lab Systems.</w:t>
      </w:r>
    </w:p>
    <w:p>
      <w:pPr>
        <w:spacing w:after="0" w:line="219" w:lineRule="exact"/>
        <w:rPr>
          <w:rFonts w:ascii="Arial" w:cs="Arial" w:eastAsia="Arial" w:hAnsi="Arial"/>
          <w:sz w:val="18"/>
          <w:szCs w:val="18"/>
          <w:color w:val="auto"/>
        </w:rPr>
      </w:pPr>
    </w:p>
    <w:p>
      <w:pPr>
        <w:jc w:val="both"/>
        <w:ind w:left="300" w:right="320" w:firstLine="639"/>
        <w:spacing w:after="0" w:line="259" w:lineRule="auto"/>
        <w:tabs>
          <w:tab w:leader="none" w:pos="1265"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Other Lease Provisions</w:t>
      </w:r>
      <w:r>
        <w:rPr>
          <w:rFonts w:ascii="Arial" w:cs="Arial" w:eastAsia="Arial" w:hAnsi="Arial"/>
          <w:sz w:val="18"/>
          <w:szCs w:val="18"/>
          <w:color w:val="auto"/>
        </w:rPr>
        <w:t>. Although the Shared Lab Area does not form a part of the Premises,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 governing Tenant’s use, operation, and enjoyment of the Premises, (B) imposing obligations on Tenant for matters occurring in, on, within, or about the Premises or arising out of the use or occupancy of the Premises (including, but not limited to, those obligations relating to insurance, indemnification, Hazardous Materials Clearance, and environmental requirements), or (C) limiting Landlord’s liability, shall apply with equal force to Tenant’s use of the Shared Lab Area and the Shared Lab Systems.</w:t>
      </w:r>
    </w:p>
    <w:p>
      <w:pPr>
        <w:spacing w:after="0" w:line="219" w:lineRule="exact"/>
        <w:rPr>
          <w:rFonts w:ascii="Arial" w:cs="Arial" w:eastAsia="Arial" w:hAnsi="Arial"/>
          <w:sz w:val="18"/>
          <w:szCs w:val="18"/>
          <w:color w:val="auto"/>
        </w:rPr>
      </w:pPr>
    </w:p>
    <w:p>
      <w:pPr>
        <w:jc w:val="both"/>
        <w:ind w:left="300" w:right="320" w:firstLine="639"/>
        <w:spacing w:after="0" w:line="262" w:lineRule="auto"/>
        <w:tabs>
          <w:tab w:leader="none" w:pos="1264"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If Tenant Defaults in its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7(b)</w:t>
      </w:r>
      <w:r>
        <w:rPr>
          <w:rFonts w:ascii="Arial" w:cs="Arial" w:eastAsia="Arial" w:hAnsi="Arial"/>
          <w:sz w:val="18"/>
          <w:szCs w:val="18"/>
          <w:color w:val="auto"/>
        </w:rPr>
        <w:t>, Landlord shall have the right, in addition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and remedies available to Landlord for a Default by Tenant, to terminate immediately Tenant’s license to use the Shared Lab Area. The expiration or earlier termination of this Lease shall automatically terminate the license hereby granted to Tenant to so use the Shared Lab Area.</w:t>
      </w:r>
    </w:p>
    <w:p>
      <w:pPr>
        <w:spacing w:after="0" w:line="217" w:lineRule="exact"/>
        <w:rPr>
          <w:sz w:val="20"/>
          <w:szCs w:val="20"/>
          <w:color w:val="auto"/>
        </w:rPr>
      </w:pPr>
    </w:p>
    <w:p>
      <w:pPr>
        <w:jc w:val="both"/>
        <w:ind w:left="300" w:right="320" w:firstLine="639"/>
        <w:spacing w:after="0" w:line="255" w:lineRule="auto"/>
        <w:tabs>
          <w:tab w:leader="none" w:pos="1265"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Alexandria FitLab</w:t>
      </w:r>
      <w:r>
        <w:rPr>
          <w:rFonts w:ascii="Arial" w:cs="Arial" w:eastAsia="Arial" w:hAnsi="Arial"/>
          <w:sz w:val="18"/>
          <w:szCs w:val="18"/>
          <w:color w:val="auto"/>
        </w:rPr>
        <w:t>. As long as Tenant is not in Default, Tenant’s on-site employees shall have a non-exclusive license to</w:t>
      </w:r>
      <w:r>
        <w:rPr>
          <w:rFonts w:ascii="Arial" w:cs="Arial" w:eastAsia="Arial" w:hAnsi="Arial"/>
          <w:sz w:val="18"/>
          <w:szCs w:val="18"/>
          <w:b w:val="1"/>
          <w:bCs w:val="1"/>
          <w:color w:val="auto"/>
        </w:rPr>
        <w:t xml:space="preserve"> </w:t>
      </w:r>
      <w:r>
        <w:rPr>
          <w:rFonts w:ascii="Arial" w:cs="Arial" w:eastAsia="Arial" w:hAnsi="Arial"/>
          <w:sz w:val="18"/>
          <w:szCs w:val="18"/>
          <w:color w:val="auto"/>
        </w:rPr>
        <w:t>use on a complimentary basis the Alexandria FitLab located at 910 Clopper Road, Gaithersburg, Maryland that is owned by an affiliate of Landlord (“</w:t>
      </w:r>
      <w:r>
        <w:rPr>
          <w:rFonts w:ascii="Arial" w:cs="Arial" w:eastAsia="Arial" w:hAnsi="Arial"/>
          <w:sz w:val="18"/>
          <w:szCs w:val="18"/>
          <w:b w:val="1"/>
          <w:bCs w:val="1"/>
          <w:color w:val="auto"/>
        </w:rPr>
        <w:t>910 Clopper Landlord</w:t>
      </w:r>
      <w:r>
        <w:rPr>
          <w:rFonts w:ascii="Arial" w:cs="Arial" w:eastAsia="Arial" w:hAnsi="Arial"/>
          <w:sz w:val="18"/>
          <w:szCs w:val="18"/>
          <w:color w:val="auto"/>
        </w:rPr>
        <w:t>”). As of the Commencement Date, the Alexandria FitLab contains locker rooms and showers. Although the Alexandria FitLab does not form a part of the Premises, the provisions of this Lease</w:t>
      </w:r>
    </w:p>
    <w:p>
      <w:pPr>
        <w:spacing w:after="0" w:line="2" w:lineRule="exact"/>
        <w:rPr>
          <w:rFonts w:ascii="Arial" w:cs="Arial" w:eastAsia="Arial" w:hAnsi="Arial"/>
          <w:sz w:val="18"/>
          <w:szCs w:val="18"/>
          <w:color w:val="auto"/>
        </w:rPr>
      </w:pPr>
    </w:p>
    <w:p>
      <w:pPr>
        <w:jc w:val="both"/>
        <w:ind w:left="300" w:right="340" w:hanging="8"/>
        <w:spacing w:after="0" w:line="250" w:lineRule="auto"/>
        <w:tabs>
          <w:tab w:leader="none" w:pos="5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governing Tenant’s use, operation, and enjoyment of the Premises, (ii) imposing obligations on Tenant for matters occurring in, on, within, or about the Premises or arising out of the use or occupancy of the Premises (including, but not limited to, those obligations relating to insurance and indemnification), or</w:t>
      </w:r>
    </w:p>
    <w:p>
      <w:pPr>
        <w:spacing w:after="0" w:line="1" w:lineRule="exact"/>
        <w:rPr>
          <w:rFonts w:ascii="Arial" w:cs="Arial" w:eastAsia="Arial" w:hAnsi="Arial"/>
          <w:sz w:val="18"/>
          <w:szCs w:val="18"/>
          <w:color w:val="auto"/>
        </w:rPr>
      </w:pPr>
    </w:p>
    <w:p>
      <w:pPr>
        <w:jc w:val="both"/>
        <w:ind w:left="300" w:right="320" w:hanging="8"/>
        <w:spacing w:after="0" w:line="252" w:lineRule="auto"/>
        <w:tabs>
          <w:tab w:leader="none" w:pos="6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limiting Landlord’s liability, shall apply with equal force to Tenant’s use of the Alexandria FitLab. Landlord shall have the right at any time and from time to time in the exercise of its sole and absolute subjective discretion to reconfigure, relocate, or modify the Alexandria FitLab or modify its hours of availability for Tenant’s use so long as Landlord maintains the Alexandria FitLab throughout the Term in a first-class manner. Landlord or its designee may specifically condition the use of the Alexandria FitLab by any employee of Tenant upon such employee’s execution and delivery of the standard license, indemnification, and waiver agreement required by Landlord or, if applicable, any operator of the Alexandria FitLab. Tenant and its employees shall be required to comply with all of the rules, regulations, conditions, and scheduling procedures of the 910 Clopper Landlord in connection with the use of the Alexandria FitLab (including, but not limited to, the hours of operation of the Alexandria FitLab). As of the Commencement Date, Tenant shall cause the 910 Clopper Landlord to be named as an additional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Suite 210, 20400 Century Boulevard—Vaccitech North America, Inc.—Page 11</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59" w:lineRule="auto"/>
        <w:rPr>
          <w:sz w:val="20"/>
          <w:szCs w:val="20"/>
          <w:color w:val="auto"/>
        </w:rPr>
      </w:pPr>
      <w:r>
        <w:rPr>
          <w:rFonts w:ascii="Arial" w:cs="Arial" w:eastAsia="Arial" w:hAnsi="Arial"/>
          <w:sz w:val="18"/>
          <w:szCs w:val="18"/>
          <w:color w:val="auto"/>
        </w:rPr>
        <w:t xml:space="preserve">under the commercial general liability policy of insurance that Tenant is required to maintain under this Lease. If Tenant Defaults in its obligations under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Landlord shall have the right, in addition to any other rights and remedies available to Landlord for a Default by Tenant (excluding, however, the right to terminate this Lease solely on the basis of such Defaults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7(c)</w:t>
      </w:r>
      <w:r>
        <w:rPr>
          <w:rFonts w:ascii="Arial" w:cs="Arial" w:eastAsia="Arial" w:hAnsi="Arial"/>
          <w:sz w:val="18"/>
          <w:szCs w:val="18"/>
          <w:color w:val="auto"/>
        </w:rPr>
        <w:t>), to terminate immediately Tenant’s license to use the Alexandria FitLab. The expiration or earlier termination of this Lease shall automatically terminate the license hereby granted to Tenant to so use the Alexandria FitLab.</w:t>
      </w:r>
    </w:p>
    <w:p>
      <w:pPr>
        <w:spacing w:after="0" w:line="220" w:lineRule="exact"/>
        <w:rPr>
          <w:sz w:val="20"/>
          <w:szCs w:val="20"/>
          <w:color w:val="auto"/>
        </w:rPr>
      </w:pPr>
    </w:p>
    <w:p>
      <w:pPr>
        <w:jc w:val="both"/>
        <w:ind w:left="300" w:firstLine="647"/>
        <w:spacing w:after="0" w:line="262" w:lineRule="auto"/>
        <w:rPr>
          <w:sz w:val="20"/>
          <w:szCs w:val="20"/>
          <w:color w:val="auto"/>
        </w:rPr>
      </w:pPr>
      <w:r>
        <w:rPr>
          <w:rFonts w:ascii="Arial" w:cs="Arial" w:eastAsia="Arial" w:hAnsi="Arial"/>
          <w:sz w:val="18"/>
          <w:szCs w:val="18"/>
          <w:b w:val="1"/>
          <w:bCs w:val="1"/>
          <w:color w:val="auto"/>
        </w:rPr>
        <w:t>Loading Dock</w:t>
      </w:r>
      <w:r>
        <w:rPr>
          <w:rFonts w:ascii="Arial" w:cs="Arial" w:eastAsia="Arial" w:hAnsi="Arial"/>
          <w:sz w:val="18"/>
          <w:szCs w:val="18"/>
          <w:color w:val="auto"/>
        </w:rPr>
        <w:t>. The first floor of the Building contains a loading dock (“</w:t>
      </w:r>
      <w:r>
        <w:rPr>
          <w:rFonts w:ascii="Arial" w:cs="Arial" w:eastAsia="Arial" w:hAnsi="Arial"/>
          <w:sz w:val="18"/>
          <w:szCs w:val="18"/>
          <w:b w:val="1"/>
          <w:bCs w:val="1"/>
          <w:color w:val="auto"/>
        </w:rPr>
        <w:t>Loading Dock</w:t>
      </w:r>
      <w:r>
        <w:rPr>
          <w:rFonts w:ascii="Arial" w:cs="Arial" w:eastAsia="Arial" w:hAnsi="Arial"/>
          <w:sz w:val="18"/>
          <w:szCs w:val="18"/>
          <w:color w:val="auto"/>
        </w:rPr>
        <w:t>”). Tenant shall have a non-exclusive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to use the Loading Dock in common with other tenants in the Building in accordance with the Legal Requirements and the terms and conditions of this paragraph. The license granted hereby is personal to Tenant and shall not be assigned or otherwise pledged or transferred, directly or indirectly. Tenant shall use the Loading Dock in a manner that will not interfere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00" w:right="320"/>
        <w:spacing w:after="0" w:line="252" w:lineRule="auto"/>
        <w:rPr>
          <w:sz w:val="20"/>
          <w:szCs w:val="20"/>
          <w:color w:val="auto"/>
        </w:rPr>
      </w:pPr>
      <w:r>
        <w:rPr>
          <w:rFonts w:ascii="Arial" w:cs="Arial" w:eastAsia="Arial" w:hAnsi="Arial"/>
          <w:sz w:val="18"/>
          <w:szCs w:val="18"/>
          <w:color w:val="auto"/>
        </w:rPr>
        <w:t xml:space="preserve">with the rights of any tenants or occupants in the Building. Landlord assumes no responsibility for enforcing Tenant’s rights or for protecting the Loading Dock from any person or entity, including, but not limited to, other tenants or occupants of the Building. During any period of replacement, repair, or maintenance of the Loading Dock when it is not operational, Landlord shall have no obligation to provide Tenant with alternative, supplemental, temporary, or back-up loading docks. Landlord makes no warranties of any kind, express or implied, with respect to the Loading Dock, and Landlord disclaims any such warranties. Without limiting the foregoing, Tenant expressly acknowledges and agrees that Landlord does not guaranty or warrant that the Loading Dock will be operational at all times, will be of sufficient capacity to accommodate Tenant’s use thereof, will be free of Hazardous Materials, or will function or perform adequately, and Landlord shall not be liable for any damages resulting from the failure of the Loading Dock. Subject to the terms of this paragraph, Landlord shall maintain the Loading Dock in good working order throughout the Term. Although the Loading Dock does not form a part of the Premises, the provisions of this Lease (i) governing Tenant’s use, operation, and enjoyment of the Premises, (ii) imposing obligations on Tenant for matters occurring in, on, within, or about the Premises or arising out of the use or occupancy of the Premises (including, but not limited to, those obligations relating to insurance, indemnification, Hazardous Materials Clearance, and environmental requirements), or (iii) limiting Landlord’s liability, shall apply with equal force to Tenant’s use of the Loading Dock. If Tenant Defaults in its obligations under this </w:t>
      </w:r>
      <w:r>
        <w:rPr>
          <w:rFonts w:ascii="Arial" w:cs="Arial" w:eastAsia="Arial" w:hAnsi="Arial"/>
          <w:sz w:val="18"/>
          <w:szCs w:val="18"/>
          <w:u w:val="single" w:color="auto"/>
          <w:color w:val="auto"/>
        </w:rPr>
        <w:t>Section 7(d)</w:t>
      </w:r>
      <w:r>
        <w:rPr>
          <w:rFonts w:ascii="Arial" w:cs="Arial" w:eastAsia="Arial" w:hAnsi="Arial"/>
          <w:sz w:val="18"/>
          <w:szCs w:val="18"/>
          <w:color w:val="auto"/>
        </w:rPr>
        <w:t>, Landlord shall have the right, in addition to any other rights and remedies available to Landlord for a Default by Tenant, to terminate immediately Tenant’s license to use the Loading Dock. The expiration or earlier termination of this Lease shall automatically terminate the license hereby granted to Tenant to so use the Loading Dock. The terms and provisions of this paragraph shall survive the expiration or earlier termination of this Lease.</w:t>
      </w:r>
    </w:p>
    <w:p>
      <w:pPr>
        <w:spacing w:after="0" w:line="234" w:lineRule="exact"/>
        <w:rPr>
          <w:sz w:val="20"/>
          <w:szCs w:val="20"/>
          <w:color w:val="auto"/>
        </w:rPr>
      </w:pPr>
    </w:p>
    <w:p>
      <w:pPr>
        <w:jc w:val="both"/>
        <w:ind w:left="300" w:right="320" w:firstLine="639"/>
        <w:spacing w:after="0" w:line="253" w:lineRule="auto"/>
        <w:tabs>
          <w:tab w:leader="none" w:pos="1261"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Freight Elevator</w:t>
      </w:r>
      <w:r>
        <w:rPr>
          <w:rFonts w:ascii="Arial" w:cs="Arial" w:eastAsia="Arial" w:hAnsi="Arial"/>
          <w:sz w:val="18"/>
          <w:szCs w:val="18"/>
          <w:color w:val="auto"/>
        </w:rPr>
        <w:t>. Tenant shall have a non-exclusive license to use the freight elevator (“</w:t>
      </w:r>
      <w:r>
        <w:rPr>
          <w:rFonts w:ascii="Arial" w:cs="Arial" w:eastAsia="Arial" w:hAnsi="Arial"/>
          <w:sz w:val="18"/>
          <w:szCs w:val="18"/>
          <w:b w:val="1"/>
          <w:bCs w:val="1"/>
          <w:color w:val="auto"/>
        </w:rPr>
        <w:t>Freight Elevator</w:t>
      </w:r>
      <w:r>
        <w:rPr>
          <w:rFonts w:ascii="Arial" w:cs="Arial" w:eastAsia="Arial" w:hAnsi="Arial"/>
          <w:sz w:val="18"/>
          <w:szCs w:val="18"/>
          <w:color w:val="auto"/>
        </w:rPr>
        <w:t>”) in common</w:t>
      </w:r>
      <w:r>
        <w:rPr>
          <w:rFonts w:ascii="Arial" w:cs="Arial" w:eastAsia="Arial" w:hAnsi="Arial"/>
          <w:sz w:val="18"/>
          <w:szCs w:val="18"/>
          <w:b w:val="1"/>
          <w:bCs w:val="1"/>
          <w:color w:val="auto"/>
        </w:rPr>
        <w:t xml:space="preserve"> </w:t>
      </w:r>
      <w:r>
        <w:rPr>
          <w:rFonts w:ascii="Arial" w:cs="Arial" w:eastAsia="Arial" w:hAnsi="Arial"/>
          <w:sz w:val="18"/>
          <w:szCs w:val="18"/>
          <w:color w:val="auto"/>
        </w:rPr>
        <w:t>with other tenants in the Building in accordance with the Legal Requirements and the terms and conditions of this paragraph. The license granted hereby is personal to Tenant and shall not be assigned or otherwise pledged or transferred, directly or indirectly. Tenant shall use the Freight Elevator in a manner that will not interfere with the rights of any tenants or occupants in the Building. Landlord assumes no responsibility for enforcing Tenant’s rights or for protecting the Freight Elevator from any person or entity, including, but not limited to, other tenants or occupants of the Building. During any period of replacement, repair, or maintenance of the Freight Elevator when it is not operational, Landlord shall have no obligation to provide Tenant with alternative, supplemental, temporary, or back-up Freight Elevator. Landlord makes no warranties of any kind, express or implied, with respect to the Freight Elevator, and Landlord disclaims any such warranties. Subject to the terms of this paragraph, Landlord shall maintain the Freight Elevator in good working order throughout the Term. Without limiting the foregoing, Tenant expressly acknowledges and agrees that Landlord does not guaranty or warrant that the Freight Elevator will be operational at all times, will be of sufficient capacity to accommodate Tenant’s use thereof, will be free of Hazardous Materials, or will function or perform adequately,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Suite 210, 20400 Century Boulevard—Vaccitech North America, Inc.—Page 12</w:t>
      </w:r>
    </w:p>
    <w:p>
      <w:pPr>
        <w:spacing w:after="0" w:line="200" w:lineRule="exact"/>
        <w:rPr>
          <w:sz w:val="20"/>
          <w:szCs w:val="20"/>
          <w:color w:val="auto"/>
        </w:rPr>
      </w:pPr>
    </w:p>
    <w:p>
      <w:pPr>
        <w:spacing w:after="0" w:line="363" w:lineRule="exact"/>
        <w:rPr>
          <w:sz w:val="20"/>
          <w:szCs w:val="20"/>
          <w:color w:val="auto"/>
        </w:rPr>
      </w:pPr>
    </w:p>
    <w:p>
      <w:pPr>
        <w:ind w:left="300" w:right="320"/>
        <w:spacing w:after="0" w:line="263" w:lineRule="auto"/>
        <w:rPr>
          <w:sz w:val="20"/>
          <w:szCs w:val="20"/>
          <w:color w:val="auto"/>
        </w:rPr>
      </w:pPr>
      <w:r>
        <w:rPr>
          <w:rFonts w:ascii="Arial" w:cs="Arial" w:eastAsia="Arial" w:hAnsi="Arial"/>
          <w:sz w:val="18"/>
          <w:szCs w:val="18"/>
          <w:color w:val="auto"/>
        </w:rPr>
        <w:t>Landlord shall not be liable for any damages resulting from the failure of the Freight Elevator. Although the Freight Elevator does not form a part of the Premises, the provisions of this Lease</w:t>
      </w:r>
    </w:p>
    <w:p>
      <w:pPr>
        <w:spacing w:after="0" w:line="1" w:lineRule="exact"/>
        <w:rPr>
          <w:sz w:val="20"/>
          <w:szCs w:val="20"/>
          <w:color w:val="auto"/>
        </w:rPr>
      </w:pPr>
    </w:p>
    <w:p>
      <w:pPr>
        <w:jc w:val="both"/>
        <w:ind w:left="300" w:right="320" w:hanging="8"/>
        <w:spacing w:after="0" w:line="254" w:lineRule="auto"/>
        <w:tabs>
          <w:tab w:leader="none" w:pos="51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governing Tenant’s use, operation, and enjoyment of the Premises, (ii) imposing obligations on Tenant for matters occurring in, on, within, or about the Premises or arising out of the use or occupancy of the Premises (including, but not limited to, those obligations relating to insurance, indemnification, Hazardous Materials Clearance, and environmental requirements), or (iii) limiting Landlord’s liability, shall apply with equal force to Tenant’s use of the Freight Elevator. If Tenant Defaults in its obligations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7(e)</w:t>
      </w:r>
      <w:r>
        <w:rPr>
          <w:rFonts w:ascii="Arial" w:cs="Arial" w:eastAsia="Arial" w:hAnsi="Arial"/>
          <w:sz w:val="18"/>
          <w:szCs w:val="18"/>
          <w:color w:val="auto"/>
        </w:rPr>
        <w:t>, Landlord shall have the right, in addition to any other rights and remedies available to Landlord for a Default by Tenant, to terminate immediately Tenant’s license to use the Freight Elevator. The expiration or earlier termination of this Lease shall automatically terminate the license hereby granted to Tenant to so use the Freight Elevator. The terms and provisions of this paragraph shall survive the expiration or earlier termination of this Lease.</w:t>
      </w:r>
    </w:p>
    <w:p>
      <w:pPr>
        <w:spacing w:after="0" w:line="209" w:lineRule="exact"/>
        <w:rPr>
          <w:sz w:val="20"/>
          <w:szCs w:val="20"/>
          <w:color w:val="auto"/>
        </w:rPr>
      </w:pPr>
    </w:p>
    <w:p>
      <w:pPr>
        <w:jc w:val="both"/>
        <w:ind w:left="300" w:firstLine="647"/>
        <w:spacing w:after="0" w:line="273" w:lineRule="auto"/>
        <w:rPr>
          <w:sz w:val="20"/>
          <w:szCs w:val="20"/>
          <w:color w:val="auto"/>
        </w:rPr>
      </w:pPr>
      <w:r>
        <w:rPr>
          <w:rFonts w:ascii="Arial" w:cs="Arial" w:eastAsia="Arial" w:hAnsi="Arial"/>
          <w:sz w:val="18"/>
          <w:szCs w:val="18"/>
          <w:b w:val="1"/>
          <w:bCs w:val="1"/>
          <w:color w:val="auto"/>
        </w:rPr>
        <w:t>Break Room; Exterior Amenity Pavilion and Seating</w:t>
      </w:r>
      <w:r>
        <w:rPr>
          <w:rFonts w:ascii="Arial" w:cs="Arial" w:eastAsia="Arial" w:hAnsi="Arial"/>
          <w:sz w:val="18"/>
          <w:szCs w:val="18"/>
          <w:color w:val="auto"/>
        </w:rPr>
        <w:t>. As long as Tenant is not in Default, Tenant shall have the non-exclusive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to use the shared break room located in the Building and the exterior amenity pavilion and seating located within the Project (collectively, the “</w:t>
      </w:r>
      <w:r>
        <w:rPr>
          <w:rFonts w:ascii="Arial" w:cs="Arial" w:eastAsia="Arial" w:hAnsi="Arial"/>
          <w:sz w:val="18"/>
          <w:szCs w:val="18"/>
          <w:b w:val="1"/>
          <w:bCs w:val="1"/>
          <w:color w:val="auto"/>
        </w:rPr>
        <w:t>Amenities</w:t>
      </w:r>
      <w:r>
        <w:rPr>
          <w:rFonts w:ascii="Arial" w:cs="Arial" w:eastAsia="Arial" w:hAnsi="Arial"/>
          <w:sz w:val="18"/>
          <w:szCs w:val="18"/>
          <w:color w:val="auto"/>
        </w:rPr>
        <w:t>”) 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300" w:right="320"/>
        <w:spacing w:after="0" w:line="255" w:lineRule="auto"/>
        <w:rPr>
          <w:sz w:val="20"/>
          <w:szCs w:val="20"/>
          <w:color w:val="auto"/>
        </w:rPr>
      </w:pPr>
      <w:r>
        <w:rPr>
          <w:rFonts w:ascii="Arial" w:cs="Arial" w:eastAsia="Arial" w:hAnsi="Arial"/>
          <w:sz w:val="18"/>
          <w:szCs w:val="18"/>
          <w:color w:val="auto"/>
        </w:rPr>
        <w:t>the terms set forth in this paragraph. The Amenities shall be available to Tenant on a first come, first serve basis. Tenant shall cooperate with the other users of the Amenities to coordinate the use of the Amenities. Tenant shall use the Amenities in a manner that will not interfere with the rights of any tenants or occupants in the Project. Landlord shall maintain the Amenities in a first-class manner and at no additional cost to Tenant. Landlord assumes no responsibility for (i) monitoring the use of the Amenities,</w:t>
      </w:r>
    </w:p>
    <w:p>
      <w:pPr>
        <w:spacing w:after="0" w:line="2" w:lineRule="exact"/>
        <w:rPr>
          <w:sz w:val="20"/>
          <w:szCs w:val="20"/>
          <w:color w:val="auto"/>
        </w:rPr>
      </w:pPr>
    </w:p>
    <w:p>
      <w:pPr>
        <w:jc w:val="both"/>
        <w:ind w:left="300" w:right="320" w:hanging="8"/>
        <w:spacing w:after="0" w:line="253" w:lineRule="auto"/>
        <w:tabs>
          <w:tab w:leader="none" w:pos="58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resolving disputes that may arise concerning the use of the Amenities, or (iii) enforcing Tenant’s rights or for protecting the Amenities from any person or entity, including, but not limited to, other tenants or occupants of the Project. Landlord shall have the right at any time and from time to time in the exercise of its sole and absolute subjective discretion to eliminate, reconfigure, relocate, or modify the Amenities, it being understood and agreed that Landlord makes no guaranty, assurance, or representation to Tenant that the Amenities will remain available for use by Tenant during all or any part of the Term. Landlord reserves the right to relocate the Amenities to other space within the Project. Tenant shall promptly execute and deliver to Landlord any documentation that Landlord may reasonably request to document the modifications, elimination, or relocation set forth in this paragraph.</w:t>
      </w:r>
    </w:p>
    <w:p>
      <w:pPr>
        <w:spacing w:after="0" w:line="223" w:lineRule="exact"/>
        <w:rPr>
          <w:rFonts w:ascii="Arial" w:cs="Arial" w:eastAsia="Arial" w:hAnsi="Arial"/>
          <w:sz w:val="18"/>
          <w:szCs w:val="18"/>
          <w:color w:val="auto"/>
        </w:rPr>
      </w:pPr>
    </w:p>
    <w:p>
      <w:pPr>
        <w:jc w:val="both"/>
        <w:ind w:left="300" w:right="320" w:firstLine="639"/>
        <w:spacing w:after="0" w:line="253" w:lineRule="auto"/>
        <w:tabs>
          <w:tab w:leader="none" w:pos="1261"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Conference Rooms</w:t>
      </w:r>
      <w:r>
        <w:rPr>
          <w:rFonts w:ascii="Arial" w:cs="Arial" w:eastAsia="Arial" w:hAnsi="Arial"/>
          <w:sz w:val="18"/>
          <w:szCs w:val="18"/>
          <w:color w:val="auto"/>
        </w:rPr>
        <w:t>. As long as Tenant is not in Default, Tenant shall have the non-exclusive license to use the 2</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 rooms located in the Building (collectively, the “</w:t>
      </w:r>
      <w:r>
        <w:rPr>
          <w:rFonts w:ascii="Arial" w:cs="Arial" w:eastAsia="Arial" w:hAnsi="Arial"/>
          <w:sz w:val="18"/>
          <w:szCs w:val="18"/>
          <w:b w:val="1"/>
          <w:bCs w:val="1"/>
          <w:color w:val="auto"/>
        </w:rPr>
        <w:t>Conference Rooms</w:t>
      </w:r>
      <w:r>
        <w:rPr>
          <w:rFonts w:ascii="Arial" w:cs="Arial" w:eastAsia="Arial" w:hAnsi="Arial"/>
          <w:sz w:val="18"/>
          <w:szCs w:val="18"/>
          <w:color w:val="auto"/>
        </w:rPr>
        <w:t>”) on the terms set forth in this paragraph. The Conference Rooms shall be available to Tenant on a first come, first serve basis. To reserve the Conference Rooms for a specified time and date, Tenant shall use the reservation book for the Conference Rooms. Tenant shall cooperate with the other users of the Conference Rooms to coordinate the use of the Conference Rooms. Tenant shall use the Conference Rooms in a manner that will not interfere with the rights of any tenants or occupants in the Project. Landlord assumes no responsibility for (i) monitoring the use of the Conference Rooms,</w:t>
      </w:r>
    </w:p>
    <w:p>
      <w:pPr>
        <w:spacing w:after="0" w:line="2" w:lineRule="exact"/>
        <w:rPr>
          <w:rFonts w:ascii="Arial" w:cs="Arial" w:eastAsia="Arial" w:hAnsi="Arial"/>
          <w:sz w:val="18"/>
          <w:szCs w:val="18"/>
          <w:color w:val="auto"/>
        </w:rPr>
      </w:pPr>
    </w:p>
    <w:p>
      <w:pPr>
        <w:jc w:val="both"/>
        <w:ind w:left="300" w:right="320" w:hanging="8"/>
        <w:spacing w:after="0" w:line="252" w:lineRule="auto"/>
        <w:tabs>
          <w:tab w:leader="none" w:pos="55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resolving disputes that may arise concerning the use of the Conference Rooms, or (iii) enforcing Tenant’s rights or for protecting the Conference Rooms from any person or entity, including, but not limited to, other tenants or occupants of the Project. Landlord shall have the right at any time and from time to time in the exercise of its sole and absolute subjective discretion to eliminate, reconfigure, relocate, or modify the Conference Rooms, it being understood and agreed that Landlord makes no guaranty, assurance, or representation to Tenant that the Conference Rooms will remain available for use by Tenant during all or any part of the Term. Landlord reserves the right to relocate the Conference Rooms to other space within the Project. Tenant shall promptly execute and deliver to Landlord any documentation that Landlord may reasonably request to document the modifications, elimination, or relocation set forth in this paragraph. Subject to the terms of this paragraph, Landlord shall maintain the Conference Rooms in a fist class manner throughout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Suite 210, 20400 Century Boulevard—Vaccitech North America, Inc.—Page 13</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52" w:lineRule="auto"/>
        <w:tabs>
          <w:tab w:leader="none" w:pos="1259"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the 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200% of Rent in effect during the last 30 days of the Term, and</w:t>
      </w:r>
    </w:p>
    <w:p>
      <w:pPr>
        <w:spacing w:after="0" w:line="4" w:lineRule="exact"/>
        <w:rPr>
          <w:rFonts w:ascii="Arial" w:cs="Arial" w:eastAsia="Arial" w:hAnsi="Arial"/>
          <w:sz w:val="18"/>
          <w:szCs w:val="18"/>
          <w:color w:val="auto"/>
        </w:rPr>
      </w:pPr>
    </w:p>
    <w:p>
      <w:pPr>
        <w:jc w:val="both"/>
        <w:ind w:left="300" w:firstLine="647"/>
        <w:spacing w:after="0" w:line="253" w:lineRule="auto"/>
        <w:rPr>
          <w:rFonts w:ascii="Arial" w:cs="Arial" w:eastAsia="Arial" w:hAnsi="Arial"/>
          <w:sz w:val="18"/>
          <w:szCs w:val="18"/>
          <w:color w:val="auto"/>
        </w:rPr>
      </w:pPr>
      <w:r>
        <w:rPr>
          <w:rFonts w:ascii="Arial" w:cs="Arial" w:eastAsia="Arial" w:hAnsi="Arial"/>
          <w:sz w:val="18"/>
          <w:szCs w:val="18"/>
          <w:color w:val="auto"/>
        </w:rPr>
        <w:t>Tenant shall be responsible for all damages suffered by Landlord resulting from or occasioned by Tenant’s holding over (including consequential damages if Landlord has advised Tenant in writing in advance that a particular tenant has signed a new lease with Landlord for the Premises and any particular consequential damages that Landlord may incur or suffer under such new lease as a result of Tenant’s holding over, including, without limitation, consequential damages that Landlord may incur or suffer by reason of Landlord’s inability to lease the Premises or deliver occupancy to such particular tenant). Tenant shall pay Base Rent and Tenant’s Share of Operating Expenses on a per diem basis at such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300" w:right="340"/>
        <w:spacing w:after="0" w:line="262" w:lineRule="auto"/>
        <w:rPr>
          <w:sz w:val="20"/>
          <w:szCs w:val="20"/>
          <w:color w:val="auto"/>
        </w:rPr>
      </w:pPr>
      <w:r>
        <w:rPr>
          <w:rFonts w:ascii="Arial" w:cs="Arial" w:eastAsia="Arial" w:hAnsi="Arial"/>
          <w:sz w:val="18"/>
          <w:szCs w:val="18"/>
          <w:color w:val="auto"/>
        </w:rPr>
        <w:t xml:space="preserve">monthly rental rate for each day that Tenant so retains possession.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203" w:lineRule="exact"/>
        <w:rPr>
          <w:sz w:val="20"/>
          <w:szCs w:val="20"/>
          <w:color w:val="auto"/>
        </w:rPr>
      </w:pPr>
    </w:p>
    <w:p>
      <w:pPr>
        <w:jc w:val="both"/>
        <w:ind w:left="300" w:right="320" w:firstLine="639"/>
        <w:spacing w:after="0" w:line="255" w:lineRule="auto"/>
        <w:tabs>
          <w:tab w:leader="none" w:pos="1259"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of any kind, 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w:t>
      </w:r>
    </w:p>
    <w:p>
      <w:pPr>
        <w:spacing w:after="0" w:line="2" w:lineRule="exact"/>
        <w:rPr>
          <w:rFonts w:ascii="Arial" w:cs="Arial" w:eastAsia="Arial" w:hAnsi="Arial"/>
          <w:sz w:val="18"/>
          <w:szCs w:val="18"/>
          <w:color w:val="auto"/>
        </w:rPr>
      </w:pPr>
    </w:p>
    <w:p>
      <w:pPr>
        <w:jc w:val="both"/>
        <w:ind w:left="300" w:right="320" w:hanging="8"/>
        <w:spacing w:after="0" w:line="251" w:lineRule="auto"/>
        <w:tabs>
          <w:tab w:leader="none" w:pos="5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and any reduction in Taxes will be credited to the Operating Expenses during the Term or refunded to Tenant within 30 days if received after the expiration of the Term (which credit or refund shall be net of the costs and expenses [including attorneys’ fees] incurred by Landlord in obtaining any such reduction).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regardless of whether affixed to the real property so as to become a part thereof, higher than the base valuation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70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-239395</wp:posOffset>
            </wp:positionV>
            <wp:extent cx="702945"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Suite 210, 20400 Century Boulevard—Vaccitech North America, Inc.—Page 14</w:t>
      </w:r>
    </w:p>
    <w:p>
      <w:pPr>
        <w:spacing w:after="0" w:line="200" w:lineRule="exact"/>
        <w:rPr>
          <w:sz w:val="20"/>
          <w:szCs w:val="20"/>
          <w:color w:val="auto"/>
        </w:rPr>
      </w:pPr>
    </w:p>
    <w:p>
      <w:pPr>
        <w:spacing w:after="0" w:line="376" w:lineRule="exact"/>
        <w:rPr>
          <w:sz w:val="20"/>
          <w:szCs w:val="20"/>
          <w:color w:val="auto"/>
        </w:rPr>
      </w:pPr>
    </w:p>
    <w:p>
      <w:pPr>
        <w:jc w:val="both"/>
        <w:ind w:left="300" w:right="320"/>
        <w:spacing w:after="0" w:line="262" w:lineRule="auto"/>
        <w:rPr>
          <w:sz w:val="20"/>
          <w:szCs w:val="20"/>
          <w:color w:val="auto"/>
        </w:rPr>
      </w:pPr>
      <w:r>
        <w:rPr>
          <w:rFonts w:ascii="Arial" w:cs="Arial" w:eastAsia="Arial" w:hAnsi="Arial"/>
          <w:sz w:val="18"/>
          <w:szCs w:val="18"/>
          <w:color w:val="auto"/>
        </w:rPr>
        <w:t>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203" w:lineRule="exact"/>
        <w:rPr>
          <w:sz w:val="20"/>
          <w:szCs w:val="20"/>
          <w:color w:val="auto"/>
        </w:rPr>
      </w:pPr>
    </w:p>
    <w:p>
      <w:pPr>
        <w:jc w:val="both"/>
        <w:ind w:left="300" w:right="320" w:firstLine="639"/>
        <w:spacing w:after="0" w:line="255" w:lineRule="auto"/>
        <w:tabs>
          <w:tab w:leader="none" w:pos="1259"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all Legal Requirements, Force Majeure, a Taking, and the exercise by Landlord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Tenant shall have the right, at no additional charge and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 As of the Commencement Date, the current parking ratio is 2.5 standard sized spaces per 1,000 leased rentable square feet.</w:t>
      </w:r>
    </w:p>
    <w:p>
      <w:pPr>
        <w:spacing w:after="0" w:line="225" w:lineRule="exact"/>
        <w:rPr>
          <w:sz w:val="20"/>
          <w:szCs w:val="20"/>
          <w:color w:val="auto"/>
        </w:rPr>
      </w:pPr>
    </w:p>
    <w:p>
      <w:pPr>
        <w:jc w:val="both"/>
        <w:ind w:left="300" w:firstLine="647"/>
        <w:spacing w:after="0" w:line="262" w:lineRule="auto"/>
        <w:rPr>
          <w:sz w:val="20"/>
          <w:szCs w:val="20"/>
          <w:color w:val="auto"/>
        </w:rPr>
      </w:pPr>
      <w:r>
        <w:rPr>
          <w:rFonts w:ascii="Arial" w:cs="Arial" w:eastAsia="Arial" w:hAnsi="Arial"/>
          <w:sz w:val="18"/>
          <w:szCs w:val="18"/>
          <w:b w:val="1"/>
          <w:bCs w:val="1"/>
          <w:color w:val="auto"/>
        </w:rPr>
        <w:t>Electric Charging Stations</w:t>
      </w:r>
      <w:r>
        <w:rPr>
          <w:rFonts w:ascii="Arial" w:cs="Arial" w:eastAsia="Arial" w:hAnsi="Arial"/>
          <w:sz w:val="18"/>
          <w:szCs w:val="18"/>
          <w:color w:val="auto"/>
        </w:rPr>
        <w:t>. Subject to the terms of this paragraph, Tenant shall have a license to install at its sole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not more than 4 electric vehicle charging stations (“</w:t>
      </w:r>
      <w:r>
        <w:rPr>
          <w:rFonts w:ascii="Arial" w:cs="Arial" w:eastAsia="Arial" w:hAnsi="Arial"/>
          <w:sz w:val="18"/>
          <w:szCs w:val="18"/>
          <w:b w:val="1"/>
          <w:bCs w:val="1"/>
          <w:color w:val="auto"/>
        </w:rPr>
        <w:t>EV Charging Stations</w:t>
      </w:r>
      <w:r>
        <w:rPr>
          <w:rFonts w:ascii="Arial" w:cs="Arial" w:eastAsia="Arial" w:hAnsi="Arial"/>
          <w:sz w:val="18"/>
          <w:szCs w:val="18"/>
          <w:color w:val="auto"/>
        </w:rPr>
        <w:t>”) in a location reasonably designated by Landlord from time to time (which location shall not be in a premium location for parking spaces as determined by Landlord). The parking spaces used for the EV Charging Stations shall count against Tenant’s pro rata of parking as set forth in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00" w:right="320"/>
        <w:spacing w:after="0" w:line="252" w:lineRule="auto"/>
        <w:rPr>
          <w:sz w:val="20"/>
          <w:szCs w:val="20"/>
          <w:color w:val="auto"/>
        </w:rPr>
      </w:pPr>
      <w:r>
        <w:rPr>
          <w:rFonts w:ascii="Arial" w:cs="Arial" w:eastAsia="Arial" w:hAnsi="Arial"/>
          <w:sz w:val="18"/>
          <w:szCs w:val="18"/>
          <w:color w:val="auto"/>
        </w:rPr>
        <w:t>preceding paragraph. The EV Charging Stations will include electrical power and data and charging heads. Landlord makes no warranties of any kind, express or implied, with respect to the EV Charging Stations, and Landlord disclaims any such warranties. Without limiting the foregoing, Tenant expressly acknowledges and agrees that Landlord does not guaranty or warrant that the EV Charging Stations will be operational at all times, will be of sufficient capacity to accommodate Tenant’s use thereof, or will function or perform adequately, and Landlord shall not be liable for any damages resulting from the failure of the EV Charging Stations. Landlord shall have no obligation whatsoever to monitor or police the use of the EV Charging Stations. Tenant shall have the right to install signage indicating that the EV Charging Stations are for the exclusive use of Tenant and its employees, which signage shall be reasonably acceptable to Landlord. Tenant shall pay when due, as Additional Rent, the cost of all electricity consumed or used by the EV Charging Stations. Tenant shall install, operate, repair, and replace the EV Charging Stations in accordance with applicable Legal Requirements and in a good and workmanlike manner. During any period of replacement, repair, or maintenance of the EV Charging Stations when they are not operational (including, but not limited to, any delays thereto due to the inability to obtain parts or replacements), Landlord shall have no obligation to provide Tenant with alternative, supplemental, temporary, or back-up EV Charging Stations. The installation, modification, or replacement of any EV Charging Stations shall constitute an Alteration for purposes of this Lease. Tenant shall be responsible for obtaining any governmental permits or approvals for the installation of the EV Charging Stations. Although the EV Charging Stations do not form a part of the Premises, the provisions of this Lease (i) governing Tenant’s use, operation, and enjoyment of the Premises, (ii) imposing obligations on Tenant for matters occurring in, on, within, or about the Premises or arising out of the use or occupancy of the Premises (including, but not limited to, those obligations relating to insurance, indemnification, Hazardous Materials Clearance, and environmental requirements), or (iii) limiting Landlord’s liability, shall apply with equal force to Tenant’s use of the EV Charging Stations.</w:t>
      </w:r>
    </w:p>
    <w:p>
      <w:pPr>
        <w:spacing w:after="0" w:line="231" w:lineRule="exact"/>
        <w:rPr>
          <w:sz w:val="20"/>
          <w:szCs w:val="20"/>
          <w:color w:val="auto"/>
        </w:rPr>
      </w:pPr>
    </w:p>
    <w:p>
      <w:pPr>
        <w:ind w:left="1580" w:hanging="640"/>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300" w:right="320" w:firstLine="639"/>
        <w:spacing w:after="0" w:line="268" w:lineRule="auto"/>
        <w:tabs>
          <w:tab w:leader="none" w:pos="1261"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Landlord shall provide,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janitorial services to the Common Areas, water,</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electricity, heat, light, power, telephone, sewer, and other utilities (including gas and fire sprinklers to the extent the Project is plumbed for such services), and refuse and trash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83" w:name="page184"/>
    <w:bookmarkEnd w:id="183"/>
    <w:p>
      <w:pPr>
        <w:ind w:left="32"/>
        <w:spacing w:after="0"/>
        <w:rPr>
          <w:sz w:val="20"/>
          <w:szCs w:val="20"/>
          <w:color w:val="auto"/>
        </w:rPr>
      </w:pPr>
      <w:r>
        <w:rPr>
          <w:rFonts w:ascii="Arial" w:cs="Arial" w:eastAsia="Arial" w:hAnsi="Arial"/>
          <w:sz w:val="18"/>
          <w:szCs w:val="18"/>
          <w:b w:val="1"/>
          <w:bCs w:val="1"/>
          <w:color w:val="auto"/>
        </w:rPr>
        <w:t>Suite 210, 20400 Century Boulevard—Vaccitech North America, Inc.—Page 15</w:t>
      </w:r>
    </w:p>
    <w:p>
      <w:pPr>
        <w:spacing w:after="0" w:line="200" w:lineRule="exact"/>
        <w:rPr>
          <w:sz w:val="20"/>
          <w:szCs w:val="20"/>
          <w:color w:val="auto"/>
        </w:rPr>
      </w:pPr>
    </w:p>
    <w:p>
      <w:pPr>
        <w:spacing w:after="0" w:line="363" w:lineRule="exact"/>
        <w:rPr>
          <w:sz w:val="20"/>
          <w:szCs w:val="20"/>
          <w:color w:val="auto"/>
        </w:rPr>
      </w:pPr>
    </w:p>
    <w:p>
      <w:pPr>
        <w:jc w:val="both"/>
        <w:ind w:left="332" w:right="300"/>
        <w:spacing w:after="0" w:line="253" w:lineRule="auto"/>
        <w:rPr>
          <w:sz w:val="20"/>
          <w:szCs w:val="20"/>
          <w:color w:val="auto"/>
        </w:rPr>
      </w:pPr>
      <w:r>
        <w:rPr>
          <w:rFonts w:ascii="Arial" w:cs="Arial" w:eastAsia="Arial" w:hAnsi="Arial"/>
          <w:sz w:val="18"/>
          <w:szCs w:val="18"/>
          <w:color w:val="auto"/>
        </w:rPr>
        <w:t>collection (collectively, “</w:t>
      </w:r>
      <w:r>
        <w:rPr>
          <w:rFonts w:ascii="Arial" w:cs="Arial" w:eastAsia="Arial" w:hAnsi="Arial"/>
          <w:sz w:val="18"/>
          <w:szCs w:val="18"/>
          <w:b w:val="1"/>
          <w:bCs w:val="1"/>
          <w:color w:val="auto"/>
        </w:rPr>
        <w:t>Utilities</w:t>
      </w:r>
      <w:r>
        <w:rPr>
          <w:rFonts w:ascii="Arial" w:cs="Arial" w:eastAsia="Arial" w:hAnsi="Arial"/>
          <w:sz w:val="18"/>
          <w:szCs w:val="18"/>
          <w:color w:val="auto"/>
        </w:rPr>
        <w:t xml:space="preserve">”). The hours of operation of the Premises shall be 24 hours per day, 7 days per week inclusive of any legal holidays recognized by the federal government.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As of the Commencement Date, the electrical service for the Premises is separately submetered. Landlord may cause, at Tenant’s expense, any other Utilities to be separately metered or charged directly to Tenant by the provider. Tenant shall pay directly to the Utility provider, prior to delinquency, any separately metered Utilities and services that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except as provided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below, the abatement of Rent. Tenant agrees to limit use of water and sewer with respect to Common Areas to normal restroom use.</w:t>
      </w:r>
    </w:p>
    <w:p>
      <w:pPr>
        <w:spacing w:after="0" w:line="230" w:lineRule="exact"/>
        <w:rPr>
          <w:sz w:val="20"/>
          <w:szCs w:val="20"/>
          <w:color w:val="auto"/>
        </w:rPr>
      </w:pPr>
    </w:p>
    <w:p>
      <w:pPr>
        <w:jc w:val="both"/>
        <w:ind w:left="332" w:right="300" w:firstLine="639"/>
        <w:spacing w:after="0" w:line="254" w:lineRule="auto"/>
        <w:tabs>
          <w:tab w:leader="none" w:pos="1293"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Interruption of Essential Service</w:t>
      </w:r>
      <w:r>
        <w:rPr>
          <w:rFonts w:ascii="Arial" w:cs="Arial" w:eastAsia="Arial" w:hAnsi="Arial"/>
          <w:sz w:val="18"/>
          <w:szCs w:val="18"/>
          <w:color w:val="auto"/>
        </w:rPr>
        <w:t>. If (i) a stoppage of an Essential Service (as defined below) to the Premises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occur and such stoppage is due solely to the negligent acts or omissions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(ii) the Service Interruption continues for more than 5 consecutive business days after Landlord shall have received written notice thereof from Tenant, and</w:t>
      </w:r>
    </w:p>
    <w:p>
      <w:pPr>
        <w:spacing w:after="0" w:line="2" w:lineRule="exact"/>
        <w:rPr>
          <w:rFonts w:ascii="Arial" w:cs="Arial" w:eastAsia="Arial" w:hAnsi="Arial"/>
          <w:sz w:val="18"/>
          <w:szCs w:val="18"/>
          <w:color w:val="auto"/>
        </w:rPr>
      </w:pPr>
    </w:p>
    <w:p>
      <w:pPr>
        <w:ind w:left="-8" w:firstLine="8"/>
        <w:spacing w:after="0" w:line="266" w:lineRule="auto"/>
        <w:tabs>
          <w:tab w:leader="none" w:pos="28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as a result of such Service Interruption, the conduct of Tenant’s normal operations in the Premises are materially and adversely affected, </w:t>
      </w:r>
      <w:r>
        <w:rPr>
          <w:rFonts w:ascii="Arial" w:cs="Arial" w:eastAsia="Arial" w:hAnsi="Arial"/>
          <w:sz w:val="18"/>
          <w:szCs w:val="18"/>
          <w:u w:val="single" w:color="auto"/>
          <w:color w:val="auto"/>
        </w:rPr>
        <w:t>then</w:t>
      </w:r>
      <w:r>
        <w:rPr>
          <w:rFonts w:ascii="Arial" w:cs="Arial" w:eastAsia="Arial" w:hAnsi="Arial"/>
          <w:sz w:val="18"/>
          <w:szCs w:val="18"/>
          <w:color w:val="auto"/>
        </w:rPr>
        <w:t>, to the extent that such Service Interruption is covered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32" w:right="300"/>
        <w:spacing w:after="0" w:line="255" w:lineRule="auto"/>
        <w:rPr>
          <w:sz w:val="20"/>
          <w:szCs w:val="20"/>
          <w:color w:val="auto"/>
        </w:rPr>
      </w:pPr>
      <w:r>
        <w:rPr>
          <w:rFonts w:ascii="Arial" w:cs="Arial" w:eastAsia="Arial" w:hAnsi="Arial"/>
          <w:sz w:val="18"/>
          <w:szCs w:val="18"/>
          <w:color w:val="auto"/>
        </w:rPr>
        <w:t xml:space="preserve">rental interruption insurance carried by Landlord under this Lease, there shall be an abatement of 1 day’s Base Rent for each day during which the Service Interruption continues after such 5 business 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water, sewer, and electricity, but in each case only to the extent that Landlord has an obligation to provide same to Tenant under this Lease.</w:t>
      </w:r>
    </w:p>
    <w:p>
      <w:pPr>
        <w:spacing w:after="0" w:line="221" w:lineRule="exact"/>
        <w:rPr>
          <w:sz w:val="20"/>
          <w:szCs w:val="20"/>
          <w:color w:val="auto"/>
        </w:rPr>
      </w:pPr>
    </w:p>
    <w:p>
      <w:pPr>
        <w:jc w:val="both"/>
        <w:ind w:left="332" w:right="300" w:firstLine="639"/>
        <w:spacing w:after="0" w:line="253" w:lineRule="auto"/>
        <w:tabs>
          <w:tab w:leader="none" w:pos="1297"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Emergency Generator</w:t>
      </w:r>
      <w:r>
        <w:rPr>
          <w:rFonts w:ascii="Arial" w:cs="Arial" w:eastAsia="Arial" w:hAnsi="Arial"/>
          <w:sz w:val="18"/>
          <w:szCs w:val="18"/>
          <w:color w:val="auto"/>
        </w:rPr>
        <w:t>. Landlord’s sole obligation for either providing an emergency generator (“</w:t>
      </w:r>
      <w:r>
        <w:rPr>
          <w:rFonts w:ascii="Arial" w:cs="Arial" w:eastAsia="Arial" w:hAnsi="Arial"/>
          <w:sz w:val="18"/>
          <w:szCs w:val="18"/>
          <w:b w:val="1"/>
          <w:bCs w:val="1"/>
          <w:color w:val="auto"/>
        </w:rPr>
        <w:t>Emergency Generator</w:t>
      </w:r>
      <w:r>
        <w:rPr>
          <w:rFonts w:ascii="Arial" w:cs="Arial" w:eastAsia="Arial" w:hAnsi="Arial"/>
          <w:sz w:val="18"/>
          <w:szCs w:val="18"/>
          <w:color w:val="auto"/>
        </w:rPr>
        <w:t>”) or providing emergency back-up power to Tenant shall be: (i) to provide an Emergency Generator with not less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stated capacity of the Emergency Generator located in the Building as of the Commencement Date (not less than 3.5 watts per rentable square foot), and (ii) to contract with a third party to maintain the Emergency Generator as per the manufacturer’s standard maintenance guidelines. Landlord shall have no obligation to provide Tenant with an operational Emergency Generator or back-up power or to supervise, oversee or confirm that the third party maintaining the Emergency Generator is maintaining the Emergency Generator as per the manufacturer’s standard guidelines or otherwise. Notwithstanding the foregoing, if Landlord plans any replacement, repair, or maintenance of the Emergency Generator or discovers the Emergency Generator is not functioning properly, Landlord shall use commercially reasonable efforts to provide Tenant with notice (e-mail notice shall suffice as long as Tenant has provided Landlord with the current e-mail address to be used for this notification) of such planned or unplanned outage. During any period of replacement, repair or maintenance of the Emergency Generator when the Emergency Generator is not operational, including any delays thereto due to the inability to obtain parts or replacement equipment, Landlord shall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32" w:right="6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-246380</wp:posOffset>
            </wp:positionV>
            <wp:extent cx="702945" cy="2571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12"/>
          </w:cols>
          <w:pgMar w:left="328" w:top="188"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Suite 210, 20400 Century Boulevard—Vaccitech North America, Inc.—Page 16</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54" w:lineRule="auto"/>
        <w:rPr>
          <w:sz w:val="20"/>
          <w:szCs w:val="20"/>
          <w:color w:val="auto"/>
        </w:rPr>
      </w:pPr>
      <w:r>
        <w:rPr>
          <w:rFonts w:ascii="Arial" w:cs="Arial" w:eastAsia="Arial" w:hAnsi="Arial"/>
          <w:sz w:val="18"/>
          <w:szCs w:val="18"/>
          <w:color w:val="auto"/>
        </w:rPr>
        <w:t>obligation to provide Tenant with an alternative back-up generator or generators or alternative sources of back-up power. Tenant expressly acknowledges and agrees that Landlord does not guaranty that the Emergency Generator will be operational at all times or that emergency power will be available to the Premises when needed, provided that if Tenant notifies Landlord that the emergency generator is not operational (e-mail notice shall suffice as long as Tenant has provided Landlord with the current e-mail address to be used for this notification), Landlord shall use commercially reasonable efforts in good faith to engage or contact as soon as reasonably practicable under the circumstances a third party service technician to repair the emergency generator so that it becomes operational. Tenant shall have the right to use its pro rata share of the available capacity of the Emergency Generator, and Tenant shall pay its pro rata share of the cost to maintain, repair, and replace the Emergency Generator. On request, Landlord shall provide Tenant with copies of Landlord’s maintenance logs for the emergency generator for the purpose of allowing Tenant to comply with audit requests relating to its business operations at the Premises.</w:t>
      </w:r>
    </w:p>
    <w:p>
      <w:pPr>
        <w:spacing w:after="0" w:line="226" w:lineRule="exact"/>
        <w:rPr>
          <w:sz w:val="20"/>
          <w:szCs w:val="20"/>
          <w:color w:val="auto"/>
        </w:rPr>
      </w:pPr>
    </w:p>
    <w:p>
      <w:pPr>
        <w:jc w:val="both"/>
        <w:ind w:left="300" w:right="320" w:firstLine="639"/>
        <w:spacing w:after="0" w:line="259" w:lineRule="auto"/>
        <w:tabs>
          <w:tab w:leader="none" w:pos="1261"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Energy Data</w:t>
      </w:r>
      <w:r>
        <w:rPr>
          <w:rFonts w:ascii="Arial" w:cs="Arial" w:eastAsia="Arial" w:hAnsi="Arial"/>
          <w:sz w:val="18"/>
          <w:szCs w:val="18"/>
          <w:color w:val="auto"/>
        </w:rPr>
        <w:t>. Tenant agrees to provide Landlord with access to Tenant’s water and energy usage data on a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basis, either by providing Tenant’s applicable utility login credentials to Landlord’s designated online portal, or by another delivery method reasonably agreed to by Landlord and Tenant. The costs and expenses incurred by Landlord in connection with receiving and analyzing such water and energy usage data (including, without limitation, as may be required pursuant to applicable Legal Requirements) shall be included as part of Operating Expenses.</w:t>
      </w:r>
    </w:p>
    <w:p>
      <w:pPr>
        <w:spacing w:after="0" w:line="220" w:lineRule="exact"/>
        <w:rPr>
          <w:sz w:val="20"/>
          <w:szCs w:val="20"/>
          <w:color w:val="auto"/>
        </w:rPr>
      </w:pPr>
    </w:p>
    <w:p>
      <w:pPr>
        <w:jc w:val="both"/>
        <w:ind w:left="300" w:firstLine="647"/>
        <w:spacing w:after="0" w:line="262" w:lineRule="auto"/>
        <w:rPr>
          <w:sz w:val="20"/>
          <w:szCs w:val="20"/>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Any alterations, additions, or improvements made to the Premises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00" w:right="320"/>
        <w:spacing w:after="0" w:line="268" w:lineRule="auto"/>
        <w:rPr>
          <w:sz w:val="20"/>
          <w:szCs w:val="20"/>
          <w:color w:val="auto"/>
        </w:rPr>
      </w:pPr>
      <w:r>
        <w:rPr>
          <w:rFonts w:ascii="Arial" w:cs="Arial" w:eastAsia="Arial" w:hAnsi="Arial"/>
          <w:sz w:val="17"/>
          <w:szCs w:val="17"/>
          <w:color w:val="auto"/>
        </w:rPr>
        <w:t xml:space="preserve">(as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w:t>
      </w:r>
      <w:r>
        <w:rPr>
          <w:rFonts w:ascii="Arial" w:cs="Arial" w:eastAsia="Arial" w:hAnsi="Arial"/>
          <w:sz w:val="17"/>
          <w:szCs w:val="17"/>
          <w:b w:val="1"/>
          <w:bCs w:val="1"/>
          <w:color w:val="auto"/>
        </w:rPr>
        <w:t>Alterations</w:t>
      </w:r>
      <w:r>
        <w:rPr>
          <w:rFonts w:ascii="Arial" w:cs="Arial" w:eastAsia="Arial" w:hAnsi="Arial"/>
          <w:sz w:val="17"/>
          <w:szCs w:val="17"/>
          <w:color w:val="auto"/>
        </w:rPr>
        <w:t>”) shall be subject to Landlord’s prior written consent, which may be given or withheld in Landlord’s sole discretion if any such Alteration affects the structure or Building Systems, but which shall otherwise not be unreasonably withheld or delayed. Tenant may construct nonstructural Alterations in the Premises without Landlord’s prior approval if the aggregate cost of all such work in any 12 month period does not exceed $50,000 (a “</w:t>
      </w:r>
      <w:r>
        <w:rPr>
          <w:rFonts w:ascii="Arial" w:cs="Arial" w:eastAsia="Arial" w:hAnsi="Arial"/>
          <w:sz w:val="17"/>
          <w:szCs w:val="17"/>
          <w:b w:val="1"/>
          <w:bCs w:val="1"/>
          <w:color w:val="auto"/>
        </w:rPr>
        <w:t>Notice-Only Alteration</w:t>
      </w:r>
      <w:r>
        <w:rPr>
          <w:rFonts w:ascii="Arial" w:cs="Arial" w:eastAsia="Arial" w:hAnsi="Arial"/>
          <w:sz w:val="17"/>
          <w:szCs w:val="17"/>
          <w:color w:val="auto"/>
        </w:rPr>
        <w:t>”), provided Tenant notifies Landlord in writing of the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2.5%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85" w:name="page186"/>
    <w:bookmarkEnd w:id="185"/>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17</w:t>
      </w:r>
    </w:p>
    <w:p>
      <w:pPr>
        <w:spacing w:after="0" w:line="200" w:lineRule="exact"/>
        <w:rPr>
          <w:sz w:val="20"/>
          <w:szCs w:val="20"/>
          <w:color w:val="auto"/>
        </w:rPr>
      </w:pPr>
    </w:p>
    <w:p>
      <w:pPr>
        <w:spacing w:after="0" w:line="363" w:lineRule="exact"/>
        <w:rPr>
          <w:sz w:val="20"/>
          <w:szCs w:val="20"/>
          <w:color w:val="auto"/>
        </w:rPr>
      </w:pPr>
    </w:p>
    <w:p>
      <w:pPr>
        <w:jc w:val="both"/>
        <w:ind w:left="340" w:right="320"/>
        <w:spacing w:after="0" w:line="287" w:lineRule="auto"/>
        <w:rPr>
          <w:sz w:val="20"/>
          <w:szCs w:val="20"/>
          <w:color w:val="auto"/>
        </w:rPr>
      </w:pPr>
      <w:r>
        <w:rPr>
          <w:rFonts w:ascii="Arial" w:cs="Arial" w:eastAsia="Arial" w:hAnsi="Arial"/>
          <w:sz w:val="18"/>
          <w:szCs w:val="18"/>
          <w:color w:val="auto"/>
        </w:rPr>
        <w:t>reimburse Landlord for, and indemnify and hold Landlord harmless from, any expense incurred by Landlord by reason of faulty work done by Tenant or its contractors, delays caused by such work, or inadequate cleanup.</w:t>
      </w:r>
    </w:p>
    <w:p>
      <w:pPr>
        <w:spacing w:after="0" w:line="193" w:lineRule="exact"/>
        <w:rPr>
          <w:sz w:val="20"/>
          <w:szCs w:val="20"/>
          <w:color w:val="auto"/>
        </w:rPr>
      </w:pPr>
    </w:p>
    <w:p>
      <w:pPr>
        <w:jc w:val="both"/>
        <w:ind w:left="340" w:right="320" w:firstLine="647"/>
        <w:spacing w:after="0" w:line="256" w:lineRule="auto"/>
        <w:rPr>
          <w:sz w:val="20"/>
          <w:szCs w:val="20"/>
          <w:color w:val="auto"/>
        </w:rPr>
      </w:pPr>
      <w:r>
        <w:rPr>
          <w:rFonts w:ascii="Arial" w:cs="Arial" w:eastAsia="Arial" w:hAnsi="Arial"/>
          <w:sz w:val="18"/>
          <w:szCs w:val="18"/>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(in form and substance satisfactory to Landlord; form ACORD 28 [2006/07] is not satisfactory to Landlord)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Other than (i) the items, if any,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(ii) any items agreed by Landlord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in the future, and (iii) any trade fixtures, machinery, equipment and other personal property not paid for out of the TI Fund (as defined in the Work Letter) that may be removed without material damage to the Premises, which damage shall be repaired (including capping or terminating utility hook-ups behind walls) by Tenant during the Term (collectively, “</w:t>
      </w:r>
      <w:r>
        <w:rPr>
          <w:rFonts w:ascii="Arial" w:cs="Arial" w:eastAsia="Arial" w:hAnsi="Arial"/>
          <w:sz w:val="18"/>
          <w:szCs w:val="18"/>
          <w:b w:val="1"/>
          <w:bCs w:val="1"/>
          <w:color w:val="auto"/>
        </w:rPr>
        <w:t>Tenant’s Property</w:t>
      </w:r>
      <w:r>
        <w:rPr>
          <w:rFonts w:ascii="Arial" w:cs="Arial" w:eastAsia="Arial" w:hAnsi="Arial"/>
          <w:sz w:val="18"/>
          <w:szCs w:val="18"/>
          <w:color w:val="auto"/>
        </w:rPr>
        <w:t>”), all property of any kind paid for with the TI Fund, all Alterations, real property fixtures, built-in machinery and equipment, built-in casework and cabinets and other similar additions and improvements built into the Premises so as to become an integral part of the Premises, such as fume hoods that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Arial" w:cs="Arial" w:eastAsia="Arial" w:hAnsi="Arial"/>
          <w:sz w:val="18"/>
          <w:szCs w:val="18"/>
          <w:b w:val="1"/>
          <w:bCs w:val="1"/>
          <w:color w:val="auto"/>
        </w:rPr>
        <w:t>Installations</w:t>
      </w:r>
      <w:r>
        <w:rPr>
          <w:rFonts w:ascii="Arial" w:cs="Arial" w:eastAsia="Arial" w:hAnsi="Arial"/>
          <w:sz w:val="18"/>
          <w:szCs w:val="18"/>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following the expiration or earlier termination of this Lease;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40" w:right="320"/>
        <w:spacing w:after="0" w:line="256"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that Landlord shall, at the time its approval of such Installation is requested or at the time it receives notice of a Notice-Only Alteration,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that was plumbed, wired or otherwise connected to any of the Building Systems, capping off all such connections behind the walls of the Premises and repairing any holes. During any such restoration period, Tenant shall pay Rent to Landlord as provided herein as if such space were otherwise occupied by Tenant.</w:t>
      </w:r>
    </w:p>
    <w:p>
      <w:pPr>
        <w:spacing w:after="0" w:line="210" w:lineRule="exact"/>
        <w:rPr>
          <w:sz w:val="20"/>
          <w:szCs w:val="20"/>
          <w:color w:val="auto"/>
        </w:rPr>
      </w:pPr>
    </w:p>
    <w:p>
      <w:pPr>
        <w:jc w:val="both"/>
        <w:ind w:left="340" w:right="320" w:firstLine="639"/>
        <w:spacing w:after="0" w:line="254" w:lineRule="auto"/>
        <w:tabs>
          <w:tab w:leader="none" w:pos="1291"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as an Operating Expense, shall maintain all of the structural, exterior, parking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Areas of the Project, including plumbing, fire sprinklers, elevators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in good repair, reasonable wear and tear and uninsured losses and damages caused by Tenant, or by any of Tenant’s agents, servants, employees, invitees and contractors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xml:space="preserve">”) excluded. Notwithstanding anything herein to the contrary, Landlord shall make necessary capital repairs to, and replace, the roof, foundation, slab, and structural walls of the Building. Subject to the waiver of subrogation provisions contained in </w:t>
      </w:r>
      <w:r>
        <w:rPr>
          <w:rFonts w:ascii="Arial" w:cs="Arial" w:eastAsia="Arial" w:hAnsi="Arial"/>
          <w:sz w:val="18"/>
          <w:szCs w:val="18"/>
          <w:u w:val="single" w:color="auto"/>
          <w:color w:val="auto"/>
        </w:rPr>
        <w:t>Section 17</w:t>
      </w:r>
      <w:r>
        <w:rPr>
          <w:rFonts w:ascii="Arial" w:cs="Arial" w:eastAsia="Arial" w:hAnsi="Arial"/>
          <w:sz w:val="18"/>
          <w:szCs w:val="18"/>
          <w:color w:val="auto"/>
        </w:rPr>
        <w:t>, losses and damages caused by Tenant or any Tenant Party to the structural components of the Building and Building Systems shall be repaired by Landlord, to the extent not covered by insurance, at Tenant’s sole cost and expense. Landlord reserves the right to stop Building Systems services when reasonably necessary (i) by reason of accident or emergency, or (ii) upon 2 business days’ notice to Tenant for planned repairs, alterations or improvements, which are, in the reasonable judgment of Landlord, desirable or necessary to be made, until such repairs, alterations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4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-239395</wp:posOffset>
            </wp:positionV>
            <wp:extent cx="702945" cy="257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86" w:name="page187"/>
    <w:bookmarkEnd w:id="186"/>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18</w:t>
      </w:r>
    </w:p>
    <w:p>
      <w:pPr>
        <w:spacing w:after="0" w:line="200" w:lineRule="exact"/>
        <w:rPr>
          <w:sz w:val="20"/>
          <w:szCs w:val="20"/>
          <w:color w:val="auto"/>
        </w:rPr>
      </w:pPr>
    </w:p>
    <w:p>
      <w:pPr>
        <w:spacing w:after="0" w:line="363" w:lineRule="exact"/>
        <w:rPr>
          <w:sz w:val="20"/>
          <w:szCs w:val="20"/>
          <w:color w:val="auto"/>
        </w:rPr>
      </w:pPr>
    </w:p>
    <w:p>
      <w:pPr>
        <w:jc w:val="both"/>
        <w:ind w:left="340" w:right="320"/>
        <w:spacing w:after="0" w:line="257" w:lineRule="auto"/>
        <w:rPr>
          <w:sz w:val="20"/>
          <w:szCs w:val="20"/>
          <w:color w:val="auto"/>
        </w:rPr>
      </w:pPr>
      <w:r>
        <w:rPr>
          <w:rFonts w:ascii="Arial" w:cs="Arial" w:eastAsia="Arial" w:hAnsi="Arial"/>
          <w:sz w:val="18"/>
          <w:szCs w:val="18"/>
          <w:color w:val="auto"/>
        </w:rPr>
        <w:t xml:space="preserve">improvements shall have been completed. Landlord shall have no responsibility or liability for failure to supply Building Systems services during any such period of interruption;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Landlord shall, except in case of emergency, make a commercially reasonable effort to give Tenant 2 business days’ advance written notice of any planned stoppage of Building Systems services for routine maintenance, repairs, alterations or improvements, and</w:t>
      </w:r>
    </w:p>
    <w:p>
      <w:pPr>
        <w:jc w:val="both"/>
        <w:ind w:left="340" w:right="320" w:hanging="8"/>
        <w:spacing w:after="0" w:line="253" w:lineRule="auto"/>
        <w:tabs>
          <w:tab w:leader="none" w:pos="63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Landlord shall use commercially reasonable efforts (but only as long as Landlord does not incur any additional cost or expense) to limit any such stoppage to evenings and weekends if the stoppage would materially, adversely interfere with Tenant’s business operations. Tenant shall promptly give Landlord written notice of any repair required by Landlord pursuant to this Section (or with respect to any emergency, verbal notice promptly followed by a written notice), after which Landlord shall have a reasonable opportunity to effect such repair. Landlord shall not be liable for any failure to make any repairs or to perform any maintenance unless such failure shall persist for an unreasonable time after Tenant’s written notice of the need for such repairs or maintenance. As may be required by applicable Legal Requirements in connection with any regulatory audit of Tenant, Tenant may request non-confidential and non-proprietary records of service or records of remediation for any Building System managed by Landlord.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jc w:val="both"/>
        <w:ind w:left="340" w:right="320" w:firstLine="639"/>
        <w:spacing w:after="0" w:line="254" w:lineRule="auto"/>
        <w:tabs>
          <w:tab w:leader="none" w:pos="1304"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at its expense, shall repair, replace and maintain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all portions of the Premises, including, without limitation, HVAC,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10 business days of receipt of Landlord’s notice, and thereafter diligently prosecute such cure to completion, Landlord may perform such work and shall be reimbursed by Tenant within 10 days after demand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such failure by Tenant creates or could create an emergency, Landlord may immediately commence cure of such failure and shall thereafter be entitled to recover the reasonable out of pocket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right="380"/>
        <w:spacing w:after="0" w:line="287" w:lineRule="auto"/>
        <w:rPr>
          <w:sz w:val="20"/>
          <w:szCs w:val="20"/>
          <w:color w:val="auto"/>
        </w:rPr>
      </w:pPr>
      <w:r>
        <w:rPr>
          <w:rFonts w:ascii="Arial" w:cs="Arial" w:eastAsia="Arial" w:hAnsi="Arial"/>
          <w:sz w:val="18"/>
          <w:szCs w:val="18"/>
          <w:color w:val="auto"/>
        </w:rPr>
        <w:t>bear the full uninsured cost of any repair or replacement to any part of the Project that results from damage caused by Tenant or any Tenant Party and any repair that benefits only the Premises.</w:t>
      </w:r>
    </w:p>
    <w:p>
      <w:pPr>
        <w:spacing w:after="0" w:line="193" w:lineRule="exact"/>
        <w:rPr>
          <w:sz w:val="20"/>
          <w:szCs w:val="20"/>
          <w:color w:val="auto"/>
        </w:rPr>
      </w:pPr>
    </w:p>
    <w:p>
      <w:pPr>
        <w:jc w:val="both"/>
        <w:ind w:left="340" w:right="320" w:firstLine="639"/>
        <w:spacing w:after="0" w:line="259" w:lineRule="auto"/>
        <w:tabs>
          <w:tab w:leader="none" w:pos="1301"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HVAC Maintenance Contract</w:t>
      </w:r>
      <w:r>
        <w:rPr>
          <w:rFonts w:ascii="Arial" w:cs="Arial" w:eastAsia="Arial" w:hAnsi="Arial"/>
          <w:sz w:val="18"/>
          <w:szCs w:val="18"/>
          <w:color w:val="auto"/>
        </w:rPr>
        <w:t>. Tenant, at its expense, shall at all times during the Term maintain with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maintenance and repair contracts (“</w:t>
      </w:r>
      <w:r>
        <w:rPr>
          <w:rFonts w:ascii="Arial" w:cs="Arial" w:eastAsia="Arial" w:hAnsi="Arial"/>
          <w:sz w:val="18"/>
          <w:szCs w:val="18"/>
          <w:b w:val="1"/>
          <w:bCs w:val="1"/>
          <w:color w:val="auto"/>
        </w:rPr>
        <w:t>HVAC Maintenance Contracts</w:t>
      </w:r>
      <w:r>
        <w:rPr>
          <w:rFonts w:ascii="Arial" w:cs="Arial" w:eastAsia="Arial" w:hAnsi="Arial"/>
          <w:sz w:val="18"/>
          <w:szCs w:val="18"/>
          <w:color w:val="auto"/>
        </w:rPr>
        <w:t>”) for the rooftop mounted HVAC units serving the Premises. The HVAC Maintenance Contracts shall be in form and content reasonably satisfactory to Landlord. Landlord shall be a third party beneficiary of the HVAC Maintenance Contracts and, within 30 days after Landlord’s request, Tenant shall deliver a copy of the HVAC Maintenance Contracts to Landlord.</w:t>
      </w:r>
    </w:p>
    <w:p>
      <w:pPr>
        <w:spacing w:after="0" w:line="206" w:lineRule="exact"/>
        <w:rPr>
          <w:sz w:val="20"/>
          <w:szCs w:val="20"/>
          <w:color w:val="auto"/>
        </w:rPr>
      </w:pPr>
    </w:p>
    <w:p>
      <w:pPr>
        <w:jc w:val="both"/>
        <w:ind w:left="340" w:right="320" w:firstLine="639"/>
        <w:spacing w:after="0" w:line="255" w:lineRule="auto"/>
        <w:tabs>
          <w:tab w:leader="none" w:pos="1304"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 Premises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Project for work claimed to have been done for, or materials claimed to have been furnished to, Tenant within 20 days after the filing thereof, at Tenant’s sole cost and shall otherwise keep the Premises and the Project free from any liens arising out of work performed, materials furnished or obligations incurred by Tenant. Should Tenant fail to discharge (or bond)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4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-129540</wp:posOffset>
            </wp:positionV>
            <wp:extent cx="702945" cy="257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40"/>
          </w:cols>
          <w:pgMar w:left="320" w:top="188"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Suite 210, 20400 Century Boulevard—Vaccitech North America, Inc.—Page 19</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62" w:lineRule="auto"/>
        <w:rPr>
          <w:sz w:val="20"/>
          <w:szCs w:val="20"/>
          <w:color w:val="auto"/>
        </w:rPr>
      </w:pPr>
      <w:r>
        <w:rPr>
          <w:rFonts w:ascii="Arial" w:cs="Arial" w:eastAsia="Arial" w:hAnsi="Arial"/>
          <w:sz w:val="18"/>
          <w:szCs w:val="18"/>
          <w:color w:val="auto"/>
        </w:rPr>
        <w:t>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217" w:lineRule="exact"/>
        <w:rPr>
          <w:sz w:val="20"/>
          <w:szCs w:val="20"/>
          <w:color w:val="auto"/>
        </w:rPr>
      </w:pPr>
    </w:p>
    <w:p>
      <w:pPr>
        <w:ind w:left="1580" w:hanging="640"/>
        <w:spacing w:after="0"/>
        <w:tabs>
          <w:tab w:leader="none" w:pos="158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300" w:right="320" w:firstLine="639"/>
        <w:spacing w:after="0" w:line="255" w:lineRule="auto"/>
        <w:tabs>
          <w:tab w:leader="none" w:pos="1261"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By Tenant</w:t>
      </w:r>
      <w:r>
        <w:rPr>
          <w:rFonts w:ascii="Arial" w:cs="Arial" w:eastAsia="Arial" w:hAnsi="Arial"/>
          <w:sz w:val="18"/>
          <w:szCs w:val="18"/>
          <w:color w:val="auto"/>
        </w:rPr>
        <w:t>. Tenant hereby indemnifies and agrees to defend, save and hold Landlord harmless from and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Claims for injury or death to persons or damage to property occurring within or about the Premises (including the Shared Lab Area), arising directly or indirectly out of use or occupancy of the Premises (including the Shared Lab Area) or a breach or default by Tenant in the performance of any of its obligations hereunder, unless to the extent caused by the willful misconduct or gross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221" w:lineRule="exact"/>
        <w:rPr>
          <w:rFonts w:ascii="Arial" w:cs="Arial" w:eastAsia="Arial" w:hAnsi="Arial"/>
          <w:sz w:val="18"/>
          <w:szCs w:val="18"/>
          <w:color w:val="auto"/>
        </w:rPr>
      </w:pPr>
    </w:p>
    <w:p>
      <w:pPr>
        <w:jc w:val="both"/>
        <w:ind w:left="300" w:right="320" w:firstLine="639"/>
        <w:spacing w:after="0" w:line="262" w:lineRule="auto"/>
        <w:tabs>
          <w:tab w:leader="none" w:pos="1261"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By Landlord</w:t>
      </w:r>
      <w:r>
        <w:rPr>
          <w:rFonts w:ascii="Arial" w:cs="Arial" w:eastAsia="Arial" w:hAnsi="Arial"/>
          <w:sz w:val="18"/>
          <w:szCs w:val="18"/>
          <w:color w:val="auto"/>
        </w:rPr>
        <w:t>.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16(a)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Landlord hereby indemnifies and agrees to defend,</w:t>
      </w:r>
      <w:r>
        <w:rPr>
          <w:rFonts w:ascii="Arial" w:cs="Arial" w:eastAsia="Arial" w:hAnsi="Arial"/>
          <w:sz w:val="18"/>
          <w:szCs w:val="18"/>
          <w:b w:val="1"/>
          <w:bCs w:val="1"/>
          <w:color w:val="auto"/>
        </w:rPr>
        <w:t xml:space="preserve"> </w:t>
      </w:r>
      <w:r>
        <w:rPr>
          <w:rFonts w:ascii="Arial" w:cs="Arial" w:eastAsia="Arial" w:hAnsi="Arial"/>
          <w:sz w:val="18"/>
          <w:szCs w:val="18"/>
          <w:color w:val="auto"/>
        </w:rPr>
        <w:t>save, and hold Tenant harmless from and against any and all Claims for injury or death to persons or damage to property occurring within or about the Common Area caused by Landlord’s willful misconduct or gross negligence, except to the extent caused by the willful misconduct or negligence of Tenant or any Tenant Party.</w:t>
      </w:r>
    </w:p>
    <w:p>
      <w:pPr>
        <w:spacing w:after="0" w:line="203" w:lineRule="exact"/>
        <w:rPr>
          <w:sz w:val="20"/>
          <w:szCs w:val="20"/>
          <w:color w:val="auto"/>
        </w:rPr>
      </w:pPr>
    </w:p>
    <w:p>
      <w:pPr>
        <w:jc w:val="both"/>
        <w:ind w:left="300" w:firstLine="647"/>
        <w:spacing w:after="0" w:line="257" w:lineRule="auto"/>
        <w:rPr>
          <w:sz w:val="20"/>
          <w:szCs w:val="20"/>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 full replacement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 of the Project or such lesser coverage amount as Landlord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00" w:right="320"/>
        <w:spacing w:after="0" w:line="257" w:lineRule="auto"/>
        <w:rPr>
          <w:sz w:val="20"/>
          <w:szCs w:val="20"/>
          <w:color w:val="auto"/>
        </w:rPr>
      </w:pPr>
      <w:r>
        <w:rPr>
          <w:rFonts w:ascii="Arial" w:cs="Arial" w:eastAsia="Arial" w:hAnsi="Arial"/>
          <w:sz w:val="18"/>
          <w:szCs w:val="18"/>
          <w:color w:val="auto"/>
        </w:rPr>
        <w:t>compensation insurance and fidelity bonds for employees employed to perform services and insurance for any improvements installed by Tenant or that are in addition to the standard improvements customarily furnished by Landlord without regard to whether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that Landlord reasonably deems necessary as a result of Tenant’s use of the Premises.</w:t>
      </w:r>
    </w:p>
    <w:p>
      <w:pPr>
        <w:spacing w:after="0" w:line="223" w:lineRule="exact"/>
        <w:rPr>
          <w:sz w:val="20"/>
          <w:szCs w:val="20"/>
          <w:color w:val="auto"/>
        </w:rPr>
      </w:pPr>
    </w:p>
    <w:p>
      <w:pPr>
        <w:jc w:val="both"/>
        <w:ind w:left="300" w:right="320" w:firstLine="647"/>
        <w:spacing w:after="0" w:line="256" w:lineRule="auto"/>
        <w:rPr>
          <w:sz w:val="20"/>
          <w:szCs w:val="20"/>
          <w:color w:val="auto"/>
        </w:rPr>
      </w:pPr>
      <w:r>
        <w:rPr>
          <w:rFonts w:ascii="Arial" w:cs="Arial" w:eastAsia="Arial" w:hAnsi="Arial"/>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(such insurance may be satisfied through the evidencing of Umbrella Liability coverage in support). The commercial general liability insurance policy shall name Landlord and Alexandria Real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88" w:name="page189"/>
    <w:bookmarkEnd w:id="188"/>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20</w:t>
      </w:r>
    </w:p>
    <w:p>
      <w:pPr>
        <w:spacing w:after="0" w:line="200" w:lineRule="exact"/>
        <w:rPr>
          <w:sz w:val="20"/>
          <w:szCs w:val="20"/>
          <w:color w:val="auto"/>
        </w:rPr>
      </w:pPr>
    </w:p>
    <w:p>
      <w:pPr>
        <w:spacing w:after="0" w:line="363" w:lineRule="exact"/>
        <w:rPr>
          <w:sz w:val="20"/>
          <w:szCs w:val="20"/>
          <w:color w:val="auto"/>
        </w:rPr>
      </w:pPr>
    </w:p>
    <w:p>
      <w:pPr>
        <w:jc w:val="both"/>
        <w:ind w:left="340" w:right="320"/>
        <w:spacing w:after="0" w:line="253" w:lineRule="auto"/>
        <w:rPr>
          <w:sz w:val="20"/>
          <w:szCs w:val="20"/>
          <w:color w:val="auto"/>
        </w:rPr>
      </w:pPr>
      <w:r>
        <w:rPr>
          <w:rFonts w:ascii="Arial" w:cs="Arial" w:eastAsia="Arial" w:hAnsi="Arial"/>
          <w:sz w:val="18"/>
          <w:szCs w:val="18"/>
          <w:color w:val="auto"/>
        </w:rPr>
        <w:t>Estate Equities, Inc., and its and their respective members, officers, directors, employees, managers, and agents (collectively, “</w:t>
      </w:r>
      <w:r>
        <w:rPr>
          <w:rFonts w:ascii="Arial" w:cs="Arial" w:eastAsia="Arial" w:hAnsi="Arial"/>
          <w:sz w:val="18"/>
          <w:szCs w:val="18"/>
          <w:b w:val="1"/>
          <w:bCs w:val="1"/>
          <w:color w:val="auto"/>
        </w:rPr>
        <w:t>Landlord Parties</w:t>
      </w:r>
      <w:r>
        <w:rPr>
          <w:rFonts w:ascii="Arial" w:cs="Arial" w:eastAsia="Arial" w:hAnsi="Arial"/>
          <w:sz w:val="18"/>
          <w:szCs w:val="18"/>
          <w:color w:val="auto"/>
        </w:rPr>
        <w:t>”), as additional insureds; insure on an occurrence and not a claims-made basis; be issued by insurance companies that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(in form and substance reasonably satisfactory to Landlord; form ACORD 28 [2006/07] is not satisfactory to Landlord) showing the limits of coverage required hereunder and showing Landlord as an additional insured, along with reasonable evidence of the payment of premiums for the applicable period, shall be delivered to Landlord by Tenant upon Tenant’s execution and delivery of this Lease and upon each renewal of such insurance. Tenant’s policy may be a “blanket policy” with an aggregate per location endorsement that specifically provides that the amount of insurance shall not be prejudiced by other losses covered by the policy. Tenant shall, at least 5 days prior to the expiration of such policies, furnish Landlord with renewal certificates.</w:t>
      </w:r>
    </w:p>
    <w:p>
      <w:pPr>
        <w:spacing w:after="0" w:line="228" w:lineRule="exact"/>
        <w:rPr>
          <w:sz w:val="20"/>
          <w:szCs w:val="20"/>
          <w:color w:val="auto"/>
        </w:rPr>
      </w:pPr>
    </w:p>
    <w:p>
      <w:pPr>
        <w:jc w:val="both"/>
        <w:ind w:left="340" w:right="320" w:firstLine="647"/>
        <w:spacing w:after="0" w:line="259"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color w:val="auto"/>
        </w:rPr>
        <w:t>foregoing waivers shall contravene any law with respect to exculpatory agreements, the liability of Landlord or Tenant shall be deemed not released but shall be secondary to the other’s insurer.</w:t>
      </w:r>
    </w:p>
    <w:p>
      <w:pPr>
        <w:spacing w:after="0" w:line="193" w:lineRule="exact"/>
        <w:rPr>
          <w:sz w:val="20"/>
          <w:szCs w:val="20"/>
          <w:color w:val="auto"/>
        </w:rPr>
      </w:pPr>
    </w:p>
    <w:p>
      <w:pPr>
        <w:jc w:val="both"/>
        <w:ind w:left="340" w:right="340" w:firstLine="647"/>
        <w:spacing w:after="0" w:line="262"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that are consistent with such limits then being so required by landlords of buildings or projects comparable to the Building or Project in the Germantown/Gaithersburg/Rockville market area.</w:t>
      </w:r>
    </w:p>
    <w:p>
      <w:pPr>
        <w:spacing w:after="0" w:line="203" w:lineRule="exact"/>
        <w:rPr>
          <w:sz w:val="20"/>
          <w:szCs w:val="20"/>
          <w:color w:val="auto"/>
        </w:rPr>
      </w:pPr>
    </w:p>
    <w:p>
      <w:pPr>
        <w:jc w:val="both"/>
        <w:ind w:left="340" w:right="320" w:firstLine="639"/>
        <w:spacing w:after="0" w:line="256" w:lineRule="auto"/>
        <w:tabs>
          <w:tab w:leader="none" w:pos="1304"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Restoration</w:t>
      </w:r>
      <w:r>
        <w:rPr>
          <w:rFonts w:ascii="Arial" w:cs="Arial" w:eastAsia="Arial" w:hAnsi="Arial"/>
          <w:sz w:val="18"/>
          <w:szCs w:val="18"/>
          <w:color w:val="auto"/>
        </w:rPr>
        <w:t>. If, at any time during the Term, the Project or the Premises are damaged or destroyed by a fire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insured casualty, Landlord shall notify Tenant within 60 days after discovery of such damage as to the amount of time Landlord reasonably estimates it will take to restore the Project or the Premises, as applicable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12 months (“</w:t>
      </w:r>
      <w:r>
        <w:rPr>
          <w:rFonts w:ascii="Arial" w:cs="Arial" w:eastAsia="Arial" w:hAnsi="Arial"/>
          <w:sz w:val="18"/>
          <w:szCs w:val="18"/>
          <w:b w:val="1"/>
          <w:bCs w:val="1"/>
          <w:color w:val="auto"/>
        </w:rPr>
        <w:t>Maximum Restoration Period</w:t>
      </w:r>
      <w:r>
        <w:rPr>
          <w:rFonts w:ascii="Arial" w:cs="Arial" w:eastAsia="Arial" w:hAnsi="Arial"/>
          <w:sz w:val="18"/>
          <w:szCs w:val="18"/>
          <w:color w:val="auto"/>
        </w:rPr>
        <w:t xml:space="preserve">”), Landlord may, in such notice, elect to terminate this Lease as of the date that is 75 days after the date of discovery of such damage or destruction;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Landlord’s election to restore, Tenant may elect to terminate this Lease by written notice to Landlord delivered within 5 business days of receipt of a notice from Landlord estimating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4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-239395</wp:posOffset>
            </wp:positionV>
            <wp:extent cx="702945" cy="257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89" w:name="page190"/>
    <w:bookmarkEnd w:id="189"/>
    <w:p>
      <w:pPr>
        <w:ind w:left="40"/>
        <w:spacing w:after="0"/>
        <w:rPr>
          <w:sz w:val="20"/>
          <w:szCs w:val="20"/>
          <w:color w:val="auto"/>
        </w:rPr>
      </w:pPr>
      <w:r>
        <w:rPr>
          <w:rFonts w:ascii="Arial" w:cs="Arial" w:eastAsia="Arial" w:hAnsi="Arial"/>
          <w:sz w:val="18"/>
          <w:szCs w:val="18"/>
          <w:b w:val="1"/>
          <w:bCs w:val="1"/>
          <w:color w:val="auto"/>
        </w:rPr>
        <w:t>Suite 210, 20400 Century Boulevard—Vaccitech North America, Inc.—Page 21</w:t>
      </w:r>
    </w:p>
    <w:p>
      <w:pPr>
        <w:spacing w:after="0" w:line="200" w:lineRule="exact"/>
        <w:rPr>
          <w:sz w:val="20"/>
          <w:szCs w:val="20"/>
          <w:color w:val="auto"/>
        </w:rPr>
      </w:pPr>
    </w:p>
    <w:p>
      <w:pPr>
        <w:spacing w:after="0" w:line="363" w:lineRule="exact"/>
        <w:rPr>
          <w:sz w:val="20"/>
          <w:szCs w:val="20"/>
          <w:color w:val="auto"/>
        </w:rPr>
      </w:pPr>
    </w:p>
    <w:p>
      <w:pPr>
        <w:jc w:val="both"/>
        <w:ind w:left="340" w:right="320"/>
        <w:spacing w:after="0" w:line="252" w:lineRule="auto"/>
        <w:rPr>
          <w:sz w:val="20"/>
          <w:szCs w:val="20"/>
          <w:color w:val="auto"/>
        </w:rPr>
      </w:pPr>
      <w:r>
        <w:rPr>
          <w:rFonts w:ascii="Arial" w:cs="Arial" w:eastAsia="Arial" w:hAnsi="Arial"/>
          <w:sz w:val="18"/>
          <w:szCs w:val="18"/>
          <w:color w:val="auto"/>
        </w:rPr>
        <w:t xml:space="preserve">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unless covered by the insurance Landlord maintains as an Operating Expense hereunder, in which case such improvements shall be included, to the extent of such insurance proceeds, in Landlord’s restoration),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on or about the Premises (collectively referred to herein as “</w:t>
      </w:r>
      <w:r>
        <w:rPr>
          <w:rFonts w:ascii="Arial" w:cs="Arial" w:eastAsia="Arial" w:hAnsi="Arial"/>
          <w:sz w:val="18"/>
          <w:szCs w:val="18"/>
          <w:b w:val="1"/>
          <w:bCs w:val="1"/>
          <w:color w:val="auto"/>
        </w:rPr>
        <w:t>Hazardous Materials Clearances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235" w:lineRule="exact"/>
        <w:rPr>
          <w:sz w:val="20"/>
          <w:szCs w:val="20"/>
          <w:color w:val="auto"/>
        </w:rPr>
      </w:pPr>
    </w:p>
    <w:p>
      <w:pPr>
        <w:jc w:val="both"/>
        <w:ind w:left="340" w:right="320" w:firstLine="647"/>
        <w:spacing w:after="0" w:line="254" w:lineRule="auto"/>
        <w:rPr>
          <w:sz w:val="20"/>
          <w:szCs w:val="20"/>
          <w:color w:val="auto"/>
        </w:rPr>
      </w:pPr>
      <w:r>
        <w:rPr>
          <w:rFonts w:ascii="Arial" w:cs="Arial" w:eastAsia="Arial" w:hAnsi="Arial"/>
          <w:sz w:val="18"/>
          <w:szCs w:val="18"/>
          <w:color w:val="auto"/>
        </w:rPr>
        <w:t xml:space="preserve">Tenant, at its expense, shall promptly perform, subject to delays arising from the collection of insurance proceeds, from Force Majeure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if the Premises are damaged during the last year of the Term and Landlord reasonably estimates that it will take more than 2 months to repair such damage, or if insurance proceeds are not available for such restoration. Rent shall be abated from the date all required Hazardous Material Clearances are obtained until the Premises are repaired and restored, in the proportion that the area of the Premises, if any, that is not usable by Tenant bears to the total area of the Premises, unless Landlord provides Tenant with other space during the period of repair that is suitable (in Tenant’s sole but reasonable determination) for the temporary conduct of Tenant’s business.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this Lease by reason of damage or casualty loss.</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constitute an express agreement between Landlord and Tenant with respect to any and all damage to, or destruction of, all or any part of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40" w:right="320"/>
        <w:spacing w:after="0" w:line="262" w:lineRule="auto"/>
        <w:rPr>
          <w:sz w:val="20"/>
          <w:szCs w:val="20"/>
          <w:color w:val="auto"/>
        </w:rPr>
      </w:pPr>
      <w:r>
        <w:rPr>
          <w:rFonts w:ascii="Arial" w:cs="Arial" w:eastAsia="Arial" w:hAnsi="Arial"/>
          <w:sz w:val="18"/>
          <w:szCs w:val="18"/>
          <w:color w:val="auto"/>
        </w:rPr>
        <w:t xml:space="preserve">Premises, or any other portion of the Project, and any statute or regulation that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217" w:lineRule="exact"/>
        <w:rPr>
          <w:sz w:val="20"/>
          <w:szCs w:val="20"/>
          <w:color w:val="auto"/>
        </w:rPr>
      </w:pPr>
    </w:p>
    <w:p>
      <w:pPr>
        <w:jc w:val="both"/>
        <w:ind w:left="340" w:right="320" w:firstLine="639"/>
        <w:spacing w:after="0" w:line="255" w:lineRule="auto"/>
        <w:tabs>
          <w:tab w:leader="none" w:pos="130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w:t>
      </w:r>
      <w:r>
        <w:rPr>
          <w:rFonts w:ascii="Arial" w:cs="Arial" w:eastAsia="Arial" w:hAnsi="Arial"/>
          <w:sz w:val="18"/>
          <w:szCs w:val="18"/>
          <w:b w:val="1"/>
          <w:bCs w:val="1"/>
          <w:color w:val="auto"/>
        </w:rPr>
        <w:t xml:space="preserve"> </w:t>
      </w:r>
      <w:r>
        <w:rPr>
          <w:rFonts w:ascii="Arial" w:cs="Arial" w:eastAsia="Arial" w:hAnsi="Arial"/>
          <w:sz w:val="18"/>
          <w:szCs w:val="18"/>
          <w:color w:val="auto"/>
        </w:rPr>
        <w:t>use under 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either prevent or materially interfere with Tenant’s use of the Premises or materially interfere with or impair Landlord’s ownership or operation of the Project, then upon written notice by either party to the other this Lease shall terminate and Rent shall be apportioned as of such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4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-129540</wp:posOffset>
            </wp:positionV>
            <wp:extent cx="702945"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40"/>
          </w:cols>
          <w:pgMar w:left="320" w:top="188"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Suite 210, 20400 Century Boulevard—Vaccitech North America, Inc.—Page 22</w:t>
      </w:r>
    </w:p>
    <w:p>
      <w:pPr>
        <w:spacing w:after="0" w:line="200" w:lineRule="exact"/>
        <w:rPr>
          <w:sz w:val="20"/>
          <w:szCs w:val="20"/>
          <w:color w:val="auto"/>
        </w:rPr>
      </w:pPr>
    </w:p>
    <w:p>
      <w:pPr>
        <w:spacing w:after="0" w:line="363" w:lineRule="exact"/>
        <w:rPr>
          <w:sz w:val="20"/>
          <w:szCs w:val="20"/>
          <w:color w:val="auto"/>
        </w:rPr>
      </w:pPr>
    </w:p>
    <w:p>
      <w:pPr>
        <w:jc w:val="both"/>
        <w:ind w:left="300" w:right="300"/>
        <w:spacing w:after="0" w:line="255" w:lineRule="auto"/>
        <w:rPr>
          <w:sz w:val="20"/>
          <w:szCs w:val="20"/>
          <w:color w:val="auto"/>
        </w:rPr>
      </w:pPr>
      <w:r>
        <w:rPr>
          <w:rFonts w:ascii="Arial" w:cs="Arial" w:eastAsia="Arial" w:hAnsi="Arial"/>
          <w:sz w:val="18"/>
          <w:szCs w:val="18"/>
          <w:color w:val="auto"/>
        </w:rPr>
        <w:t>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52" w:lineRule="exact"/>
        <w:rPr>
          <w:sz w:val="20"/>
          <w:szCs w:val="20"/>
          <w:color w:val="auto"/>
        </w:rPr>
      </w:pPr>
    </w:p>
    <w:p>
      <w:pPr>
        <w:jc w:val="both"/>
        <w:ind w:left="300" w:right="300" w:firstLine="639"/>
        <w:spacing w:after="0" w:line="262" w:lineRule="auto"/>
        <w:tabs>
          <w:tab w:leader="none" w:pos="1261"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will give Tenant notice and an opportunity to cure any failure to pay Rent within 3 days of any such notice not more than once in any 12 month period and Tenant agrees that such notice shall be in lieu of and not in addition to, or shall be deemed to be, any notice required by law.</w:t>
      </w:r>
    </w:p>
    <w:p>
      <w:pPr>
        <w:spacing w:after="0" w:line="216" w:lineRule="exact"/>
        <w:rPr>
          <w:rFonts w:ascii="Arial" w:cs="Arial" w:eastAsia="Arial" w:hAnsi="Arial"/>
          <w:sz w:val="18"/>
          <w:szCs w:val="18"/>
          <w:color w:val="auto"/>
        </w:rPr>
      </w:pPr>
    </w:p>
    <w:p>
      <w:pPr>
        <w:jc w:val="both"/>
        <w:ind w:left="300" w:right="300" w:firstLine="639"/>
        <w:spacing w:after="0" w:line="268" w:lineRule="auto"/>
        <w:tabs>
          <w:tab w:leader="none" w:pos="1261"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expire or shall be reduced or materially changed, or Landlord shall receive a notice of nonrenewal of any such insurance and Tenant shall fail to obtain replacement insurance at least 10 days before the expiration of the current coverage.</w:t>
      </w:r>
    </w:p>
    <w:p>
      <w:pPr>
        <w:spacing w:after="0" w:line="197" w:lineRule="exact"/>
        <w:rPr>
          <w:rFonts w:ascii="Arial" w:cs="Arial" w:eastAsia="Arial" w:hAnsi="Arial"/>
          <w:sz w:val="18"/>
          <w:szCs w:val="18"/>
          <w:color w:val="auto"/>
        </w:rPr>
      </w:pPr>
    </w:p>
    <w:p>
      <w:pPr>
        <w:ind w:left="1580" w:hanging="640"/>
        <w:spacing w:after="0"/>
        <w:tabs>
          <w:tab w:leader="none" w:pos="15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w:t>
      </w:r>
    </w:p>
    <w:p>
      <w:pPr>
        <w:spacing w:after="0" w:line="265" w:lineRule="exact"/>
        <w:rPr>
          <w:rFonts w:ascii="Arial" w:cs="Arial" w:eastAsia="Arial" w:hAnsi="Arial"/>
          <w:sz w:val="18"/>
          <w:szCs w:val="18"/>
          <w:color w:val="auto"/>
        </w:rPr>
      </w:pPr>
    </w:p>
    <w:p>
      <w:pPr>
        <w:jc w:val="both"/>
        <w:ind w:left="300" w:right="300" w:firstLine="639"/>
        <w:spacing w:after="0" w:line="268" w:lineRule="auto"/>
        <w:tabs>
          <w:tab w:leader="none" w:pos="1261"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interest in this Lease or the Premises except as expressly permitted herein, or Tenant’s interest in this Lease shall be attached, executed upon, or otherwise judicially seized and such action is not released within 90 days of the action.</w:t>
      </w:r>
    </w:p>
    <w:p>
      <w:pPr>
        <w:spacing w:after="0" w:line="211" w:lineRule="exact"/>
        <w:rPr>
          <w:rFonts w:ascii="Arial" w:cs="Arial" w:eastAsia="Arial" w:hAnsi="Arial"/>
          <w:sz w:val="18"/>
          <w:szCs w:val="18"/>
          <w:color w:val="auto"/>
        </w:rPr>
      </w:pPr>
    </w:p>
    <w:p>
      <w:pPr>
        <w:ind w:left="300" w:right="300" w:firstLine="639"/>
        <w:spacing w:after="0" w:line="271" w:lineRule="auto"/>
        <w:tabs>
          <w:tab w:leader="none" w:pos="1261"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bond-off, or otherwise obtain the release of any lien placed upon the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this Lease within 15 days after Tenant receives written notice that such lien has been filed against the Premises.</w:t>
      </w:r>
    </w:p>
    <w:p>
      <w:pPr>
        <w:spacing w:after="0" w:line="194" w:lineRule="exact"/>
        <w:rPr>
          <w:sz w:val="20"/>
          <w:szCs w:val="20"/>
          <w:color w:val="auto"/>
        </w:rPr>
      </w:pPr>
    </w:p>
    <w:p>
      <w:pPr>
        <w:jc w:val="both"/>
        <w:ind w:left="300" w:firstLine="647"/>
        <w:spacing w:after="0" w:line="261" w:lineRule="auto"/>
        <w:rPr>
          <w:sz w:val="20"/>
          <w:szCs w:val="20"/>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creditors; (B) commence any case, proceeding or other action seeking to have an order for relief entered on its behalf as a debtor or to adjudicate it 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300" w:right="300"/>
        <w:spacing w:after="0" w:line="246" w:lineRule="auto"/>
        <w:rPr>
          <w:sz w:val="20"/>
          <w:szCs w:val="20"/>
          <w:color w:val="auto"/>
        </w:rPr>
      </w:pPr>
      <w:r>
        <w:rPr>
          <w:rFonts w:ascii="Arial" w:cs="Arial" w:eastAsia="Arial" w:hAnsi="Arial"/>
          <w:sz w:val="18"/>
          <w:szCs w:val="18"/>
          <w:color w:val="auto"/>
        </w:rPr>
        <w:t>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w:t>
      </w:r>
    </w:p>
    <w:p>
      <w:pPr>
        <w:spacing w:after="0" w:line="3" w:lineRule="exact"/>
        <w:rPr>
          <w:sz w:val="20"/>
          <w:szCs w:val="20"/>
          <w:color w:val="auto"/>
        </w:rPr>
      </w:pPr>
    </w:p>
    <w:p>
      <w:pPr>
        <w:jc w:val="both"/>
        <w:ind w:left="300" w:right="320" w:hanging="8"/>
        <w:spacing w:after="0" w:line="258" w:lineRule="auto"/>
        <w:tabs>
          <w:tab w:leader="none" w:pos="6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become the subject of any Proceeding for Relief that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218" w:lineRule="exact"/>
        <w:rPr>
          <w:rFonts w:ascii="Arial" w:cs="Arial" w:eastAsia="Arial" w:hAnsi="Arial"/>
          <w:sz w:val="18"/>
          <w:szCs w:val="18"/>
          <w:color w:val="auto"/>
        </w:rPr>
      </w:pPr>
    </w:p>
    <w:p>
      <w:pPr>
        <w:ind w:left="300" w:right="300" w:firstLine="639"/>
        <w:spacing w:after="0" w:line="287" w:lineRule="auto"/>
        <w:tabs>
          <w:tab w:leader="none" w:pos="1265" w:val="left"/>
        </w:tabs>
        <w:numPr>
          <w:ilvl w:val="1"/>
          <w:numId w:val="132"/>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days after a second notice requesting such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700" w:right="30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6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180"/>
          </w:cols>
          <w:pgMar w:left="360" w:top="188"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Suite 210, 20400 Century Boulevard—Vaccitech North America, Inc.—Page 23</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68" w:lineRule="auto"/>
        <w:tabs>
          <w:tab w:leader="none" w:pos="1261"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 referred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20</w:t>
      </w:r>
      <w:r>
        <w:rPr>
          <w:rFonts w:ascii="Arial" w:cs="Arial" w:eastAsia="Arial" w:hAnsi="Arial"/>
          <w:sz w:val="18"/>
          <w:szCs w:val="18"/>
          <w:color w:val="auto"/>
        </w:rPr>
        <w:t>, and, except as otherwise expressly provided herein, such failure shall continue for a period of 15 days after written notice thereof from Landlord to Tenant.</w:t>
      </w:r>
    </w:p>
    <w:p>
      <w:pPr>
        <w:spacing w:after="0" w:line="198" w:lineRule="exact"/>
        <w:rPr>
          <w:sz w:val="20"/>
          <w:szCs w:val="20"/>
          <w:color w:val="auto"/>
        </w:rPr>
      </w:pPr>
    </w:p>
    <w:p>
      <w:pPr>
        <w:jc w:val="both"/>
        <w:ind w:left="300" w:right="320"/>
        <w:spacing w:after="0" w:line="256" w:lineRule="auto"/>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15 days to cure, then Tenant shall not be deemed to be in default if Tenant commences such cure within such 15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60 days from the date of Landlord’s notice.</w:t>
      </w:r>
    </w:p>
    <w:p>
      <w:pPr>
        <w:spacing w:after="0" w:line="210" w:lineRule="exact"/>
        <w:rPr>
          <w:sz w:val="20"/>
          <w:szCs w:val="20"/>
          <w:color w:val="auto"/>
        </w:rPr>
      </w:pPr>
    </w:p>
    <w:p>
      <w:pPr>
        <w:ind w:left="1580" w:hanging="640"/>
        <w:spacing w:after="0"/>
        <w:tabs>
          <w:tab w:leader="none" w:pos="1580"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300" w:right="320" w:firstLine="639"/>
        <w:spacing w:after="0" w:line="253" w:lineRule="auto"/>
        <w:tabs>
          <w:tab w:leader="none" w:pos="1261"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All sums so paid or incurred by Landlord, together with interest thereon, from the date such sums were paid or incurred, at the annual rate equal to 12% per annum or the highest rate permitted by law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whichever is less, shall be payable to Landlord on demand as Additional Rent. Landlord shall have no obligation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to mitigate any damages resulting from a Default by Tenant under this Lease except for entering into and maintaining a listing of the Premises with a commercial real estate broker once Tenant vacates possession of the Premises in accordance with the provisions of this Lease (“</w:t>
      </w:r>
      <w:r>
        <w:rPr>
          <w:rFonts w:ascii="Arial" w:cs="Arial" w:eastAsia="Arial" w:hAnsi="Arial"/>
          <w:sz w:val="18"/>
          <w:szCs w:val="18"/>
          <w:b w:val="1"/>
          <w:bCs w:val="1"/>
          <w:color w:val="auto"/>
        </w:rPr>
        <w:t>Mitigation Requirement</w:t>
      </w:r>
      <w:r>
        <w:rPr>
          <w:rFonts w:ascii="Arial" w:cs="Arial" w:eastAsia="Arial" w:hAnsi="Arial"/>
          <w:sz w:val="18"/>
          <w:szCs w:val="18"/>
          <w:color w:val="auto"/>
        </w:rPr>
        <w:t>”). On compliance with the Mitigation Requirement, Landlord shall be deemed to have fully satisfied its obligation to mitigate damages under this Lease and under any Legal Requirement in effect on the Commencement Date or at the time of Tenant’s Default; and Tenant waives and releases, to the fullest extent permissible under applicable Legal Requirements, any right to assert in any action by Landlord to enforce the terms of this Lease, any defense, counterclaim, or rights of setoff or recoupment respecting the mitigation of damages by Landlord, unless and to the extent Landlord fails to comply with the Mitigation Requirement.</w:t>
      </w:r>
    </w:p>
    <w:p>
      <w:pPr>
        <w:spacing w:after="0" w:line="217" w:lineRule="exact"/>
        <w:rPr>
          <w:sz w:val="20"/>
          <w:szCs w:val="20"/>
          <w:color w:val="auto"/>
        </w:rPr>
      </w:pPr>
    </w:p>
    <w:p>
      <w:pPr>
        <w:jc w:val="both"/>
        <w:ind w:left="300" w:firstLine="647"/>
        <w:spacing w:after="0" w:line="255" w:lineRule="auto"/>
        <w:rPr>
          <w:sz w:val="20"/>
          <w:szCs w:val="20"/>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Lease, the exact amount of which will be extremely difficult and impracticable to ascertain. Such costs include, but are not limited to, processing and accounting charges and late charges that may be imposed on Landlord under any Mortgage covering the Premises. Therefore, if any installment of Rent due from Tenant is not received by Landlord within 5 days after the date such payment is due, Tenant shall pay to Landlord an additional sum of 6% of the overdue Rent as a late charge (provided that Tenant shall not be required to pay such late charge upon the first occurrence during any calendar year of a late payment by Tenant of Rent). The parties agree that this late charge represents a fair and reasonable estimate of the costs Landlord will incur by reason of late payment by Tenant. In addition to the late charge, Rent not paid when due shall bear interest at the Default Rate from the 5</w:t>
      </w:r>
      <w:r>
        <w:rPr>
          <w:rFonts w:ascii="Arial" w:cs="Arial" w:eastAsia="Arial" w:hAnsi="Arial"/>
          <w:sz w:val="11"/>
          <w:szCs w:val="11"/>
          <w:color w:val="auto"/>
        </w:rPr>
        <w:t>th</w:t>
      </w:r>
      <w:r>
        <w:rPr>
          <w:rFonts w:ascii="Arial" w:cs="Arial" w:eastAsia="Arial" w:hAnsi="Arial"/>
          <w:sz w:val="18"/>
          <w:szCs w:val="18"/>
          <w:color w:val="auto"/>
        </w:rPr>
        <w:t xml:space="preserve"> day after the date due until paid.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300" w:right="320" w:firstLine="639"/>
        <w:spacing w:after="0" w:line="257" w:lineRule="auto"/>
        <w:tabs>
          <w:tab w:leader="none" w:pos="1261"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Re-Entry</w:t>
      </w:r>
      <w:r>
        <w:rPr>
          <w:rFonts w:ascii="Arial" w:cs="Arial" w:eastAsia="Arial" w:hAnsi="Arial"/>
          <w:sz w:val="18"/>
          <w:szCs w:val="18"/>
          <w:color w:val="auto"/>
        </w:rPr>
        <w:t>. While a Default exists and is continuing, Landlord shall have the right, immediately or at any time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further notice to Tenant (unless otherwise provided herein), to enter the Premises, without terminating this Lease or being guilty of trespass, and do any and all acts as Landlord may deem necessary, proper or convenient to cure such default, for the account and at the expense of Tenant, any notice to quit or notice of Landlord’s intention to re-enter being hereby expressly waived, and Tenant agrees to pay to Landlord as Additional Rent all damage and/or expense incurred by Landlord in so doing, including interest at the Default Rate, from the due date until the date payment is received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Suite 210, 20400 Century Boulevard—Vaccitech North America, Inc.—Page 24</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53" w:lineRule="auto"/>
        <w:tabs>
          <w:tab w:leader="none" w:pos="1265" w:val="left"/>
        </w:tabs>
        <w:numPr>
          <w:ilvl w:val="1"/>
          <w:numId w:val="137"/>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Landlord shall have the right to terminate this Lease and Tenant’s right to possession of the Premises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Legal Requirements, take possession of the Premises and remove Tenant, any occupant and any property therefrom, without being guilty of trespass and without relinquishing any rights of Landlord against Tenant, any notice to quit, or notice of Landlord’s intention to re-enter being hereby expressly waived. Landlord shall be entitled to recover damages from Tenant for all amounts covenanted to be paid during the remainder of the Term (except for the period of any holdover by Tenant, in which case the monthly rental rate stated at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herein shall apply), which may be accelerated by Landlord at its option, together with</w:t>
      </w:r>
    </w:p>
    <w:p>
      <w:pPr>
        <w:spacing w:after="0" w:line="4" w:lineRule="exact"/>
        <w:rPr>
          <w:rFonts w:ascii="Arial" w:cs="Arial" w:eastAsia="Arial" w:hAnsi="Arial"/>
          <w:sz w:val="18"/>
          <w:szCs w:val="18"/>
          <w:color w:val="auto"/>
        </w:rPr>
      </w:pPr>
    </w:p>
    <w:p>
      <w:pPr>
        <w:jc w:val="both"/>
        <w:ind w:left="300" w:right="320" w:hanging="8"/>
        <w:spacing w:after="0" w:line="251" w:lineRule="auto"/>
        <w:tabs>
          <w:tab w:leader="none" w:pos="5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all expenses of any proceedings (including, but not limited to, the expenses set forth in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below) that may be necessary in order for Landlord to recover possession of the Premises, (ii) the expenses of the re-renting of the Premises (including, but not limited to, any commissions paid to any real estate agent, advertising expense and the costs of such alterations, repairs, replacements or modifications that Landlord, in its sole judgment, considers advisable and necessary for the purpose of re-renting), and (iii) interest computed at the Default Rate from the due date until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there shall be credited against the amount of such damages all amounts received by Landlord from such re-renting of the Premises, with any overage being refunded to Tenant. Landlord shall in no event be liable in any way whatsoever for failure to re-rent the Premises or, in the event that the Premises are re-rented, for failure to collect the rent thereof under such re-renting. No act or thing done by Landlord shall be deemed to be an acceptance of a surrender of the Premises, unless Landlord shall execute a written agreement of surrender with Tenant. Tenant’s liability hereunder shall not be terminated by the execution of a new lease of the Premises by Landlord, unless that new lease expressly so states. In the event Landlord does not exercise its option to accelerate the payment of amounts owed as provided hereinabove, then Tenant agrees to pay to Landlord, upon demand, the amount of damages herein provided after the amount of such damages for any month shall have been ascertained;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expenses incurred by Landlord shall be deemed to be a part of the damages for the month in which they were incurred. Separate actions may be maintained each month or at other times by Landlord against Tenant to recover the damages then due, without waiting until the end of the term of this Lease to determine the aggregate amount of such damages. Tenant hereby expressly waives any and all rights of redemption granted by or under any present or future laws in the event of Tenant being evicted or being dispossessed for any cause, or in the event of Landlord obtaining possession of the Premises by reason of the violation by Tenant of any of the covenants and conditions of this Lease.</w:t>
      </w:r>
    </w:p>
    <w:p>
      <w:pPr>
        <w:spacing w:after="0" w:line="230" w:lineRule="exact"/>
        <w:rPr>
          <w:sz w:val="20"/>
          <w:szCs w:val="20"/>
          <w:color w:val="auto"/>
        </w:rPr>
      </w:pPr>
    </w:p>
    <w:p>
      <w:pPr>
        <w:jc w:val="both"/>
        <w:ind w:left="300" w:firstLine="647"/>
        <w:spacing w:after="0" w:line="254" w:lineRule="auto"/>
        <w:rPr>
          <w:sz w:val="20"/>
          <w:szCs w:val="20"/>
          <w:color w:val="auto"/>
        </w:rPr>
      </w:pPr>
      <w:r>
        <w:rPr>
          <w:rFonts w:ascii="Arial" w:cs="Arial" w:eastAsia="Arial" w:hAnsi="Arial"/>
          <w:sz w:val="18"/>
          <w:szCs w:val="18"/>
          <w:b w:val="1"/>
          <w:bCs w:val="1"/>
          <w:color w:val="auto"/>
        </w:rPr>
        <w:t>Lien for Rent</w:t>
      </w:r>
      <w:r>
        <w:rPr>
          <w:rFonts w:ascii="Arial" w:cs="Arial" w:eastAsia="Arial" w:hAnsi="Arial"/>
          <w:sz w:val="18"/>
          <w:szCs w:val="18"/>
          <w:color w:val="auto"/>
        </w:rPr>
        <w:t>. Upon any default by Tenant in the payment of Rent or other amounts owed hereunder, Landlord shall have a lien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property of Tenant in the Premises for the amount of such unpaid amounts, and Tenant hereby specifically waives any and all exemptions allowed by law. In such event, Tenant shall not remove any of Tenant’s property from the Premises except with the prior written consent of Landlord, and Landlord shall have the right and privilege, at its option, to take possession of all Tenant’s property in the Premises, to store the same on the Premises, or to remove it and store it in such place as may be selected by Landlord, at Tenant’s risk and expense. If Tenant fails to redeem the personal property so seized, by payment of whatever sum may be due Landlord hereunder (including all storage costs), Landlord shall have the right, after 20 days written notice to Tenant of its intention to do so, to sell such personal property so seized at public or private sale and upon such terms and conditions as may appear advantageous to Landlord, and after the payment of all proper charges incident to such sale, apply the proceeds thereof to the payment of any balance due to Landlord on account of rent or other obligations of Tenant pursuant to this Lease. In the event there shall then remain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00" w:right="320"/>
        <w:spacing w:after="0" w:line="259" w:lineRule="auto"/>
        <w:rPr>
          <w:sz w:val="20"/>
          <w:szCs w:val="20"/>
          <w:color w:val="auto"/>
        </w:rPr>
      </w:pPr>
      <w:r>
        <w:rPr>
          <w:rFonts w:ascii="Arial" w:cs="Arial" w:eastAsia="Arial" w:hAnsi="Arial"/>
          <w:sz w:val="18"/>
          <w:szCs w:val="18"/>
          <w:color w:val="auto"/>
        </w:rPr>
        <w:t>in the hands of Landlord any balance realized from the sale of such personal property, the same shall be paid over to Tenant. The exercise of the foregoing remedy by Landlord shall not relieve or discharge Tenant from any deficiency owed to Landlord that Landlord has the right to enforce pursuant to any of the provisions of this Lease. Tenant shall also be liable for all expenses incident to the foregoing process, including any auctioneer or attorney’s fees or commissions. At Tenant’s request, Landlord shall subordinate its lien rights as set forth in this paragraph to the lien, operation, and effect of any bona fide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Suite 210, 20400 Century Boulevard—Vaccitech North America, Inc.—Page 25</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68" w:lineRule="auto"/>
        <w:rPr>
          <w:sz w:val="20"/>
          <w:szCs w:val="20"/>
          <w:color w:val="auto"/>
        </w:rPr>
      </w:pPr>
      <w:r>
        <w:rPr>
          <w:rFonts w:ascii="Arial" w:cs="Arial" w:eastAsia="Arial" w:hAnsi="Arial"/>
          <w:sz w:val="18"/>
          <w:szCs w:val="18"/>
          <w:color w:val="auto"/>
        </w:rPr>
        <w:t>third-party financing for equipment and trade fixtures pursuant to a subordination agreement in form and substance reasonably acceptable to Landlord. Such subordination shall be limited to specific items of equipment and shall not be in the form of a blanket lien subordination.</w:t>
      </w:r>
    </w:p>
    <w:p>
      <w:pPr>
        <w:spacing w:after="0" w:line="211" w:lineRule="exact"/>
        <w:rPr>
          <w:sz w:val="20"/>
          <w:szCs w:val="20"/>
          <w:color w:val="auto"/>
        </w:rPr>
      </w:pPr>
    </w:p>
    <w:p>
      <w:pPr>
        <w:jc w:val="both"/>
        <w:ind w:left="300" w:right="320" w:firstLine="639"/>
        <w:spacing w:after="0" w:line="255"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21(i)</w:t>
      </w:r>
      <w:r>
        <w:rPr>
          <w:rFonts w:ascii="Arial" w:cs="Arial" w:eastAsia="Arial" w:hAnsi="Arial"/>
          <w:sz w:val="18"/>
          <w:szCs w:val="18"/>
          <w:b w:val="1"/>
          <w:bCs w:val="1"/>
          <w:color w:val="auto"/>
        </w:rPr>
        <w:t xml:space="preserve"> </w:t>
      </w:r>
      <w:r>
        <w:rPr>
          <w:rFonts w:ascii="Arial" w:cs="Arial" w:eastAsia="Arial" w:hAnsi="Arial"/>
          <w:sz w:val="18"/>
          <w:szCs w:val="18"/>
          <w:color w:val="auto"/>
        </w:rPr>
        <w:t>below, Tenant shall pay, as Additional Rent and immediately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demand from Landlord, all costs and expenses incurred by Landlord, including, but not limited to, attorneys’ fees, expert witness fees, paralegal fees, other litigation expenses (such as expenses for photocopying, electronic legal research, and deposition transcripts), and court costs in connection with or arising out of any Default by Tenant under this Lease, including, but not limited to, any action or proceeding brought by Landlord to enforce any obligation of Tenant under this Lease or the right of Landlord in or to the Premises. Such expenses are recoverable at all levels, including appeals and post-judgment actions or proceedings. The giving of a notice of Default by Landlord shall constitute part of an action or proceeding under this Lease, entitling Landlord to reimbursement of such fees and expenses, even if an action or proceeding is not commenced in a court of law and regardless of whether the Default is cured.</w:t>
      </w:r>
    </w:p>
    <w:p>
      <w:pPr>
        <w:spacing w:after="0" w:line="221" w:lineRule="exact"/>
        <w:rPr>
          <w:rFonts w:ascii="Arial" w:cs="Arial" w:eastAsia="Arial" w:hAnsi="Arial"/>
          <w:sz w:val="18"/>
          <w:szCs w:val="18"/>
          <w:color w:val="auto"/>
        </w:rPr>
      </w:pPr>
    </w:p>
    <w:p>
      <w:pPr>
        <w:ind w:left="300" w:right="340" w:firstLine="639"/>
        <w:spacing w:after="0" w:line="271"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Suspension of Funding</w:t>
      </w:r>
      <w:r>
        <w:rPr>
          <w:rFonts w:ascii="Arial" w:cs="Arial" w:eastAsia="Arial" w:hAnsi="Arial"/>
          <w:sz w:val="18"/>
          <w:szCs w:val="18"/>
          <w:color w:val="auto"/>
        </w:rPr>
        <w:t>. Upon a Default by Tenant hereunder and during the continuance thereof, Landlord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suspend funding of any TI Allowance.</w:t>
      </w:r>
    </w:p>
    <w:p>
      <w:pPr>
        <w:spacing w:after="0" w:line="194" w:lineRule="exact"/>
        <w:rPr>
          <w:rFonts w:ascii="Arial" w:cs="Arial" w:eastAsia="Arial" w:hAnsi="Arial"/>
          <w:sz w:val="18"/>
          <w:szCs w:val="18"/>
          <w:color w:val="auto"/>
        </w:rPr>
      </w:pPr>
    </w:p>
    <w:p>
      <w:pPr>
        <w:jc w:val="both"/>
        <w:ind w:left="300" w:right="320" w:firstLine="639"/>
        <w:spacing w:after="0" w:line="262" w:lineRule="auto"/>
        <w:tabs>
          <w:tab w:leader="none" w:pos="1265"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Other Remedies</w:t>
      </w:r>
      <w:r>
        <w:rPr>
          <w:rFonts w:ascii="Arial" w:cs="Arial" w:eastAsia="Arial" w:hAnsi="Arial"/>
          <w:sz w:val="18"/>
          <w:szCs w:val="18"/>
          <w:color w:val="auto"/>
        </w:rPr>
        <w:t>. Upon a Default by Tenant hereunder and in addition to any other remedy available to Landlord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Lease or otherwise, Landlord shall be entitled to recover damages from Tenant the amount of the unamortized portion of the Base Rent Abatement at the time of the Default. In addition to the remedies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 Landlord, at its option, without further notice or demand to Tenant, shall have all other rights and remedies provided at law or in equity</w:t>
      </w:r>
    </w:p>
    <w:p>
      <w:pPr>
        <w:spacing w:after="0" w:line="216" w:lineRule="exact"/>
        <w:rPr>
          <w:rFonts w:ascii="Arial" w:cs="Arial" w:eastAsia="Arial" w:hAnsi="Arial"/>
          <w:sz w:val="18"/>
          <w:szCs w:val="18"/>
          <w:color w:val="auto"/>
        </w:rPr>
      </w:pPr>
    </w:p>
    <w:p>
      <w:pPr>
        <w:jc w:val="both"/>
        <w:ind w:left="300" w:right="320" w:firstLine="639"/>
        <w:spacing w:after="0" w:line="262"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Prevailing Party</w:t>
      </w:r>
      <w:r>
        <w:rPr>
          <w:rFonts w:ascii="Arial" w:cs="Arial" w:eastAsia="Arial" w:hAnsi="Arial"/>
          <w:sz w:val="18"/>
          <w:szCs w:val="18"/>
          <w:color w:val="auto"/>
        </w:rPr>
        <w:t>. In the event of any legal proceeding, litigation, or alternative dispute resolution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respecting or arising out of this Lease, the prevailing party shall be entitled to recover its reasonable attorneys’ fees and other costs in connection therewith, including, without limitation, any attorneys’ fees incurred after a judgment has been entered by a court of competent jurisdiction.</w:t>
      </w:r>
    </w:p>
    <w:p>
      <w:pPr>
        <w:spacing w:after="0" w:line="203" w:lineRule="exact"/>
        <w:rPr>
          <w:rFonts w:ascii="Arial" w:cs="Arial" w:eastAsia="Arial" w:hAnsi="Arial"/>
          <w:sz w:val="18"/>
          <w:szCs w:val="18"/>
          <w:color w:val="auto"/>
        </w:rPr>
      </w:pPr>
    </w:p>
    <w:p>
      <w:pPr>
        <w:jc w:val="both"/>
        <w:ind w:left="300" w:right="320" w:firstLine="639"/>
        <w:spacing w:after="0" w:line="268" w:lineRule="auto"/>
        <w:tabs>
          <w:tab w:leader="none" w:pos="1261"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Consequential Damages</w:t>
      </w:r>
      <w:r>
        <w:rPr>
          <w:rFonts w:ascii="Arial" w:cs="Arial" w:eastAsia="Arial" w:hAnsi="Arial"/>
          <w:sz w:val="18"/>
          <w:szCs w:val="18"/>
          <w:color w:val="auto"/>
        </w:rPr>
        <w:t>. Notwithstanding anything herein contained in this Lease to the contrary, other than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Default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of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not be liable to Landlord or Landlord Parties for any incidental, consequential, or punitive damages, or damages for lost profits.</w:t>
      </w:r>
    </w:p>
    <w:p>
      <w:pPr>
        <w:spacing w:after="0" w:line="198" w:lineRule="exact"/>
        <w:rPr>
          <w:sz w:val="20"/>
          <w:szCs w:val="20"/>
          <w:color w:val="auto"/>
        </w:rPr>
      </w:pPr>
    </w:p>
    <w:p>
      <w:pPr>
        <w:ind w:left="1580" w:hanging="640"/>
        <w:spacing w:after="0"/>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52" w:lineRule="exact"/>
        <w:rPr>
          <w:sz w:val="20"/>
          <w:szCs w:val="20"/>
          <w:color w:val="auto"/>
        </w:rPr>
      </w:pPr>
    </w:p>
    <w:p>
      <w:pPr>
        <w:jc w:val="both"/>
        <w:ind w:left="300" w:firstLine="647"/>
        <w:spacing w:after="0" w:line="255" w:lineRule="auto"/>
        <w:rPr>
          <w:sz w:val="20"/>
          <w:szCs w:val="20"/>
          <w:color w:val="auto"/>
        </w:rPr>
      </w:pPr>
      <w:r>
        <w:rPr>
          <w:rFonts w:ascii="Arial" w:cs="Arial" w:eastAsia="Arial" w:hAnsi="Arial"/>
          <w:sz w:val="18"/>
          <w:szCs w:val="18"/>
          <w:b w:val="1"/>
          <w:bCs w:val="1"/>
          <w:color w:val="auto"/>
        </w:rPr>
        <w:t>General Prohibition</w:t>
      </w:r>
      <w:r>
        <w:rPr>
          <w:rFonts w:ascii="Arial" w:cs="Arial" w:eastAsia="Arial" w:hAnsi="Arial"/>
          <w:sz w:val="18"/>
          <w:szCs w:val="18"/>
          <w:color w:val="auto"/>
        </w:rPr>
        <w:t>. Without Landlord’s prior written consent subject to and on the conditions described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that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that were owners thereof at time of execution of this Lease to persons or entities who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00" w:right="320"/>
        <w:spacing w:after="0" w:line="268" w:lineRule="auto"/>
        <w:rPr>
          <w:sz w:val="20"/>
          <w:szCs w:val="20"/>
          <w:color w:val="auto"/>
        </w:rPr>
      </w:pPr>
      <w:r>
        <w:rPr>
          <w:rFonts w:ascii="Arial" w:cs="Arial" w:eastAsia="Arial" w:hAnsi="Arial"/>
          <w:sz w:val="18"/>
          <w:szCs w:val="18"/>
          <w:color w:val="auto"/>
        </w:rPr>
        <w:t xml:space="preserve">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Suite 210, 20400 Century Boulevard—Vaccitech North America, Inc.—Page 26</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52" w:lineRule="auto"/>
        <w:tabs>
          <w:tab w:leader="none" w:pos="1261"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 sublet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other than pursuant to a Permitted Assignment (as defined below), then at least 10 days, but not more than 60 days, before the date Tenant desires the assignment or sublease to be effective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or (ii) refuse such consent, in its reasonable discretion (provided that Landlord shall have the right to review and approve or disapprove the proposed form of sublease prior to the effective date of any such subletting). No failure of Landlord to deliver a timely notice in response to the Assignment Notice shall be deemed to be Landlord’s consent to the proposed assignment, sublease or other transfer. Tenant shall pay to Landlord a fee equal to $1,500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8"/>
          <w:szCs w:val="18"/>
          <w:b w:val="1"/>
          <w:bCs w:val="1"/>
          <w:color w:val="auto"/>
        </w:rPr>
        <w:t>Permitted Assignment</w:t>
      </w:r>
      <w:r>
        <w:rPr>
          <w:rFonts w:ascii="Arial" w:cs="Arial" w:eastAsia="Arial" w:hAnsi="Arial"/>
          <w:sz w:val="18"/>
          <w:szCs w:val="18"/>
          <w:color w:val="auto"/>
        </w:rPr>
        <w:t>”) shall not be required, provided that Landlord shall have the right to approve the form of any such sublease or assignment.</w:t>
      </w:r>
    </w:p>
    <w:p>
      <w:pPr>
        <w:spacing w:after="0" w:line="233" w:lineRule="exact"/>
        <w:rPr>
          <w:rFonts w:ascii="Arial" w:cs="Arial" w:eastAsia="Arial" w:hAnsi="Arial"/>
          <w:sz w:val="18"/>
          <w:szCs w:val="18"/>
          <w:color w:val="auto"/>
        </w:rPr>
      </w:pPr>
    </w:p>
    <w:p>
      <w:pPr>
        <w:ind w:left="300" w:right="340" w:firstLine="639"/>
        <w:spacing w:after="0" w:line="287" w:lineRule="auto"/>
        <w:tabs>
          <w:tab w:leader="none" w:pos="1261"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regardless of whether Landlord’s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Landlord may require:</w:t>
      </w:r>
    </w:p>
    <w:p>
      <w:pPr>
        <w:spacing w:after="0" w:line="179" w:lineRule="exact"/>
        <w:rPr>
          <w:rFonts w:ascii="Arial" w:cs="Arial" w:eastAsia="Arial" w:hAnsi="Arial"/>
          <w:sz w:val="18"/>
          <w:szCs w:val="18"/>
          <w:color w:val="auto"/>
        </w:rPr>
      </w:pPr>
    </w:p>
    <w:p>
      <w:pPr>
        <w:jc w:val="both"/>
        <w:ind w:left="1260" w:right="320" w:firstLine="328"/>
        <w:spacing w:after="0" w:line="257" w:lineRule="auto"/>
        <w:tabs>
          <w:tab w:leader="none" w:pos="190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223" w:lineRule="exact"/>
        <w:rPr>
          <w:sz w:val="20"/>
          <w:szCs w:val="20"/>
          <w:color w:val="auto"/>
        </w:rPr>
      </w:pPr>
    </w:p>
    <w:p>
      <w:pPr>
        <w:jc w:val="both"/>
        <w:ind w:left="300" w:firstLine="647"/>
        <w:spacing w:after="0" w:line="254" w:lineRule="auto"/>
        <w:rPr>
          <w:sz w:val="20"/>
          <w:szCs w:val="20"/>
          <w:color w:val="auto"/>
        </w:rPr>
      </w:pPr>
      <w:r>
        <w:rPr>
          <w:rFonts w:ascii="Arial" w:cs="Arial" w:eastAsia="Arial" w:hAnsi="Arial"/>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such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such documents containing information of a proprietary nature that, in and of themselves, do not contain a reference to any Hazardous Materials or hazardous activities.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00" w:right="320" w:firstLine="639"/>
        <w:spacing w:after="0" w:line="268" w:lineRule="auto"/>
        <w:tabs>
          <w:tab w:leader="none" w:pos="126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or surety of Tenant’s obligations under this Lease shall at all times remain fully and primarily responsible and liable for the payment of Rent and for compliance with all 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Suite 210, 20400 Century Boulevard—Vaccitech North America, Inc.—Page 27</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53" w:lineRule="auto"/>
        <w:rPr>
          <w:sz w:val="20"/>
          <w:szCs w:val="20"/>
          <w:color w:val="auto"/>
        </w:rPr>
      </w:pPr>
      <w:r>
        <w:rPr>
          <w:rFonts w:ascii="Arial" w:cs="Arial" w:eastAsia="Arial" w:hAnsi="Arial"/>
          <w:sz w:val="18"/>
          <w:szCs w:val="18"/>
          <w:color w:val="auto"/>
        </w:rPr>
        <w:t>Tenant’s other obligations under this Lease. If the Rent due and payable by a sublessee or assignee other than pursuant to a Permitted Assignment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marketing expenses, legal costs and any design or construction fees and construction allowances directly related to and required pursuant to the terms of any such sublease) (“</w:t>
      </w:r>
      <w:r>
        <w:rPr>
          <w:rFonts w:ascii="Arial" w:cs="Arial" w:eastAsia="Arial" w:hAnsi="Arial"/>
          <w:sz w:val="18"/>
          <w:szCs w:val="18"/>
          <w:b w:val="1"/>
          <w:bCs w:val="1"/>
          <w:color w:val="auto"/>
        </w:rPr>
        <w:t>Excess</w:t>
      </w:r>
      <w:r>
        <w:rPr>
          <w:rFonts w:ascii="Arial" w:cs="Arial" w:eastAsia="Arial" w:hAnsi="Arial"/>
          <w:sz w:val="18"/>
          <w:szCs w:val="18"/>
          <w:color w:val="auto"/>
        </w:rPr>
        <w:t xml:space="preserve"> </w:t>
      </w:r>
      <w:r>
        <w:rPr>
          <w:rFonts w:ascii="Arial" w:cs="Arial" w:eastAsia="Arial" w:hAnsi="Arial"/>
          <w:sz w:val="18"/>
          <w:szCs w:val="18"/>
          <w:b w:val="1"/>
          <w:bCs w:val="1"/>
          <w:color w:val="auto"/>
        </w:rPr>
        <w:t>Rent</w:t>
      </w:r>
      <w:r>
        <w:rPr>
          <w:rFonts w:ascii="Arial" w:cs="Arial" w:eastAsia="Arial" w:hAnsi="Arial"/>
          <w:sz w:val="18"/>
          <w:szCs w:val="18"/>
          <w:color w:val="auto"/>
        </w:rPr>
        <w:t>”), then Tenant shall be bound and obligated to pay Landlord as Additional Rent hereunder 50% of the Excess Rent within 10</w:t>
      </w:r>
      <w:r>
        <w:rPr>
          <w:rFonts w:ascii="Arial" w:cs="Arial" w:eastAsia="Arial" w:hAnsi="Arial"/>
          <w:sz w:val="18"/>
          <w:szCs w:val="18"/>
          <w:b w:val="1"/>
          <w:bCs w:val="1"/>
          <w:color w:val="auto"/>
        </w:rPr>
        <w:t xml:space="preserve"> </w:t>
      </w:r>
      <w:r>
        <w:rPr>
          <w:rFonts w:ascii="Arial" w:cs="Arial" w:eastAsia="Arial" w:hAnsi="Arial"/>
          <w:sz w:val="18"/>
          <w:szCs w:val="18"/>
          <w:color w:val="auto"/>
        </w:rPr>
        <w:t>days following receipt thereof by Tenant. Landlord shall not be entitled to receive, and Excess Rent shall not include, any bona fide non-rent consideration paid in connection with a business sale or merger or other similar business transaction for which the assignment is necessary but fulfilling a larger purpose than solely the assignment.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228" w:lineRule="exact"/>
        <w:rPr>
          <w:sz w:val="20"/>
          <w:szCs w:val="20"/>
          <w:color w:val="auto"/>
        </w:rPr>
      </w:pPr>
    </w:p>
    <w:p>
      <w:pPr>
        <w:jc w:val="both"/>
        <w:ind w:left="300" w:right="320" w:firstLine="639"/>
        <w:spacing w:after="0" w:line="257" w:lineRule="auto"/>
        <w:tabs>
          <w:tab w:leader="none" w:pos="1261"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222" w:lineRule="exact"/>
        <w:rPr>
          <w:rFonts w:ascii="Arial" w:cs="Arial" w:eastAsia="Arial" w:hAnsi="Arial"/>
          <w:sz w:val="18"/>
          <w:szCs w:val="18"/>
          <w:color w:val="auto"/>
        </w:rPr>
      </w:pPr>
    </w:p>
    <w:p>
      <w:pPr>
        <w:jc w:val="both"/>
        <w:ind w:left="300" w:right="320" w:firstLine="639"/>
        <w:spacing w:after="0" w:line="254" w:lineRule="auto"/>
        <w:tabs>
          <w:tab w:leader="none" w:pos="1261"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Prior Conduct of Proposed Transferee</w:t>
      </w:r>
      <w:r>
        <w:rPr>
          <w:rFonts w:ascii="Arial" w:cs="Arial" w:eastAsia="Arial" w:hAnsi="Arial"/>
          <w:sz w:val="18"/>
          <w:szCs w:val="18"/>
          <w:color w:val="auto"/>
        </w:rPr>
        <w:t>. Notwithstanding any other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if (i) the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or 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212" w:lineRule="exact"/>
        <w:rPr>
          <w:sz w:val="20"/>
          <w:szCs w:val="20"/>
          <w:color w:val="auto"/>
        </w:rPr>
      </w:pPr>
    </w:p>
    <w:p>
      <w:pPr>
        <w:jc w:val="both"/>
        <w:ind w:left="300" w:firstLine="647"/>
        <w:spacing w:after="0" w:line="254" w:lineRule="auto"/>
        <w:rPr>
          <w:sz w:val="20"/>
          <w:szCs w:val="20"/>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 acknowledge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be conclusive upon Tenant that this Lease is in full force and effect and without modification except as may be represented by Landlord in any certificate prepared by Landlord and delivered to Tenant for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Suite 210, 20400 Century Boulevard—Vaccitech North America, Inc.—Page 28</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68" w:lineRule="auto"/>
        <w:tabs>
          <w:tab w:leader="none" w:pos="126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by Tenant, Tenant shall, subject to the terms of this Lease, at all times during the Term, have peaceful and quiet enjoyment of the Premises against any person claiming by, through or under Landlord.</w:t>
      </w:r>
    </w:p>
    <w:p>
      <w:pPr>
        <w:spacing w:after="0" w:line="211" w:lineRule="exact"/>
        <w:rPr>
          <w:rFonts w:ascii="Arial" w:cs="Arial" w:eastAsia="Arial" w:hAnsi="Arial"/>
          <w:sz w:val="18"/>
          <w:szCs w:val="18"/>
          <w:color w:val="auto"/>
        </w:rPr>
      </w:pPr>
    </w:p>
    <w:p>
      <w:pPr>
        <w:ind w:left="300" w:right="340" w:firstLine="639"/>
        <w:spacing w:after="0" w:line="287" w:lineRule="auto"/>
        <w:tabs>
          <w:tab w:leader="none" w:pos="126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 day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30 day months.</w:t>
      </w:r>
    </w:p>
    <w:p>
      <w:pPr>
        <w:spacing w:after="0" w:line="179" w:lineRule="exact"/>
        <w:rPr>
          <w:rFonts w:ascii="Arial" w:cs="Arial" w:eastAsia="Arial" w:hAnsi="Arial"/>
          <w:sz w:val="18"/>
          <w:szCs w:val="18"/>
          <w:color w:val="auto"/>
        </w:rPr>
      </w:pPr>
    </w:p>
    <w:p>
      <w:pPr>
        <w:jc w:val="both"/>
        <w:ind w:left="300" w:right="320" w:firstLine="639"/>
        <w:spacing w:after="0" w:line="272" w:lineRule="auto"/>
        <w:tabs>
          <w:tab w:leader="none" w:pos="1264"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Rules and Regulations</w:t>
      </w:r>
      <w:r>
        <w:rPr>
          <w:rFonts w:ascii="Arial" w:cs="Arial" w:eastAsia="Arial" w:hAnsi="Arial"/>
          <w:sz w:val="17"/>
          <w:szCs w:val="17"/>
          <w:color w:val="auto"/>
        </w:rPr>
        <w:t>. Tenant shall, at all times during the Term and any extension thereof, comply with all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rules and regulations at any time or from time to time established by Landlord covering use of the Premises and the Project. The current rules and regulations are attached hereto as </w:t>
      </w:r>
      <w:r>
        <w:rPr>
          <w:rFonts w:ascii="Arial" w:cs="Arial" w:eastAsia="Arial" w:hAnsi="Arial"/>
          <w:sz w:val="17"/>
          <w:szCs w:val="17"/>
          <w:b w:val="1"/>
          <w:bCs w:val="1"/>
          <w:color w:val="auto"/>
        </w:rPr>
        <w:t>Exhibit E</w:t>
      </w:r>
      <w:r>
        <w:rPr>
          <w:rFonts w:ascii="Arial" w:cs="Arial" w:eastAsia="Arial" w:hAnsi="Arial"/>
          <w:sz w:val="17"/>
          <w:szCs w:val="17"/>
          <w:color w:val="auto"/>
        </w:rPr>
        <w:t>. If there is any conflict between such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 Such rules and regulations may include, without limitation, rules and regulations relating to the use of the Project amenities and/or rules and regulations that are intended to encourage social distancing, promote and protect health and physical well-being within the Building and the Project and/or intended to prevent or limit the spread or transmission of Infectious Conditions.</w:t>
      </w:r>
    </w:p>
    <w:p>
      <w:pPr>
        <w:spacing w:after="0" w:line="198" w:lineRule="exact"/>
        <w:rPr>
          <w:rFonts w:ascii="Arial" w:cs="Arial" w:eastAsia="Arial" w:hAnsi="Arial"/>
          <w:sz w:val="17"/>
          <w:szCs w:val="17"/>
          <w:color w:val="auto"/>
        </w:rPr>
      </w:pPr>
    </w:p>
    <w:p>
      <w:pPr>
        <w:jc w:val="both"/>
        <w:ind w:left="300" w:right="320" w:firstLine="639"/>
        <w:spacing w:after="0" w:line="252" w:lineRule="auto"/>
        <w:tabs>
          <w:tab w:leader="none" w:pos="126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no Default hereunder is continuing,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In securing any Mortgage on the Project, Landlord shall use its commercially reasonable efforts (but with no obligation to pay any out-of-pocket fees or sums) to obtain from any Holder of a first lien Mortgage at any time during the Term covering any or all of the Project or the Premises a non-disturbance agreement on Holder’s standard form (which is reasonably acceptable to Tenant and that shall not impose any additional material obligations on Tenant and shall not materially eliminate or reduce any rights granted to Tenant under this Lease), in favor of Tenant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 unaffiliated with Landlord.</w:t>
      </w:r>
    </w:p>
    <w:p>
      <w:pPr>
        <w:spacing w:after="0" w:line="230" w:lineRule="exact"/>
        <w:rPr>
          <w:sz w:val="20"/>
          <w:szCs w:val="20"/>
          <w:color w:val="auto"/>
        </w:rPr>
      </w:pPr>
    </w:p>
    <w:p>
      <w:pPr>
        <w:jc w:val="both"/>
        <w:ind w:left="300" w:firstLine="647"/>
        <w:spacing w:after="0" w:line="256" w:lineRule="auto"/>
        <w:rPr>
          <w:sz w:val="20"/>
          <w:szCs w:val="20"/>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 surrender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Landlord or a Landlord Party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xml:space="preserve">”) and released of all Hazardous Materials Clearances,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Tenant shall deliver to Landlord a narrative description of the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Suite 210, 20400 Century Boulevard—Vaccitech North America, Inc.—Page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00" w:right="240"/>
        <w:spacing w:after="0" w:line="252" w:lineRule="auto"/>
        <w:rPr>
          <w:sz w:val="20"/>
          <w:szCs w:val="20"/>
          <w:color w:val="auto"/>
        </w:rPr>
      </w:pPr>
      <w:r>
        <w:rPr>
          <w:rFonts w:ascii="Arial" w:cs="Arial" w:eastAsia="Arial" w:hAnsi="Arial"/>
          <w:sz w:val="18"/>
          <w:szCs w:val="18"/>
          <w:color w:val="auto"/>
        </w:rPr>
        <w:t>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w:t>
      </w:r>
      <w:r>
        <w:rPr>
          <w:rFonts w:ascii="Arial" w:cs="Arial" w:eastAsia="Arial" w:hAnsi="Arial"/>
          <w:sz w:val="18"/>
          <w:szCs w:val="18"/>
          <w:b w:val="1"/>
          <w:bCs w:val="1"/>
          <w:color w:val="auto"/>
        </w:rPr>
        <w:t>Surrender Plan</w:t>
      </w:r>
      <w:r>
        <w:rPr>
          <w:rFonts w:ascii="Arial" w:cs="Arial" w:eastAsia="Arial" w:hAnsi="Arial"/>
          <w:sz w:val="18"/>
          <w:szCs w:val="18"/>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actual out-of-pocket expense incurred by Landlord for Landlord’s environmental consultant to review and approve the Surrender Plan and to visit the Premises and verify satisfactory completion of the same, which cost shall not exceed $2,500. Landlord shall have the unrestricted right to deliver such Surrender Plan and any report by Landlord’s environmental consultant with respect to the surrender of the Premises to third parties.</w:t>
      </w:r>
    </w:p>
    <w:p>
      <w:pPr>
        <w:spacing w:after="0" w:line="222" w:lineRule="exact"/>
        <w:rPr>
          <w:sz w:val="20"/>
          <w:szCs w:val="20"/>
          <w:color w:val="auto"/>
        </w:rPr>
      </w:pPr>
    </w:p>
    <w:p>
      <w:pPr>
        <w:jc w:val="both"/>
        <w:ind w:left="300" w:right="240" w:firstLine="647"/>
        <w:spacing w:after="0" w:line="257" w:lineRule="auto"/>
        <w:rPr>
          <w:sz w:val="20"/>
          <w:szCs w:val="20"/>
          <w:color w:val="auto"/>
        </w:rPr>
      </w:pPr>
      <w:r>
        <w:rPr>
          <w:rFonts w:ascii="Arial" w:cs="Arial" w:eastAsia="Arial" w:hAnsi="Arial"/>
          <w:sz w:val="18"/>
          <w:szCs w:val="18"/>
          <w:color w:val="auto"/>
        </w:rPr>
        <w:t xml:space="preserve">If Tenant shall fail to prepare or submit a Surrender Plan approved by Landlord, or if Tenant shall fail to complete the approved Surrender Plan, or if such Surrender Plan, regardless of whether approved by Landlord, shall fail to adequately address any residual effect consistent with best industry practices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3" w:lineRule="exact"/>
        <w:rPr>
          <w:sz w:val="20"/>
          <w:szCs w:val="20"/>
          <w:color w:val="auto"/>
        </w:rPr>
      </w:pPr>
    </w:p>
    <w:p>
      <w:pPr>
        <w:jc w:val="both"/>
        <w:ind w:left="300" w:right="240" w:firstLine="647"/>
        <w:spacing w:after="0" w:line="254" w:lineRule="auto"/>
        <w:rPr>
          <w:sz w:val="20"/>
          <w:szCs w:val="20"/>
          <w:color w:val="auto"/>
        </w:rPr>
      </w:pPr>
      <w:r>
        <w:rPr>
          <w:rFonts w:ascii="Arial" w:cs="Arial" w:eastAsia="Arial" w:hAnsi="Arial"/>
          <w:sz w:val="18"/>
          <w:szCs w:val="18"/>
          <w:color w:val="auto"/>
        </w:rPr>
        <w:t xml:space="preserve">Landlord shall provide no less than 50 access keys and/or access cards to Tenant to provide access to the Premises. Upon the expiration or earlier termination of this Lease, 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209" w:lineRule="exact"/>
        <w:rPr>
          <w:sz w:val="20"/>
          <w:szCs w:val="20"/>
          <w:color w:val="auto"/>
        </w:rPr>
      </w:pPr>
    </w:p>
    <w:p>
      <w:pPr>
        <w:jc w:val="both"/>
        <w:ind w:left="300" w:right="240" w:firstLine="639"/>
        <w:spacing w:after="0" w:line="262" w:lineRule="auto"/>
        <w:tabs>
          <w:tab w:leader="none" w:pos="1264"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70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-239395</wp:posOffset>
            </wp:positionV>
            <wp:extent cx="702945" cy="2571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120"/>
          </w:cols>
          <w:pgMar w:left="360" w:top="188" w:right="41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Suite 210, 20400 Century Boulevard—Vaccitech North America, Inc.—Page 30</w:t>
      </w:r>
    </w:p>
    <w:p>
      <w:pPr>
        <w:spacing w:after="0" w:line="200" w:lineRule="exact"/>
        <w:rPr>
          <w:sz w:val="20"/>
          <w:szCs w:val="20"/>
          <w:color w:val="auto"/>
        </w:rPr>
      </w:pPr>
    </w:p>
    <w:p>
      <w:pPr>
        <w:spacing w:after="0" w:line="36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00" w:right="320" w:firstLine="639"/>
        <w:spacing w:after="0" w:line="251" w:lineRule="auto"/>
        <w:tabs>
          <w:tab w:leader="none" w:pos="1261"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Prohibition/Compliance/Indemnity</w:t>
      </w:r>
      <w:r>
        <w:rPr>
          <w:rFonts w:ascii="Arial" w:cs="Arial" w:eastAsia="Arial" w:hAnsi="Arial"/>
          <w:sz w:val="18"/>
          <w:szCs w:val="18"/>
          <w:color w:val="auto"/>
        </w:rPr>
        <w:t>. Tenant shall not cause or permit any Hazardous Materials (as defined below) to be</w:t>
      </w:r>
      <w:r>
        <w:rPr>
          <w:rFonts w:ascii="Arial" w:cs="Arial" w:eastAsia="Arial" w:hAnsi="Arial"/>
          <w:sz w:val="18"/>
          <w:szCs w:val="18"/>
          <w:b w:val="1"/>
          <w:bCs w:val="1"/>
          <w:color w:val="auto"/>
        </w:rPr>
        <w:t xml:space="preserve"> </w:t>
      </w:r>
      <w:r>
        <w:rPr>
          <w:rFonts w:ascii="Arial" w:cs="Arial" w:eastAsia="Arial" w:hAnsi="Arial"/>
          <w:sz w:val="18"/>
          <w:szCs w:val="18"/>
          <w:color w:val="auto"/>
        </w:rPr>
        <w:t>brought upon, kept, used, stored, handled, treated, generated in or about, or released or disposed of from, the Premises or the Project in violation of applicable Environmental Requirements (as defined below)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(regardless of whether based upon personal injury, property damage, or contamination of, or adverse effects upon, the environment, water tables or natural resources), liabilities or losses (collectively, “</w:t>
      </w:r>
      <w:r>
        <w:rPr>
          <w:rFonts w:ascii="Arial" w:cs="Arial" w:eastAsia="Arial" w:hAnsi="Arial"/>
          <w:sz w:val="18"/>
          <w:szCs w:val="18"/>
          <w:b w:val="1"/>
          <w:bCs w:val="1"/>
          <w:color w:val="auto"/>
        </w:rPr>
        <w:t>Environmental Claims</w:t>
      </w:r>
      <w:r>
        <w:rPr>
          <w:rFonts w:ascii="Arial" w:cs="Arial" w:eastAsia="Arial" w:hAnsi="Arial"/>
          <w:sz w:val="18"/>
          <w:szCs w:val="18"/>
          <w:color w:val="auto"/>
        </w:rPr>
        <w:t xml:space="preserve">”) that arise during or after the Term as a result of such contamination;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Tenant shall have no indemnification, remediation, or other obligation or responsibility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for any contamination or Environmental Claim if Tenant proves by a preponderance of the evidence that such contamination or Environmental Claim arises from any Hazardous Materials brought into, kept, used, stored, handled, treated, generated in or about, or released or disposed of from the Premises by Landlord, its employees or contractors, or another tenant unrelated or unaffiliated with Tenant or that existed in the Premises as of the Commencement Date and were not brought into, kept, used, stored, handled, treated, generated in or about, or released or disposed of from the Premises by Tenant, any Tenant Party, or any subtenant of Tenant or other occupant of the Premises.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w:t>
      </w:r>
    </w:p>
    <w:p>
      <w:pPr>
        <w:spacing w:after="0" w:line="241" w:lineRule="exact"/>
        <w:rPr>
          <w:sz w:val="20"/>
          <w:szCs w:val="20"/>
          <w:color w:val="auto"/>
        </w:rPr>
      </w:pPr>
    </w:p>
    <w:p>
      <w:pPr>
        <w:jc w:val="both"/>
        <w:ind w:left="300" w:firstLine="647"/>
        <w:spacing w:after="0" w:line="257"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Landlord acknowledges that it is not the intent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to prohibit Tenant from using the Premises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8"/>
          <w:szCs w:val="18"/>
          <w:b w:val="1"/>
          <w:bCs w:val="1"/>
          <w:color w:val="auto"/>
        </w:rPr>
        <w:t>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70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-248285</wp:posOffset>
            </wp:positionV>
            <wp:extent cx="702945"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Suite 210, 20400 Century Boulevard—Vaccitech North America, Inc.—Page 31</w:t>
      </w:r>
    </w:p>
    <w:p>
      <w:pPr>
        <w:spacing w:after="0" w:line="200" w:lineRule="exact"/>
        <w:rPr>
          <w:sz w:val="20"/>
          <w:szCs w:val="20"/>
          <w:color w:val="auto"/>
        </w:rPr>
      </w:pPr>
    </w:p>
    <w:p>
      <w:pPr>
        <w:spacing w:after="0" w:line="363" w:lineRule="exact"/>
        <w:rPr>
          <w:sz w:val="20"/>
          <w:szCs w:val="20"/>
          <w:color w:val="auto"/>
        </w:rPr>
      </w:pPr>
    </w:p>
    <w:p>
      <w:pPr>
        <w:jc w:val="both"/>
        <w:ind w:left="300"/>
        <w:spacing w:after="0" w:line="268" w:lineRule="auto"/>
        <w:rPr>
          <w:sz w:val="20"/>
          <w:szCs w:val="20"/>
          <w:color w:val="auto"/>
        </w:rPr>
      </w:pPr>
      <w:r>
        <w:rPr>
          <w:rFonts w:ascii="Arial" w:cs="Arial" w:eastAsia="Arial" w:hAnsi="Arial"/>
          <w:sz w:val="18"/>
          <w:szCs w:val="18"/>
          <w:b w:val="1"/>
          <w:bCs w:val="1"/>
          <w:color w:val="auto"/>
        </w:rPr>
        <w:t>Materials List</w:t>
      </w:r>
      <w:r>
        <w:rPr>
          <w:rFonts w:ascii="Arial" w:cs="Arial" w:eastAsia="Arial" w:hAnsi="Arial"/>
          <w:sz w:val="18"/>
          <w:szCs w:val="18"/>
          <w:color w:val="auto"/>
        </w:rPr>
        <w:t>”). Tenant shall deliver to Landlord an updated Hazardous Materials List at least once a year and shall also deliver an</w:t>
      </w:r>
      <w:r>
        <w:rPr>
          <w:rFonts w:ascii="Arial" w:cs="Arial" w:eastAsia="Arial" w:hAnsi="Arial"/>
          <w:sz w:val="18"/>
          <w:szCs w:val="18"/>
          <w:b w:val="1"/>
          <w:bCs w:val="1"/>
          <w:color w:val="auto"/>
        </w:rPr>
        <w:t xml:space="preserve"> </w:t>
      </w:r>
      <w:r>
        <w:rPr>
          <w:rFonts w:ascii="Arial" w:cs="Arial" w:eastAsia="Arial" w:hAnsi="Arial"/>
          <w:sz w:val="18"/>
          <w:szCs w:val="18"/>
          <w:color w:val="auto"/>
        </w:rPr>
        <w:t>updated list before any new Hazardous Material is brought onto, kept, used, stored, handled, treated, generated on, or released or disposed of from, the Premises. Tenant shall deliver to Landlord true and correct copies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00" w:right="320"/>
        <w:spacing w:after="0" w:line="253" w:lineRule="auto"/>
        <w:rPr>
          <w:sz w:val="20"/>
          <w:szCs w:val="20"/>
          <w:color w:val="auto"/>
        </w:rPr>
      </w:pPr>
      <w:r>
        <w:rPr>
          <w:rFonts w:ascii="Arial" w:cs="Arial" w:eastAsia="Arial" w:hAnsi="Arial"/>
          <w:sz w:val="18"/>
          <w:szCs w:val="18"/>
          <w:color w:val="auto"/>
        </w:rPr>
        <w:t>documents (“</w:t>
      </w:r>
      <w:r>
        <w:rPr>
          <w:rFonts w:ascii="Arial" w:cs="Arial" w:eastAsia="Arial" w:hAnsi="Arial"/>
          <w:sz w:val="18"/>
          <w:szCs w:val="18"/>
          <w:b w:val="1"/>
          <w:bCs w:val="1"/>
          <w:color w:val="auto"/>
        </w:rPr>
        <w:t>Haz Mat Documents</w:t>
      </w:r>
      <w:r>
        <w:rPr>
          <w:rFonts w:ascii="Arial" w:cs="Arial" w:eastAsia="Arial" w:hAnsi="Arial"/>
          <w:sz w:val="18"/>
          <w:szCs w:val="18"/>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such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that, in and of themselves, do not contain a reference to any Hazardous Materials or hazardous activities. It is not the intent of this Section to provide Landlord with information that could be detrimental to Tenant’s business should such information become possessed by Tenant’s competitors.</w:t>
      </w:r>
    </w:p>
    <w:p>
      <w:pPr>
        <w:spacing w:after="0" w:line="230" w:lineRule="exact"/>
        <w:rPr>
          <w:sz w:val="20"/>
          <w:szCs w:val="20"/>
          <w:color w:val="auto"/>
        </w:rPr>
      </w:pPr>
    </w:p>
    <w:p>
      <w:pPr>
        <w:jc w:val="both"/>
        <w:ind w:left="300" w:right="320" w:firstLine="639"/>
        <w:spacing w:after="0" w:line="255" w:lineRule="auto"/>
        <w:tabs>
          <w:tab w:leader="none" w:pos="1261"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Tenant Representation and Warranty</w:t>
      </w:r>
      <w:r>
        <w:rPr>
          <w:rFonts w:ascii="Arial" w:cs="Arial" w:eastAsia="Arial" w:hAnsi="Arial"/>
          <w:sz w:val="18"/>
          <w:szCs w:val="18"/>
          <w:color w:val="auto"/>
        </w:rPr>
        <w:t>. Tenant hereby represents and warrants to Landlord that,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(i) neither Tenant nor any of its legal predecessors has been required by any prior landlord, lender, or Governmental Authority at any time to take remedial action in connection with Hazardous Materials contaminating a property, which contamination was permitted by Tenant or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221" w:lineRule="exact"/>
        <w:rPr>
          <w:rFonts w:ascii="Arial" w:cs="Arial" w:eastAsia="Arial" w:hAnsi="Arial"/>
          <w:sz w:val="18"/>
          <w:szCs w:val="18"/>
          <w:color w:val="auto"/>
        </w:rPr>
      </w:pPr>
    </w:p>
    <w:p>
      <w:pPr>
        <w:jc w:val="both"/>
        <w:ind w:left="300" w:right="320" w:firstLine="639"/>
        <w:spacing w:after="0" w:line="254" w:lineRule="auto"/>
        <w:tabs>
          <w:tab w:leader="none" w:pos="1265"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Landlord shall have access to, and a right to perform inspections and tests of, the Premises and the Project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determine Tenant’s compliance with Environmental Requirements (as defined below), its obligations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or the environmental condition of the Premises and the Project. In connection with such testing, upon the request of Landlord, Tenant shall deliver to Landlord or its consultant such non-proprietary information concerning the use of Hazardous Materials in or about the Premises by Tenant or any Tenant Party.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are conducted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hereof or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that Landlord may have against Tenant.</w:t>
      </w:r>
    </w:p>
    <w:p>
      <w:pPr>
        <w:spacing w:after="0" w:line="209" w:lineRule="exact"/>
        <w:rPr>
          <w:sz w:val="20"/>
          <w:szCs w:val="20"/>
          <w:color w:val="auto"/>
        </w:rPr>
      </w:pPr>
    </w:p>
    <w:p>
      <w:pPr>
        <w:jc w:val="both"/>
        <w:ind w:left="300" w:firstLine="647"/>
        <w:spacing w:after="0" w:line="262" w:lineRule="auto"/>
        <w:rPr>
          <w:sz w:val="20"/>
          <w:szCs w:val="20"/>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Under no circumstances whatsoever will Tenant have the right to install any underground storage tank on</w:t>
      </w:r>
      <w:r>
        <w:rPr>
          <w:rFonts w:ascii="Arial" w:cs="Arial" w:eastAsia="Arial" w:hAnsi="Arial"/>
          <w:sz w:val="18"/>
          <w:szCs w:val="18"/>
          <w:b w:val="1"/>
          <w:bCs w:val="1"/>
          <w:color w:val="auto"/>
        </w:rPr>
        <w:t xml:space="preserve"> </w:t>
      </w:r>
      <w:r>
        <w:rPr>
          <w:rFonts w:ascii="Arial" w:cs="Arial" w:eastAsia="Arial" w:hAnsi="Arial"/>
          <w:sz w:val="18"/>
          <w:szCs w:val="18"/>
          <w:color w:val="auto"/>
        </w:rPr>
        <w:t>or about the Premises or the Project. If underground or other storage tanks storing Hazardous Materials located on the Premises or the Project before the Commencement Date are used by Tenant, Tenant shall install, use, monitor, operate, maintain, upgrade and manage such storage tanks, maintain appropriate records, obtain and maintain appropriate insurance, implement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Suite 210, 20400 Century Boulevard—Vaccitech North America, Inc.—Page 32</w:t>
      </w:r>
    </w:p>
    <w:p>
      <w:pPr>
        <w:spacing w:after="0" w:line="200" w:lineRule="exact"/>
        <w:rPr>
          <w:sz w:val="20"/>
          <w:szCs w:val="20"/>
          <w:color w:val="auto"/>
        </w:rPr>
      </w:pPr>
    </w:p>
    <w:p>
      <w:pPr>
        <w:spacing w:after="0" w:line="363" w:lineRule="exact"/>
        <w:rPr>
          <w:sz w:val="20"/>
          <w:szCs w:val="20"/>
          <w:color w:val="auto"/>
        </w:rPr>
      </w:pPr>
    </w:p>
    <w:p>
      <w:pPr>
        <w:jc w:val="both"/>
        <w:ind w:left="300"/>
        <w:spacing w:after="0" w:line="262" w:lineRule="auto"/>
        <w:rPr>
          <w:sz w:val="20"/>
          <w:szCs w:val="20"/>
          <w:color w:val="auto"/>
        </w:rPr>
      </w:pPr>
      <w:r>
        <w:rPr>
          <w:rFonts w:ascii="Arial" w:cs="Arial" w:eastAsia="Arial" w:hAnsi="Arial"/>
          <w:sz w:val="18"/>
          <w:szCs w:val="18"/>
          <w:color w:val="auto"/>
        </w:rPr>
        <w:t>procedures, properly close any underground storage tanks if required by applicable Legal Requirements,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00" w:right="320" w:firstLine="639"/>
        <w:spacing w:after="0" w:line="262" w:lineRule="auto"/>
        <w:tabs>
          <w:tab w:leader="none" w:pos="1261"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Control Areas</w:t>
      </w:r>
      <w:r>
        <w:rPr>
          <w:rFonts w:ascii="Arial" w:cs="Arial" w:eastAsia="Arial" w:hAnsi="Arial"/>
          <w:sz w:val="18"/>
          <w:szCs w:val="18"/>
          <w:color w:val="auto"/>
        </w:rPr>
        <w:t>. The Building contains a single control zone or area for the storage of up to 480 gallons of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Tenant shall be allowed to use its pro rata share of the control zone for Hazardous Materials use or storage, meaning that Tenant shall be allowed to use or store not more than 116.69 gallons (i.e., 24.31% of 480 gallons) of Hazardous Materials within the Premises.</w:t>
      </w:r>
    </w:p>
    <w:p>
      <w:pPr>
        <w:spacing w:after="0" w:line="216" w:lineRule="exact"/>
        <w:rPr>
          <w:rFonts w:ascii="Arial" w:cs="Arial" w:eastAsia="Arial" w:hAnsi="Arial"/>
          <w:sz w:val="18"/>
          <w:szCs w:val="18"/>
          <w:color w:val="auto"/>
        </w:rPr>
      </w:pPr>
    </w:p>
    <w:p>
      <w:pPr>
        <w:jc w:val="both"/>
        <w:ind w:left="300" w:right="320" w:firstLine="639"/>
        <w:spacing w:after="0" w:line="257" w:lineRule="auto"/>
        <w:tabs>
          <w:tab w:leader="none" w:pos="1261"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Obligations</w:t>
      </w:r>
      <w:r>
        <w:rPr>
          <w:rFonts w:ascii="Arial" w:cs="Arial" w:eastAsia="Arial" w:hAnsi="Arial"/>
          <w:sz w:val="18"/>
          <w:szCs w:val="18"/>
          <w:color w:val="auto"/>
        </w:rPr>
        <w:t>. Each party’s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for the applicable statute of limitations period under federal, state, or local Legal Requirement.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222" w:lineRule="exact"/>
        <w:rPr>
          <w:rFonts w:ascii="Arial" w:cs="Arial" w:eastAsia="Arial" w:hAnsi="Arial"/>
          <w:sz w:val="18"/>
          <w:szCs w:val="18"/>
          <w:color w:val="auto"/>
        </w:rPr>
      </w:pPr>
    </w:p>
    <w:p>
      <w:pPr>
        <w:jc w:val="both"/>
        <w:ind w:left="300" w:right="320" w:firstLine="639"/>
        <w:spacing w:after="0" w:line="253" w:lineRule="auto"/>
        <w:tabs>
          <w:tab w:leader="none" w:pos="1265"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(i)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w:t>
      </w:r>
      <w:r>
        <w:rPr>
          <w:rFonts w:ascii="Arial" w:cs="Arial" w:eastAsia="Arial" w:hAnsi="Arial"/>
          <w:sz w:val="18"/>
          <w:szCs w:val="18"/>
          <w:b w:val="1"/>
          <w:bCs w:val="1"/>
          <w:color w:val="auto"/>
        </w:rPr>
        <w:t xml:space="preserve"> </w:t>
      </w:r>
      <w:r>
        <w:rPr>
          <w:rFonts w:ascii="Arial" w:cs="Arial" w:eastAsia="Arial" w:hAnsi="Arial"/>
          <w:sz w:val="18"/>
          <w:szCs w:val="18"/>
          <w:color w:val="auto"/>
        </w:rPr>
        <w:t>statutes, 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and (ii)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216" w:lineRule="exact"/>
        <w:rPr>
          <w:rFonts w:ascii="Arial" w:cs="Arial" w:eastAsia="Arial" w:hAnsi="Arial"/>
          <w:sz w:val="18"/>
          <w:szCs w:val="18"/>
          <w:color w:val="auto"/>
        </w:rPr>
      </w:pPr>
    </w:p>
    <w:p>
      <w:pPr>
        <w:jc w:val="both"/>
        <w:ind w:left="300" w:right="320" w:firstLine="639"/>
        <w:spacing w:after="0" w:line="256" w:lineRule="auto"/>
        <w:tabs>
          <w:tab w:leader="none" w:pos="1261"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HazMat Storage Shed</w:t>
      </w:r>
      <w:r>
        <w:rPr>
          <w:rFonts w:ascii="Arial" w:cs="Arial" w:eastAsia="Arial" w:hAnsi="Arial"/>
          <w:sz w:val="18"/>
          <w:szCs w:val="18"/>
          <w:color w:val="auto"/>
        </w:rPr>
        <w:t>. Tenant shall have the right, at its sole cost and expense, to install a Hazardous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shed (“”</w:t>
      </w:r>
      <w:r>
        <w:rPr>
          <w:rFonts w:ascii="Arial" w:cs="Arial" w:eastAsia="Arial" w:hAnsi="Arial"/>
          <w:sz w:val="18"/>
          <w:szCs w:val="18"/>
          <w:b w:val="1"/>
          <w:bCs w:val="1"/>
          <w:color w:val="auto"/>
        </w:rPr>
        <w:t>HazMat Storage Shed</w:t>
      </w:r>
      <w:r>
        <w:rPr>
          <w:rFonts w:ascii="Arial" w:cs="Arial" w:eastAsia="Arial" w:hAnsi="Arial"/>
          <w:sz w:val="18"/>
          <w:szCs w:val="18"/>
          <w:color w:val="auto"/>
        </w:rPr>
        <w:t xml:space="preserve">”) on that portion of the Project shown on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attached hereto, all in accordance with the Legal Requirements and the terms and conditions of this Section. The license granted hereby is personal to Tenant and shall not be assigned or otherwise pledged or transferred, directly or indirectly, except in connection with a Permitted Assignment and otherwise subject to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 In the case of a Permitted Assignment involving an assignment of this Lease (as distinct from a sublease), assignor shall have no further right to use the HazMat Storage Shed. Subject to Section 1 of this Lease, Tenant shall have access to and egress from the HazMat Storage Shed 24 hours a day, 7 days a week.</w:t>
      </w:r>
    </w:p>
    <w:p>
      <w:pPr>
        <w:spacing w:after="0" w:line="223" w:lineRule="exact"/>
        <w:rPr>
          <w:sz w:val="20"/>
          <w:szCs w:val="20"/>
          <w:color w:val="auto"/>
        </w:rPr>
      </w:pPr>
    </w:p>
    <w:p>
      <w:pPr>
        <w:jc w:val="both"/>
        <w:ind w:left="300" w:firstLine="647"/>
        <w:spacing w:after="0" w:line="257" w:lineRule="auto"/>
        <w:rPr>
          <w:sz w:val="20"/>
          <w:szCs w:val="20"/>
          <w:color w:val="auto"/>
        </w:rPr>
      </w:pPr>
      <w:r>
        <w:rPr>
          <w:rFonts w:ascii="Arial" w:cs="Arial" w:eastAsia="Arial" w:hAnsi="Arial"/>
          <w:sz w:val="18"/>
          <w:szCs w:val="18"/>
          <w:b w:val="1"/>
          <w:bCs w:val="1"/>
          <w:color w:val="auto"/>
        </w:rPr>
        <w:t>Alterations</w:t>
      </w:r>
      <w:r>
        <w:rPr>
          <w:rFonts w:ascii="Arial" w:cs="Arial" w:eastAsia="Arial" w:hAnsi="Arial"/>
          <w:sz w:val="18"/>
          <w:szCs w:val="18"/>
          <w:color w:val="auto"/>
        </w:rPr>
        <w:t>. The installation and construction of the HazMat Storage Shed shall constitute an Alteration and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provisions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hereby approves the installation of a Hazmat Storage Shed that is no larger than the dimensions described in the quote obtained by Ewing Cole dated April 8, 2022 from U.S. Chemical Storage and agrees to cooperate with Tenant to provide final approval on the dimensions, type, and quality of shed as well as provide assistance, at Tenant’s sole cost and expense (if any), to procure and install the Hazmat Storage Shed at the Project. Landlord, however, makes no promise or guaranty that applicable Legal Requirements will allow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0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-248285</wp:posOffset>
            </wp:positionV>
            <wp:extent cx="702945"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Suite 210, 20400 Century Boulevard—Vaccitech North America, Inc.—Page 33</w:t>
      </w:r>
    </w:p>
    <w:p>
      <w:pPr>
        <w:spacing w:after="0" w:line="200" w:lineRule="exact"/>
        <w:rPr>
          <w:sz w:val="20"/>
          <w:szCs w:val="20"/>
          <w:color w:val="auto"/>
        </w:rPr>
      </w:pPr>
    </w:p>
    <w:p>
      <w:pPr>
        <w:spacing w:after="0" w:line="363"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installation, construction, and placement of the HazMat Storage Shed. The HazMat Storage Shed shall be installed by a contractor reasonably acceptable to Landlord. Tenant shall, at its sole cost and expense, secure all necessary permits and approvals from all applicable Governmental Authorities for the size, placement, installation, and removal of the HazMat Storage Shed. If Tenant is unable to obtain the necessary approvals and permits from any Governmental Authorities for the HazMat Storage Shed, Tenant shall have no remedy, claim, cause of action, or recourse against Landlord, nor shall such failure or inability to obtain any necessary permits or approvals provide Tenant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300" w:right="320"/>
        <w:spacing w:after="0" w:line="257" w:lineRule="auto"/>
        <w:rPr>
          <w:sz w:val="20"/>
          <w:szCs w:val="20"/>
          <w:color w:val="auto"/>
        </w:rPr>
      </w:pPr>
      <w:r>
        <w:rPr>
          <w:rFonts w:ascii="Arial" w:cs="Arial" w:eastAsia="Arial" w:hAnsi="Arial"/>
          <w:sz w:val="18"/>
          <w:szCs w:val="18"/>
          <w:color w:val="auto"/>
        </w:rPr>
        <w:t xml:space="preserve">the right to terminate this Lease. Landlord shall cooperate with Tenant in securing all necessary permits and approvals for the HazMat Storage Shed, including reasonable adjustments to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necessary to satisfy Governmental Authorities;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shall not be obligated to spend any monies in connection with cooperating with Tenant or obtaining such permits and approvals and shall not be required to perform any act or otherwise take any action that would impose or create any liabilities on Landlord. Without limiting any other obligations of Tenant set forth in this Lease, Tenant shall, at its sole cost and expense, install, maintain, and repair the HazMat Storage Shed and keep the HazMat Storage Shed in good order and appearance.</w:t>
      </w:r>
    </w:p>
    <w:p>
      <w:pPr>
        <w:spacing w:after="0" w:line="209" w:lineRule="exact"/>
        <w:rPr>
          <w:sz w:val="20"/>
          <w:szCs w:val="20"/>
          <w:color w:val="auto"/>
        </w:rPr>
      </w:pPr>
    </w:p>
    <w:p>
      <w:pPr>
        <w:jc w:val="both"/>
        <w:ind w:left="300" w:right="320" w:firstLine="1287"/>
        <w:spacing w:after="0" w:line="259" w:lineRule="auto"/>
        <w:tabs>
          <w:tab w:leader="none" w:pos="1917"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No Warranties</w:t>
      </w:r>
      <w:r>
        <w:rPr>
          <w:rFonts w:ascii="Arial" w:cs="Arial" w:eastAsia="Arial" w:hAnsi="Arial"/>
          <w:sz w:val="18"/>
          <w:szCs w:val="18"/>
          <w:color w:val="auto"/>
        </w:rPr>
        <w:t>. Landlord makes no warranties of any kind, express or implied, with respect to the HazMat</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Shed, and Landlord disclaims any such warranties. Without limiting the foregoing, Tenant expressly acknowledges and agrees that Landlord does not guaranty or warrant that the HazMat Storage Shed will be of sufficient capacity to accommodate Tenant’s use thereof or will function or perform adequately, and Landlord shall not be liable for any damages resulting from the failure of the HazMat Storage Shed.</w:t>
      </w:r>
    </w:p>
    <w:p>
      <w:pPr>
        <w:spacing w:after="0" w:line="219" w:lineRule="exact"/>
        <w:rPr>
          <w:rFonts w:ascii="Arial" w:cs="Arial" w:eastAsia="Arial" w:hAnsi="Arial"/>
          <w:sz w:val="18"/>
          <w:szCs w:val="18"/>
          <w:color w:val="auto"/>
        </w:rPr>
      </w:pPr>
    </w:p>
    <w:p>
      <w:pPr>
        <w:jc w:val="both"/>
        <w:ind w:left="300" w:right="320" w:firstLine="1287"/>
        <w:spacing w:after="0" w:line="255" w:lineRule="auto"/>
        <w:tabs>
          <w:tab w:leader="none" w:pos="1916"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Storage</w:t>
      </w:r>
      <w:r>
        <w:rPr>
          <w:rFonts w:ascii="Arial" w:cs="Arial" w:eastAsia="Arial" w:hAnsi="Arial"/>
          <w:sz w:val="18"/>
          <w:szCs w:val="18"/>
          <w:color w:val="auto"/>
        </w:rPr>
        <w:t>. The storage of Hazardous Materials in the HazMat Storage Shed shall at all times comply strictly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Environmental Requirements and Legal Requirements. Tenant shall be deemed to be the operator and owner of the HazMat Storage Shed. Tenant shall pay all costs, expenses, claims, fines, penalties, and damages that may in any manner arise out of or be imposed because of the failure of Tenant to comply with this Section. Tenant shall indemnify, defend, and hold harmless Landlord and its officers, members, directors, employees, managers, employees, agents, and contractors from all claims, injuries, damages, costs, expenses, losses, and liabilities (including, but not limited to, attorneys’ fees) arising from Tenant’s failure to comply with this Section. Each party shall promptly give notice to the other of any notice of violation received by each party. Tenant shall retain all right, title, and interest in and to the Fuel Tank and all related infrastructure (including, but not limited to, piping, venting, and metering devices) during the Term, and Landlord hereby disclaims any right, title, and interest in and to the HazMat Storage Shed.</w:t>
      </w:r>
    </w:p>
    <w:p>
      <w:pPr>
        <w:spacing w:after="0" w:line="207" w:lineRule="exact"/>
        <w:rPr>
          <w:rFonts w:ascii="Arial" w:cs="Arial" w:eastAsia="Arial" w:hAnsi="Arial"/>
          <w:sz w:val="18"/>
          <w:szCs w:val="18"/>
          <w:color w:val="auto"/>
        </w:rPr>
      </w:pPr>
    </w:p>
    <w:p>
      <w:pPr>
        <w:jc w:val="both"/>
        <w:ind w:left="300" w:right="320" w:firstLine="1287"/>
        <w:spacing w:after="0" w:line="268" w:lineRule="auto"/>
        <w:tabs>
          <w:tab w:leader="none" w:pos="1916"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If the presence of the HazMat Storage Shed is the sole cause of an increase in Landlord’s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or liability insurance premiums for the Project, Landlord shall so inform Tenant in writing and Tenant shall pay to Landlord as Additional Rent within 10 days after demand therefor an amount equal to such increase.</w:t>
      </w:r>
    </w:p>
    <w:p>
      <w:pPr>
        <w:spacing w:after="0" w:line="184" w:lineRule="exact"/>
        <w:rPr>
          <w:rFonts w:ascii="Arial" w:cs="Arial" w:eastAsia="Arial" w:hAnsi="Arial"/>
          <w:sz w:val="18"/>
          <w:szCs w:val="18"/>
          <w:color w:val="auto"/>
        </w:rPr>
      </w:pPr>
    </w:p>
    <w:p>
      <w:pPr>
        <w:jc w:val="both"/>
        <w:ind w:left="300" w:right="320" w:firstLine="1287"/>
        <w:spacing w:after="0" w:line="262" w:lineRule="auto"/>
        <w:tabs>
          <w:tab w:leader="none" w:pos="1912"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Other Lease Provisions</w:t>
      </w:r>
      <w:r>
        <w:rPr>
          <w:rFonts w:ascii="Arial" w:cs="Arial" w:eastAsia="Arial" w:hAnsi="Arial"/>
          <w:sz w:val="18"/>
          <w:szCs w:val="18"/>
          <w:color w:val="auto"/>
        </w:rPr>
        <w:t>. Although the HazMat Storage Shed does not form a part of the Premises,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Lease, including, without limitation, the insurance, maintenance, repair, release, indemnification, and Hazardous Materials Clearance provisions set forth in this Lease shall apply and be applicable to Tenant’s installation, placement, construction, operation, maintenance, and removal of the HazMat Storage Shed.</w:t>
      </w:r>
    </w:p>
    <w:p>
      <w:pPr>
        <w:spacing w:after="0" w:line="216" w:lineRule="exact"/>
        <w:rPr>
          <w:rFonts w:ascii="Arial" w:cs="Arial" w:eastAsia="Arial" w:hAnsi="Arial"/>
          <w:sz w:val="18"/>
          <w:szCs w:val="18"/>
          <w:color w:val="auto"/>
        </w:rPr>
      </w:pPr>
    </w:p>
    <w:p>
      <w:pPr>
        <w:jc w:val="both"/>
        <w:ind w:left="300" w:right="320" w:firstLine="1287"/>
        <w:spacing w:after="0" w:line="268" w:lineRule="auto"/>
        <w:tabs>
          <w:tab w:leader="none" w:pos="1913"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If Tenant Defaults in its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color w:val="auto"/>
        </w:rPr>
        <w:t>, Landlord shall have the right,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to any other rights and remedies available to Landlord for a Default by Tenant, to terminate immediately Tenant’s license to use the HazMat Storage Shed. The expiration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Suite 210, 20400 Century Boulevard—Vaccitech North America, Inc.—Page 34</w:t>
      </w:r>
    </w:p>
    <w:p>
      <w:pPr>
        <w:spacing w:after="0" w:line="200" w:lineRule="exact"/>
        <w:rPr>
          <w:sz w:val="20"/>
          <w:szCs w:val="20"/>
          <w:color w:val="auto"/>
        </w:rPr>
      </w:pPr>
    </w:p>
    <w:p>
      <w:pPr>
        <w:spacing w:after="0" w:line="363" w:lineRule="exact"/>
        <w:rPr>
          <w:sz w:val="20"/>
          <w:szCs w:val="20"/>
          <w:color w:val="auto"/>
        </w:rPr>
      </w:pPr>
    </w:p>
    <w:p>
      <w:pPr>
        <w:ind w:left="300" w:right="320"/>
        <w:spacing w:after="0" w:line="287" w:lineRule="auto"/>
        <w:rPr>
          <w:sz w:val="20"/>
          <w:szCs w:val="20"/>
          <w:color w:val="auto"/>
        </w:rPr>
      </w:pPr>
      <w:r>
        <w:rPr>
          <w:rFonts w:ascii="Arial" w:cs="Arial" w:eastAsia="Arial" w:hAnsi="Arial"/>
          <w:sz w:val="18"/>
          <w:szCs w:val="18"/>
          <w:color w:val="auto"/>
        </w:rPr>
        <w:t>earlier termination of this Lease shall automatically terminate the license hereby granted to Tenant to so use the HazMat Storage Shed.</w:t>
      </w:r>
    </w:p>
    <w:p>
      <w:pPr>
        <w:spacing w:after="0" w:line="193" w:lineRule="exact"/>
        <w:rPr>
          <w:sz w:val="20"/>
          <w:szCs w:val="20"/>
          <w:color w:val="auto"/>
        </w:rPr>
      </w:pPr>
    </w:p>
    <w:p>
      <w:pPr>
        <w:jc w:val="both"/>
        <w:ind w:left="300" w:firstLine="647"/>
        <w:spacing w:after="0" w:line="256" w:lineRule="auto"/>
        <w:rPr>
          <w:sz w:val="20"/>
          <w:szCs w:val="20"/>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On the expiration or earlier termination of this Lease, (A) Tenant shall remove all Hazardous Materials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HazMat Storage Shed and provide written confirmation reasonably acceptable to Landlord as part of the Surrender Plan that all Hazardous Materials have been removed in accordance with applicable Environmental Requirements and Legal Requirements and that the HazMat Storage Shed is free and clear of all Hazardous Materials, and (B) at Landlord’s request, Tenant shall remove the HazMat Storage Shed from the Premises in a good and workmanlike manner and in accordance with applicable Environmental Requirements and Legal Requirements and shall return the area on which the HazMat Storage Shed was located to the condition it was in prior to the installation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00" w:right="320"/>
        <w:spacing w:after="0" w:line="262" w:lineRule="auto"/>
        <w:rPr>
          <w:sz w:val="20"/>
          <w:szCs w:val="20"/>
          <w:color w:val="auto"/>
        </w:rPr>
      </w:pPr>
      <w:r>
        <w:rPr>
          <w:rFonts w:ascii="Arial" w:cs="Arial" w:eastAsia="Arial" w:hAnsi="Arial"/>
          <w:sz w:val="18"/>
          <w:szCs w:val="18"/>
          <w:color w:val="auto"/>
        </w:rPr>
        <w:t>of the Generator and HazMat Storage Shed. If Landlord does not direct that the HazMat Storage Shed be so removed, Landlord shall acquire sole ownership of the HazMat Storage Shed free and clear of all liens and encumbrances so that Landlord has good and marketable title thereto and Tenant shall execute and deliver to Landlord a bill of sale therefor (in the absence of a bill of sale, this Section shall constitute the bill of sale).</w:t>
      </w:r>
    </w:p>
    <w:p>
      <w:pPr>
        <w:spacing w:after="0" w:line="217" w:lineRule="exact"/>
        <w:rPr>
          <w:sz w:val="20"/>
          <w:szCs w:val="20"/>
          <w:color w:val="auto"/>
        </w:rPr>
      </w:pPr>
    </w:p>
    <w:p>
      <w:pPr>
        <w:ind w:left="300" w:right="780" w:firstLine="1287"/>
        <w:spacing w:after="0" w:line="271" w:lineRule="auto"/>
        <w:tabs>
          <w:tab w:leader="none" w:pos="1912" w:val="left"/>
        </w:tabs>
        <w:numPr>
          <w:ilvl w:val="1"/>
          <w:numId w:val="150"/>
        </w:numPr>
        <w:rPr>
          <w:rFonts w:ascii="Arial" w:cs="Arial" w:eastAsia="Arial" w:hAnsi="Arial"/>
          <w:sz w:val="18"/>
          <w:szCs w:val="18"/>
          <w:color w:val="auto"/>
        </w:rPr>
      </w:pPr>
      <w:r>
        <w:rPr>
          <w:rFonts w:ascii="Arial" w:cs="Arial" w:eastAsia="Arial" w:hAnsi="Arial"/>
          <w:sz w:val="18"/>
          <w:szCs w:val="18"/>
          <w:b w:val="1"/>
          <w:bCs w:val="1"/>
          <w:color w:val="auto"/>
        </w:rPr>
        <w:t>Signage</w:t>
      </w:r>
      <w:r>
        <w:rPr>
          <w:rFonts w:ascii="Arial" w:cs="Arial" w:eastAsia="Arial" w:hAnsi="Arial"/>
          <w:sz w:val="18"/>
          <w:szCs w:val="18"/>
          <w:color w:val="auto"/>
        </w:rPr>
        <w:t>. No promotional or advertising matter or signage shall be attached to, painted, or displayed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exterior of the HazMat Storage Shed.</w:t>
      </w:r>
    </w:p>
    <w:p>
      <w:pPr>
        <w:spacing w:after="0" w:line="194" w:lineRule="exact"/>
        <w:rPr>
          <w:rFonts w:ascii="Arial" w:cs="Arial" w:eastAsia="Arial" w:hAnsi="Arial"/>
          <w:sz w:val="18"/>
          <w:szCs w:val="18"/>
          <w:color w:val="auto"/>
        </w:rPr>
      </w:pPr>
    </w:p>
    <w:p>
      <w:pPr>
        <w:jc w:val="both"/>
        <w:ind w:left="300" w:right="320" w:firstLine="639"/>
        <w:spacing w:after="0" w:line="254" w:lineRule="auto"/>
        <w:tabs>
          <w:tab w:leader="none" w:pos="1264"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 Landlord shall not be in default hereunder unless Landlord fails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of its 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previously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26" w:lineRule="exact"/>
        <w:rPr>
          <w:sz w:val="20"/>
          <w:szCs w:val="20"/>
          <w:color w:val="auto"/>
        </w:rPr>
      </w:pPr>
    </w:p>
    <w:p>
      <w:pPr>
        <w:jc w:val="both"/>
        <w:ind w:left="300" w:right="320" w:firstLine="647"/>
        <w:spacing w:after="0" w:line="253" w:lineRule="auto"/>
        <w:rPr>
          <w:sz w:val="20"/>
          <w:szCs w:val="20"/>
          <w:color w:val="auto"/>
        </w:rPr>
      </w:pPr>
      <w:r>
        <w:rPr>
          <w:rFonts w:ascii="Arial" w:cs="Arial" w:eastAsia="Arial" w:hAnsi="Arial"/>
          <w:sz w:val="18"/>
          <w:szCs w:val="18"/>
          <w:color w:val="auto"/>
        </w:rPr>
        <w:t>Notwithstanding the foregoing, if any claimed Landlord default hereunder will immediately, materially, and adversely affect Tenant’s ability to conduct its business in the Premises (a “</w:t>
      </w:r>
      <w:r>
        <w:rPr>
          <w:rFonts w:ascii="Arial" w:cs="Arial" w:eastAsia="Arial" w:hAnsi="Arial"/>
          <w:sz w:val="18"/>
          <w:szCs w:val="18"/>
          <w:b w:val="1"/>
          <w:bCs w:val="1"/>
          <w:color w:val="auto"/>
        </w:rPr>
        <w:t>Material Landlord Default</w:t>
      </w:r>
      <w:r>
        <w:rPr>
          <w:rFonts w:ascii="Arial" w:cs="Arial" w:eastAsia="Arial" w:hAnsi="Arial"/>
          <w:sz w:val="18"/>
          <w:szCs w:val="18"/>
          <w:color w:val="auto"/>
        </w:rPr>
        <w:t>”), Tenant shall, as soon as reasonably possible, but in any event within 2 business days of obtaining knowledge of such claimed Material Landlord Default, give Landlord written notice of such claim and telephonic notice to Tenant’s principal contact with Landlord. Landlord shall then have 2 business days to commence cure of such claimed Material Landlord Default and shall diligently prosecute such cure to completion. If such claimed Material Landlord Default is not a default by Landlord hereunder, or if Tenant failed to give Landlord the notice required hereunder within 2 business days of learning of the conditions giving rise to the claimed Material Landlord Default, Landlord shall be entitled to recover from Tenant, as Additional Rent, any costs incurred by Landlord in connection with such cure in excess of the costs, if any, that Landlord would otherwise have been liable to pay hereunder. If Landlord fails to commence cure of any claimed Material Landlord Default as provided above, Tenant may commence and prosecute such cure to completion, and shall be entitled to recover the costs of such cure (but not any consequential or other damages) from Landlord, to the extent of Landlord’s obligation to cure such claimed Material Landlord Default hereunder, subject to the limitations set forth in this paragraph and the other provisions of this Lease. In no event whatsoever shall any curative action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70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-248285</wp:posOffset>
            </wp:positionV>
            <wp:extent cx="702945" cy="257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Suite 210, 20400 Century Boulevard—Vaccitech North America, Inc.—Page 35</w:t>
      </w:r>
    </w:p>
    <w:p>
      <w:pPr>
        <w:spacing w:after="0" w:line="200" w:lineRule="exact"/>
        <w:rPr>
          <w:sz w:val="20"/>
          <w:szCs w:val="20"/>
          <w:color w:val="auto"/>
        </w:rPr>
      </w:pPr>
    </w:p>
    <w:p>
      <w:pPr>
        <w:spacing w:after="0" w:line="376" w:lineRule="exact"/>
        <w:rPr>
          <w:sz w:val="20"/>
          <w:szCs w:val="20"/>
          <w:color w:val="auto"/>
        </w:rPr>
      </w:pPr>
    </w:p>
    <w:p>
      <w:pPr>
        <w:jc w:val="both"/>
        <w:ind w:left="300" w:right="320" w:hanging="8"/>
        <w:spacing w:after="0" w:line="268" w:lineRule="auto"/>
        <w:tabs>
          <w:tab w:leader="none" w:pos="57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affect any Building Systems serving areas outside of the Premises, (b) interfere with another tenant’s operations at its premises at the Project or such tenant’s use and enjoyment of its premises at the Project, or (c) affect any portion of the Building’s structure, roof, or exterior.-</w:t>
      </w:r>
    </w:p>
    <w:p>
      <w:pPr>
        <w:spacing w:after="0" w:line="198" w:lineRule="exact"/>
        <w:rPr>
          <w:sz w:val="20"/>
          <w:szCs w:val="20"/>
          <w:color w:val="auto"/>
        </w:rPr>
      </w:pPr>
    </w:p>
    <w:p>
      <w:pPr>
        <w:jc w:val="both"/>
        <w:ind w:left="300" w:right="320" w:firstLine="647"/>
        <w:spacing w:after="0" w:line="259"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220" w:lineRule="exact"/>
        <w:rPr>
          <w:sz w:val="20"/>
          <w:szCs w:val="20"/>
          <w:color w:val="auto"/>
        </w:rPr>
      </w:pPr>
    </w:p>
    <w:p>
      <w:pPr>
        <w:jc w:val="both"/>
        <w:ind w:left="300" w:firstLine="647"/>
        <w:spacing w:after="0" w:line="268" w:lineRule="auto"/>
        <w:rPr>
          <w:sz w:val="20"/>
          <w:szCs w:val="20"/>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and its agents, representatives, and contractors may enter the Premises at any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inspect the Premises and to make such repairs as may be required or permitted pursuant to this Lease and for any other business purpose. Landlord and Landlord’s representatives may enter the Premises during business hours on not less than 3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00" w:right="320"/>
        <w:spacing w:after="0" w:line="254" w:lineRule="auto"/>
        <w:rPr>
          <w:sz w:val="20"/>
          <w:szCs w:val="20"/>
          <w:color w:val="auto"/>
        </w:rPr>
      </w:pPr>
      <w:r>
        <w:rPr>
          <w:rFonts w:ascii="Arial" w:cs="Arial" w:eastAsia="Arial" w:hAnsi="Arial"/>
          <w:sz w:val="18"/>
          <w:szCs w:val="18"/>
          <w:color w:val="auto"/>
        </w:rPr>
        <w:t xml:space="preserve">days’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212" w:lineRule="exact"/>
        <w:rPr>
          <w:sz w:val="20"/>
          <w:szCs w:val="20"/>
          <w:color w:val="auto"/>
        </w:rPr>
      </w:pPr>
    </w:p>
    <w:p>
      <w:pPr>
        <w:jc w:val="both"/>
        <w:ind w:left="300" w:right="320" w:firstLine="639"/>
        <w:spacing w:after="0" w:line="256" w:lineRule="auto"/>
        <w:tabs>
          <w:tab w:leader="none" w:pos="1264"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in 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223" w:lineRule="exact"/>
        <w:rPr>
          <w:rFonts w:ascii="Arial" w:cs="Arial" w:eastAsia="Arial" w:hAnsi="Arial"/>
          <w:sz w:val="18"/>
          <w:szCs w:val="18"/>
          <w:color w:val="auto"/>
        </w:rPr>
      </w:pPr>
    </w:p>
    <w:p>
      <w:pPr>
        <w:jc w:val="both"/>
        <w:ind w:left="300" w:right="320" w:firstLine="639"/>
        <w:spacing w:after="0" w:line="255" w:lineRule="auto"/>
        <w:tabs>
          <w:tab w:leader="none" w:pos="1264"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Neither Landlord nor Tenant shall be responsible or liable for delays in the performance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such party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Force Majeure excuse or delay either Landlord or Tenant from performing any monetary obligation under this Lease, or excuse or delay Tenant’s obligation to vacate and surrender timely the Premises in accordance with the terms and conditions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Suite 210, 20400 Century Boulevard—Vaccitech North America, Inc.—Page 36</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57" w:lineRule="auto"/>
        <w:tabs>
          <w:tab w:leader="none" w:pos="1264"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it has not dealt with any broker, agent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other than Scheer Partners, Inc. (“</w:t>
      </w:r>
      <w:r>
        <w:rPr>
          <w:rFonts w:ascii="Arial" w:cs="Arial" w:eastAsia="Arial" w:hAnsi="Arial"/>
          <w:sz w:val="18"/>
          <w:szCs w:val="18"/>
          <w:b w:val="1"/>
          <w:bCs w:val="1"/>
          <w:color w:val="auto"/>
        </w:rPr>
        <w:t>SPI</w:t>
      </w:r>
      <w:r>
        <w:rPr>
          <w:rFonts w:ascii="Arial" w:cs="Arial" w:eastAsia="Arial" w:hAnsi="Arial"/>
          <w:sz w:val="18"/>
          <w:szCs w:val="18"/>
          <w:color w:val="auto"/>
        </w:rPr>
        <w:t>”). SPI shall be paid by Landlord pursuant to a separate agreement between Landlord and SPI. Landlord and Tenant each hereby agree to indemnify and hold the other harmless from and against any claims by any Broker, other than SPI, claiming a commission or other form of compensation by virtue of having dealt with Tenant or Landlord, as applicable, with regard to this leasing transaction.</w:t>
      </w:r>
    </w:p>
    <w:p>
      <w:pPr>
        <w:spacing w:after="0" w:line="223" w:lineRule="exact"/>
        <w:rPr>
          <w:sz w:val="20"/>
          <w:szCs w:val="20"/>
          <w:color w:val="auto"/>
        </w:rPr>
      </w:pPr>
    </w:p>
    <w:p>
      <w:pPr>
        <w:jc w:val="both"/>
        <w:ind w:left="300" w:firstLine="647"/>
        <w:spacing w:after="0" w:line="256" w:lineRule="auto"/>
        <w:rPr>
          <w:sz w:val="20"/>
          <w:szCs w:val="20"/>
          <w:color w:val="auto"/>
        </w:rPr>
      </w:pPr>
      <w:r>
        <w:rPr>
          <w:rFonts w:ascii="Arial" w:cs="Arial" w:eastAsia="Arial" w:hAnsi="Arial"/>
          <w:sz w:val="18"/>
          <w:szCs w:val="18"/>
          <w:b w:val="1"/>
          <w:bCs w:val="1"/>
          <w:color w:val="auto"/>
        </w:rPr>
        <w:t xml:space="preserve">Limitation on Landlord’s Liability. </w:t>
      </w:r>
      <w:r>
        <w:rPr>
          <w:rFonts w:ascii="Arial" w:cs="Arial" w:eastAsia="Arial" w:hAnsi="Arial"/>
          <w:sz w:val="18"/>
          <w:szCs w:val="18"/>
          <w:color w:val="auto"/>
        </w:rPr>
        <w:t>NOTWITHSTANDING ANYTHING SET FORTH HEREIN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00" w:right="320"/>
        <w:spacing w:after="0" w:line="268" w:lineRule="auto"/>
        <w:rPr>
          <w:sz w:val="20"/>
          <w:szCs w:val="20"/>
          <w:color w:val="auto"/>
        </w:rPr>
      </w:pPr>
      <w:r>
        <w:rPr>
          <w:rFonts w:ascii="Arial" w:cs="Arial" w:eastAsia="Arial" w:hAnsi="Arial"/>
          <w:sz w:val="17"/>
          <w:szCs w:val="17"/>
          <w:color w:val="auto"/>
        </w:rPr>
        <w:t>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 TENANT ACKNOWLEDGES AND AGREES THAT MEASURES AND/OR SERVICES IMPLEMENTED AT THE PROJECT, IF ANY, INTENDED TO ENCOURAGE SOCIAL DISTANCING, PROMOTE AND PROTECT HEALTH AND PHYSICAL WELL-BEING AND/OR INTENDED TO PREVENT OR LIMIT THE SPREAD OR TRANSMISSION OF INFECTIOUS CONDITIONS, MAY NOT PREVENT OR LIMIT THE SPREAD OR TRANSMISSION OF SUCH INFECTIOUS CONDITIONS. LANDLORD SHALL HAVE NO LIABILITY AND TENANT IRREVOCABLY RELEASES AND WAIVES ANY CLAIMS AGAINST LANDLORD FOR ANY LOSS, DAMAGE, INJURY, OR DEATH IN CONNECTION WITH (X) THE IMPLEMENTATION, OR FAILURE OF LANDLORD OR ANY LANDLORD PARTIES TO IMPLEMENT, ANY MEASURES AND/OR SERVICES AT THE PROJECT INTENDED TO ENCOURAGE SOCIAL DISTANCING, PROMOTE AND PROTECT HEALTH AND PHYSICAL WELL-BEING AND/OR INTENDED TO PREVENT OR LIMIT THE SPREAD OR TRANSMISSION OF INFECTIOUS CONDITIONS, OR (Y) THE FAILURE OF ANY MEASURES AND/OR SERVICES IMPLEMENTED AT THE PROJECT TO PREVENT OR LIMIT THE SPREAD OR TRANSMISSION OF ANY INFECTIOUS CONDITIONS.</w:t>
      </w:r>
    </w:p>
    <w:p>
      <w:pPr>
        <w:spacing w:after="0" w:line="200" w:lineRule="exact"/>
        <w:rPr>
          <w:sz w:val="20"/>
          <w:szCs w:val="20"/>
          <w:color w:val="auto"/>
        </w:rPr>
      </w:pPr>
    </w:p>
    <w:p>
      <w:pPr>
        <w:spacing w:after="0" w:line="229" w:lineRule="exact"/>
        <w:rPr>
          <w:sz w:val="20"/>
          <w:szCs w:val="20"/>
          <w:color w:val="auto"/>
        </w:rPr>
      </w:pPr>
    </w:p>
    <w:p>
      <w:pPr>
        <w:jc w:val="both"/>
        <w:ind w:left="300" w:right="320" w:firstLine="639"/>
        <w:spacing w:after="0" w:line="256" w:lineRule="auto"/>
        <w:tabs>
          <w:tab w:leader="none" w:pos="1264"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 laws, then</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 This Lease, including the exhibits attached hereto, constitutes the entire agreement between Landlord and Tenant pertaining to the subject matter hereof and supersedes all prior agreements, understandings, letters of intent, negotiations, and discussions, whether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Suite 210, 20400 Century Boulevard—Vaccitech North America, Inc.—Page 37</w:t>
      </w:r>
    </w:p>
    <w:p>
      <w:pPr>
        <w:spacing w:after="0" w:line="200" w:lineRule="exact"/>
        <w:rPr>
          <w:sz w:val="20"/>
          <w:szCs w:val="20"/>
          <w:color w:val="auto"/>
        </w:rPr>
      </w:pPr>
    </w:p>
    <w:p>
      <w:pPr>
        <w:spacing w:after="0" w:line="363" w:lineRule="exact"/>
        <w:rPr>
          <w:sz w:val="20"/>
          <w:szCs w:val="20"/>
          <w:color w:val="auto"/>
        </w:rPr>
      </w:pPr>
    </w:p>
    <w:p>
      <w:pPr>
        <w:jc w:val="both"/>
        <w:ind w:left="300" w:right="340"/>
        <w:spacing w:after="0" w:line="268" w:lineRule="auto"/>
        <w:rPr>
          <w:sz w:val="20"/>
          <w:szCs w:val="20"/>
          <w:color w:val="auto"/>
        </w:rPr>
      </w:pPr>
      <w:r>
        <w:rPr>
          <w:rFonts w:ascii="Arial" w:cs="Arial" w:eastAsia="Arial" w:hAnsi="Arial"/>
          <w:sz w:val="18"/>
          <w:szCs w:val="18"/>
          <w:color w:val="auto"/>
        </w:rPr>
        <w:t>oral or written, of the parties, and there are no warranties, representations, or other agreements, express or implied, made to either party by the other party in connection with the subject matter hereof except as specifically set forth herein or in the documents delivered pursuant hereto or in connection herewith.</w:t>
      </w:r>
    </w:p>
    <w:p>
      <w:pPr>
        <w:spacing w:after="0" w:line="211" w:lineRule="exact"/>
        <w:rPr>
          <w:sz w:val="20"/>
          <w:szCs w:val="20"/>
          <w:color w:val="auto"/>
        </w:rPr>
      </w:pPr>
    </w:p>
    <w:p>
      <w:pPr>
        <w:jc w:val="both"/>
        <w:ind w:left="300" w:firstLine="647"/>
        <w:spacing w:after="0" w:line="254" w:lineRule="auto"/>
        <w:rPr>
          <w:sz w:val="20"/>
          <w:szCs w:val="20"/>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Tenant shall not, without the prior written consent of Landlord, which may be granted or withheld</w:t>
      </w:r>
      <w:r>
        <w:rPr>
          <w:rFonts w:ascii="Arial" w:cs="Arial" w:eastAsia="Arial" w:hAnsi="Arial"/>
          <w:sz w:val="18"/>
          <w:szCs w:val="18"/>
          <w:b w:val="1"/>
          <w:bCs w:val="1"/>
          <w:color w:val="auto"/>
        </w:rPr>
        <w:t xml:space="preserve"> </w:t>
      </w:r>
      <w:r>
        <w:rPr>
          <w:rFonts w:ascii="Arial" w:cs="Arial" w:eastAsia="Arial" w:hAnsi="Arial"/>
          <w:sz w:val="18"/>
          <w:szCs w:val="18"/>
          <w:color w:val="auto"/>
        </w:rPr>
        <w:t>in Landlord’s 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that can be viewed from the exterior of the Premises. Interior signs on doors and the directory tablet shall be inscribed, painted or affixed for Tenant by Landlord at the sole cost and expense of Tenant, and shall be of a size, color and type reasonably acceptable to Landlord. Nothing may be placed on the exterior of corridor walls or corridor doors other than Landlord’s standard lettering. The directory tablet shall be provided exclusively for the display of the name and location of tenants.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00" w:right="320" w:firstLine="639"/>
        <w:spacing w:after="0" w:line="253"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Identification Signage</w:t>
      </w:r>
      <w:r>
        <w:rPr>
          <w:rFonts w:ascii="Arial" w:cs="Arial" w:eastAsia="Arial" w:hAnsi="Arial"/>
          <w:sz w:val="18"/>
          <w:szCs w:val="18"/>
          <w:color w:val="auto"/>
        </w:rPr>
        <w:t>. Tenant shall have the non-exclusive right, at its sole option, cost, and expense and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applicable Legal Requirements, to install and affix to the exterior of the Building a single mounted, back-lit and electrified sign as desired by Tenant and permitted by applicable Legal Requirements (and related electrical connections and equipment) bearing the then-current name and the corporate logo of Tenant (“</w:t>
      </w:r>
      <w:r>
        <w:rPr>
          <w:rFonts w:ascii="Arial" w:cs="Arial" w:eastAsia="Arial" w:hAnsi="Arial"/>
          <w:sz w:val="18"/>
          <w:szCs w:val="18"/>
          <w:b w:val="1"/>
          <w:bCs w:val="1"/>
          <w:color w:val="auto"/>
        </w:rPr>
        <w:t>Identification Signage</w:t>
      </w:r>
      <w:r>
        <w:rPr>
          <w:rFonts w:ascii="Arial" w:cs="Arial" w:eastAsia="Arial" w:hAnsi="Arial"/>
          <w:sz w:val="18"/>
          <w:szCs w:val="18"/>
          <w:color w:val="auto"/>
        </w:rPr>
        <w:t>”). Such right shall be personal to Vaccitech North America, Inc. and any transferee of this Lease or sublessee of all or any part of the Premises pursuant to a Permitted Assignment. Landlord shall have the right to approve the place, size, and design of the Identification Signage, which approval shall not be unreasonably withheld, delayed, or conditioned. Tenant shall, at its sole cost and expense, maintain the Identification Signage in first class condition and repair and have the right to replace, renovate, and/or update the Identification Signage from time to time, subject to Landlord’s approval, which approval shall not be unreasonably withheld, delayed, or conditioned. On the expiration or earlier termination of the Term, Tenant shall, at its sole cost and expense, (i) remove the Identification Signage in a good and workmanlike manner and in compliance with all applicable Legal Requirements, and (ii) repair any damage to the façade or appearance of the Building caused by installation, replacement, renovation, updating and/or removal of the Identification Signage.</w:t>
      </w:r>
    </w:p>
    <w:p>
      <w:pPr>
        <w:spacing w:after="0" w:line="227" w:lineRule="exact"/>
        <w:rPr>
          <w:rFonts w:ascii="Arial" w:cs="Arial" w:eastAsia="Arial" w:hAnsi="Arial"/>
          <w:sz w:val="18"/>
          <w:szCs w:val="18"/>
          <w:color w:val="auto"/>
        </w:rPr>
      </w:pPr>
    </w:p>
    <w:p>
      <w:pPr>
        <w:jc w:val="both"/>
        <w:ind w:left="300" w:right="320" w:firstLine="639"/>
        <w:spacing w:after="0" w:line="261" w:lineRule="auto"/>
        <w:tabs>
          <w:tab w:leader="none" w:pos="1261"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Monument Sign</w:t>
      </w:r>
      <w:r>
        <w:rPr>
          <w:rFonts w:ascii="Arial" w:cs="Arial" w:eastAsia="Arial" w:hAnsi="Arial"/>
          <w:sz w:val="18"/>
          <w:szCs w:val="18"/>
          <w:color w:val="auto"/>
        </w:rPr>
        <w:t>. Tenant shall have the non-exclusive right, at its sole cost and expense, to place its name/corporate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logo on the existing monument sign for the Project (the placement, size, and design of such name/corporate logo shall be subject to Landlord’s reasonable approval).</w:t>
      </w:r>
    </w:p>
    <w:p>
      <w:pPr>
        <w:spacing w:after="0" w:line="202" w:lineRule="exact"/>
        <w:rPr>
          <w:sz w:val="20"/>
          <w:szCs w:val="20"/>
          <w:color w:val="auto"/>
        </w:rPr>
      </w:pPr>
    </w:p>
    <w:p>
      <w:pPr>
        <w:ind w:left="1260" w:hanging="321"/>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this Lease upon the following terms and</w:t>
      </w:r>
    </w:p>
    <w:p>
      <w:pPr>
        <w:spacing w:after="0" w:line="1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conditions:</w:t>
      </w:r>
    </w:p>
    <w:p>
      <w:pPr>
        <w:spacing w:after="0" w:line="234" w:lineRule="exact"/>
        <w:rPr>
          <w:sz w:val="20"/>
          <w:szCs w:val="20"/>
          <w:color w:val="auto"/>
        </w:rPr>
      </w:pPr>
    </w:p>
    <w:p>
      <w:pPr>
        <w:jc w:val="both"/>
        <w:ind w:left="300" w:right="320" w:firstLine="639"/>
        <w:spacing w:after="0" w:line="257" w:lineRule="auto"/>
        <w:tabs>
          <w:tab w:leader="none" w:pos="1261"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Extension Right</w:t>
      </w:r>
      <w:r>
        <w:rPr>
          <w:rFonts w:ascii="Arial" w:cs="Arial" w:eastAsia="Arial" w:hAnsi="Arial"/>
          <w:sz w:val="18"/>
          <w:szCs w:val="18"/>
          <w:color w:val="auto"/>
        </w:rPr>
        <w:t>. Tenant shall have a single right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5 years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Base Rent) by giving Landlord written notice of its election to exercise the Extension Right at least 9 months prior, and no earlier than 12 months prior, to the expiration of the Base Term of this Lease.</w:t>
      </w:r>
    </w:p>
    <w:p>
      <w:pPr>
        <w:spacing w:after="0" w:line="206" w:lineRule="exact"/>
        <w:rPr>
          <w:rFonts w:ascii="Arial" w:cs="Arial" w:eastAsia="Arial" w:hAnsi="Arial"/>
          <w:sz w:val="18"/>
          <w:szCs w:val="18"/>
          <w:color w:val="auto"/>
        </w:rPr>
      </w:pPr>
    </w:p>
    <w:p>
      <w:pPr>
        <w:jc w:val="both"/>
        <w:ind w:left="300" w:right="320" w:firstLine="639"/>
        <w:spacing w:after="0" w:line="259" w:lineRule="auto"/>
        <w:tabs>
          <w:tab w:leader="none" w:pos="1261"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Upon the commencement of the Extension Term, Base Rent shall be payable at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greater</w:t>
      </w:r>
      <w:r>
        <w:rPr>
          <w:rFonts w:ascii="Arial" w:cs="Arial" w:eastAsia="Arial" w:hAnsi="Arial"/>
          <w:sz w:val="18"/>
          <w:szCs w:val="18"/>
          <w:b w:val="1"/>
          <w:bCs w:val="1"/>
          <w:color w:val="auto"/>
        </w:rPr>
        <w:t xml:space="preserve"> </w:t>
      </w:r>
      <w:r>
        <w:rPr>
          <w:rFonts w:ascii="Arial" w:cs="Arial" w:eastAsia="Arial" w:hAnsi="Arial"/>
          <w:sz w:val="18"/>
          <w:szCs w:val="18"/>
          <w:color w:val="auto"/>
        </w:rPr>
        <w:t>of (i)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 the Base Rent payable immediately before such adjustment by the Rent Adjustment Percentage and adding the resulting amount to the Base Rent payable immediately before such adjustment, and (ii) the Market Rate (as defined below). Base Rent shall thereafter be adjusted on each anniversary of the commencement of the Extension Term by a percentage as determined by Landlord and agreed to by Tenant at the time the Market Rate is determined. As used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Suite 210, 20400 Century Boulevard—Vaccitech North America, Inc.—Page 38</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54" w:lineRule="auto"/>
        <w:rPr>
          <w:sz w:val="20"/>
          <w:szCs w:val="20"/>
          <w:color w:val="auto"/>
        </w:rPr>
      </w:pPr>
      <w:r>
        <w:rPr>
          <w:rFonts w:ascii="Arial" w:cs="Arial" w:eastAsia="Arial" w:hAnsi="Arial"/>
          <w:sz w:val="18"/>
          <w:szCs w:val="18"/>
          <w:color w:val="auto"/>
        </w:rPr>
        <w:t>herein, “</w:t>
      </w:r>
      <w:r>
        <w:rPr>
          <w:rFonts w:ascii="Arial" w:cs="Arial" w:eastAsia="Arial" w:hAnsi="Arial"/>
          <w:sz w:val="18"/>
          <w:szCs w:val="18"/>
          <w:b w:val="1"/>
          <w:bCs w:val="1"/>
          <w:color w:val="auto"/>
        </w:rPr>
        <w:t>Market Rate</w:t>
      </w:r>
      <w:r>
        <w:rPr>
          <w:rFonts w:ascii="Arial" w:cs="Arial" w:eastAsia="Arial" w:hAnsi="Arial"/>
          <w:sz w:val="18"/>
          <w:szCs w:val="18"/>
          <w:color w:val="auto"/>
        </w:rPr>
        <w:t xml:space="preserve">” shall mean the then fair market rental rate (including applicable market concessions) for comparable space in only those buildings of comparable age, location, and quality in the Germantown, Maryland submarket as determined by Landlord and agreed to by Tenant. Within 30 days of the delivery to Landlord of Tenant’s written notice of Tenant’s election to exercise the Extension Right, Landlord shall deliver to Tenant Landlord’s determination of the Market Rate and the rent escalations for the Extension Term, whereupon Landlord and Tenant shall use commercially reasonable efforts to negotiate in good faith the Market Rate and rent escalations for the Extension Term. If Landlord and Tenant are unable to agree on the Market Rate and rent escalations by the date that is 120 days before the expiration of the Base Term of this Lease, Tenant may by written notice to Landlord not later than 120 days prior to the expiration of the Base Term of this Lease elect arbitration as described in </w:t>
      </w: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below. If Tenant does not elect such arbitration, Tenant shall be deemed to have waived any right to extend the Term of this Lease and the Extension Right shall terminate.</w:t>
      </w:r>
    </w:p>
    <w:p>
      <w:pPr>
        <w:spacing w:after="0" w:line="226" w:lineRule="exact"/>
        <w:rPr>
          <w:sz w:val="20"/>
          <w:szCs w:val="20"/>
          <w:color w:val="auto"/>
        </w:rPr>
      </w:pPr>
    </w:p>
    <w:p>
      <w:pPr>
        <w:ind w:left="1580" w:hanging="640"/>
        <w:spacing w:after="0"/>
        <w:tabs>
          <w:tab w:leader="none" w:pos="158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66" w:lineRule="exact"/>
        <w:rPr>
          <w:sz w:val="20"/>
          <w:szCs w:val="20"/>
          <w:color w:val="auto"/>
        </w:rPr>
      </w:pPr>
    </w:p>
    <w:p>
      <w:pPr>
        <w:jc w:val="both"/>
        <w:ind w:left="300" w:firstLine="647"/>
        <w:spacing w:after="0" w:line="268" w:lineRule="auto"/>
        <w:rPr>
          <w:sz w:val="20"/>
          <w:szCs w:val="20"/>
          <w:color w:val="auto"/>
        </w:rPr>
      </w:pPr>
      <w:r>
        <w:rPr>
          <w:rFonts w:ascii="Arial" w:cs="Arial" w:eastAsia="Arial" w:hAnsi="Arial"/>
          <w:sz w:val="18"/>
          <w:szCs w:val="18"/>
          <w:color w:val="auto"/>
        </w:rPr>
        <w:t>Within 10 days of Tenant’s notice to Landlord of its election to arbitrate Market Rate and escalations,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 Proposal</w:t>
      </w:r>
      <w:r>
        <w:rPr>
          <w:rFonts w:ascii="Arial" w:cs="Arial" w:eastAsia="Arial" w:hAnsi="Arial"/>
          <w:sz w:val="18"/>
          <w:szCs w:val="18"/>
          <w:color w:val="auto"/>
        </w:rPr>
        <w:t>”). If either party fails to timely submit an Extension Proposal, the other party’s submitted proposal shall determine the Market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00" w:right="320"/>
        <w:spacing w:after="0" w:line="255" w:lineRule="auto"/>
        <w:rPr>
          <w:sz w:val="20"/>
          <w:szCs w:val="20"/>
          <w:color w:val="auto"/>
        </w:rPr>
      </w:pPr>
      <w:r>
        <w:rPr>
          <w:rFonts w:ascii="Arial" w:cs="Arial" w:eastAsia="Arial" w:hAnsi="Arial"/>
          <w:sz w:val="18"/>
          <w:szCs w:val="18"/>
          <w:color w:val="auto"/>
        </w:rPr>
        <w:t>Rent and the escalations for the Extension Term. If both parties submit Extension Proposals, then Landlord and Tenant shall meet within 7 days after delivery of the last Extension Proposal and make a good faith attempt to mutually appoint a single Arbitrator (as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221" w:lineRule="exact"/>
        <w:rPr>
          <w:sz w:val="20"/>
          <w:szCs w:val="20"/>
          <w:color w:val="auto"/>
        </w:rPr>
      </w:pPr>
    </w:p>
    <w:p>
      <w:pPr>
        <w:jc w:val="both"/>
        <w:ind w:left="300" w:right="320" w:firstLine="1287"/>
        <w:spacing w:after="0" w:line="255" w:lineRule="auto"/>
        <w:tabs>
          <w:tab w:leader="none" w:pos="191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and deliver an amendment recognizing the Base Rent and escalations for the Extension Term.</w:t>
      </w:r>
    </w:p>
    <w:p>
      <w:pPr>
        <w:spacing w:after="0" w:line="207" w:lineRule="exact"/>
        <w:rPr>
          <w:rFonts w:ascii="Arial" w:cs="Arial" w:eastAsia="Arial" w:hAnsi="Arial"/>
          <w:sz w:val="18"/>
          <w:szCs w:val="18"/>
          <w:color w:val="auto"/>
        </w:rPr>
      </w:pPr>
    </w:p>
    <w:p>
      <w:pPr>
        <w:jc w:val="both"/>
        <w:ind w:left="300" w:right="320" w:firstLine="1287"/>
        <w:spacing w:after="0" w:line="257" w:lineRule="auto"/>
        <w:tabs>
          <w:tab w:leader="none" w:pos="19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(1) shall be (A) a member of the American Institute of Real Estate Appraisers with not less than 10 years of experience in the appraisal of improved office and high tech industrial real estate in the greater Rockville/Germantown, Maryland metropolitan area, or (B) a licensed commercial real estate broker with not less than 15 years’ experience representing landlords and/or tenants in the leasing of high tech or life sciences space in the greater Rockville/Germantown, Maryland metropolitan area, (2) devoting substantially all of their time to professional appraisal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00" w:right="80"/>
        <w:spacing w:after="0" w:line="255"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-239395</wp:posOffset>
            </wp:positionV>
            <wp:extent cx="702945" cy="2571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Suite 210, 20400 Century Boulevard—Vaccitech North America, Inc.—Page 39</w:t>
      </w: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brokerage work, as applicable, at the time of appointment and (iii) be in all respects impartial and disinterested.</w:t>
      </w:r>
    </w:p>
    <w:p>
      <w:pPr>
        <w:spacing w:after="0" w:line="266" w:lineRule="exact"/>
        <w:rPr>
          <w:sz w:val="20"/>
          <w:szCs w:val="20"/>
          <w:color w:val="auto"/>
        </w:rPr>
      </w:pPr>
    </w:p>
    <w:p>
      <w:pPr>
        <w:jc w:val="both"/>
        <w:ind w:left="300" w:right="320" w:firstLine="639"/>
        <w:spacing w:after="0" w:line="261" w:lineRule="auto"/>
        <w:tabs>
          <w:tab w:leader="none" w:pos="1261"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Right Personal</w:t>
      </w:r>
      <w:r>
        <w:rPr>
          <w:rFonts w:ascii="Arial" w:cs="Arial" w:eastAsia="Arial" w:hAnsi="Arial"/>
          <w:sz w:val="18"/>
          <w:szCs w:val="18"/>
          <w:color w:val="auto"/>
        </w:rPr>
        <w:t>. The Extension Right is personal to Tenant and is not assignable without Landlord’s consent,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or withheld in Landlord’s sole discretion separate and apart from any consent by Landlord to an assignment of Tenant’s interest in this Lease, except that the Extension Right may be assigned in connection with any Permitted Assignment.</w:t>
      </w:r>
    </w:p>
    <w:p>
      <w:pPr>
        <w:spacing w:after="0" w:line="202" w:lineRule="exact"/>
        <w:rPr>
          <w:rFonts w:ascii="Arial" w:cs="Arial" w:eastAsia="Arial" w:hAnsi="Arial"/>
          <w:sz w:val="18"/>
          <w:szCs w:val="18"/>
          <w:color w:val="auto"/>
        </w:rPr>
      </w:pPr>
    </w:p>
    <w:p>
      <w:pPr>
        <w:jc w:val="both"/>
        <w:ind w:left="300" w:right="320" w:firstLine="639"/>
        <w:spacing w:after="0" w:line="259" w:lineRule="auto"/>
        <w:tabs>
          <w:tab w:leader="none" w:pos="1261"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not be in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may not exercise the Extension Right: (i) during any period of time that Tenant is in Default under any provision of this Lease; or (ii) if Tenant has been in Default under any provision of this Lease 3 or more times, regardless of whether the Defaults are cured, during the 12 month period immediately prior to the date that Tenant intends to exercise the Extension Right, regardless of whether the Defaults are cured.</w:t>
      </w:r>
    </w:p>
    <w:p>
      <w:pPr>
        <w:spacing w:after="0" w:line="219" w:lineRule="exact"/>
        <w:rPr>
          <w:rFonts w:ascii="Arial" w:cs="Arial" w:eastAsia="Arial" w:hAnsi="Arial"/>
          <w:sz w:val="18"/>
          <w:szCs w:val="18"/>
          <w:color w:val="auto"/>
        </w:rPr>
      </w:pPr>
    </w:p>
    <w:p>
      <w:pPr>
        <w:ind w:left="300" w:right="340" w:firstLine="639"/>
        <w:spacing w:after="0" w:line="271" w:lineRule="auto"/>
        <w:tabs>
          <w:tab w:leader="none" w:pos="1265"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 enlarged</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Tenant’s inability to exercise the Extension Right.</w:t>
      </w:r>
    </w:p>
    <w:p>
      <w:pPr>
        <w:spacing w:after="0" w:line="194" w:lineRule="exact"/>
        <w:rPr>
          <w:sz w:val="20"/>
          <w:szCs w:val="20"/>
          <w:color w:val="auto"/>
        </w:rPr>
      </w:pPr>
    </w:p>
    <w:p>
      <w:pPr>
        <w:jc w:val="both"/>
        <w:ind w:left="300" w:firstLine="647"/>
        <w:spacing w:after="0" w:line="261" w:lineRule="auto"/>
        <w:rPr>
          <w:sz w:val="20"/>
          <w:szCs w:val="20"/>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 shall terminate and be of no further force or effect even after Tenant’s due and timely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Extension Right, if, after such exercise, but prior to the commencement date of the Extension Term, (i) Tenant fails to timely cure any default by Tenant under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right="340"/>
        <w:spacing w:after="0" w:line="287" w:lineRule="auto"/>
        <w:rPr>
          <w:sz w:val="20"/>
          <w:szCs w:val="20"/>
          <w:color w:val="auto"/>
        </w:rPr>
      </w:pPr>
      <w:r>
        <w:rPr>
          <w:rFonts w:ascii="Arial" w:cs="Arial" w:eastAsia="Arial" w:hAnsi="Arial"/>
          <w:sz w:val="18"/>
          <w:szCs w:val="18"/>
          <w:color w:val="auto"/>
        </w:rPr>
        <w:t>this Lease; or (ii) Tenant has Defaulted 3 or more times during the period from the date of the exercise of the Extension Right to the date of the commencement of the Extension Term, regardless of whether such Defaults are cured.</w:t>
      </w:r>
    </w:p>
    <w:p>
      <w:pPr>
        <w:spacing w:after="0" w:line="180" w:lineRule="exact"/>
        <w:rPr>
          <w:sz w:val="20"/>
          <w:szCs w:val="20"/>
          <w:color w:val="auto"/>
        </w:rPr>
      </w:pPr>
    </w:p>
    <w:p>
      <w:pPr>
        <w:jc w:val="both"/>
        <w:ind w:left="300" w:right="320" w:firstLine="639"/>
        <w:spacing w:after="0" w:line="259" w:lineRule="auto"/>
        <w:tabs>
          <w:tab w:leader="none" w:pos="1264"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Roof Equipment</w:t>
      </w:r>
      <w:r>
        <w:rPr>
          <w:rFonts w:ascii="Arial" w:cs="Arial" w:eastAsia="Arial" w:hAnsi="Arial"/>
          <w:sz w:val="18"/>
          <w:szCs w:val="18"/>
          <w:color w:val="auto"/>
        </w:rPr>
        <w:t>. Tenant shall have the right at its sole cost and expense, subject to compliance with all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to install, maintain, and remove on the top of the roof of the Building (based on Tenant’s proportionate share of the space available on the roof) directly above the Premises one or more satellite dishes, communication antennae, or other equipment such as HVAC and exhaust stacks/fans (all of which having a diameter and height acceptable to Landlord) for the transmission or reception of communication of signals as Tenant may from time to time desire as well as ductwork/conduit to connect such equipment to the Premises (collectively, “</w:t>
      </w:r>
      <w:r>
        <w:rPr>
          <w:rFonts w:ascii="Arial" w:cs="Arial" w:eastAsia="Arial" w:hAnsi="Arial"/>
          <w:sz w:val="18"/>
          <w:szCs w:val="18"/>
          <w:b w:val="1"/>
          <w:bCs w:val="1"/>
          <w:color w:val="auto"/>
        </w:rPr>
        <w:t>Roof Equipment</w:t>
      </w:r>
      <w:r>
        <w:rPr>
          <w:rFonts w:ascii="Arial" w:cs="Arial" w:eastAsia="Arial" w:hAnsi="Arial"/>
          <w:sz w:val="18"/>
          <w:szCs w:val="18"/>
          <w:color w:val="auto"/>
        </w:rPr>
        <w:t>”) on the following terms and conditions:</w:t>
      </w:r>
    </w:p>
    <w:p>
      <w:pPr>
        <w:spacing w:after="0" w:line="212" w:lineRule="exact"/>
        <w:rPr>
          <w:sz w:val="20"/>
          <w:szCs w:val="20"/>
          <w:color w:val="auto"/>
        </w:rPr>
      </w:pPr>
    </w:p>
    <w:p>
      <w:pPr>
        <w:ind w:left="1260" w:hanging="321"/>
        <w:spacing w:after="0"/>
        <w:tabs>
          <w:tab w:leader="none" w:pos="126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Requirements</w:t>
      </w:r>
      <w:r>
        <w:rPr>
          <w:rFonts w:ascii="Arial" w:cs="Arial" w:eastAsia="Arial" w:hAnsi="Arial"/>
          <w:sz w:val="18"/>
          <w:szCs w:val="18"/>
          <w:color w:val="auto"/>
        </w:rPr>
        <w:t>. Tenant shall submit to Landlord (i) the plans and specifications for the installation of the Roof Equipment,</w:t>
      </w:r>
    </w:p>
    <w:p>
      <w:pPr>
        <w:spacing w:after="0" w:line="27" w:lineRule="exact"/>
        <w:rPr>
          <w:rFonts w:ascii="Arial" w:cs="Arial" w:eastAsia="Arial" w:hAnsi="Arial"/>
          <w:sz w:val="18"/>
          <w:szCs w:val="18"/>
          <w:color w:val="auto"/>
        </w:rPr>
      </w:pPr>
    </w:p>
    <w:p>
      <w:pPr>
        <w:jc w:val="both"/>
        <w:ind w:left="300" w:right="320" w:hanging="8"/>
        <w:spacing w:after="0" w:line="269" w:lineRule="auto"/>
        <w:tabs>
          <w:tab w:leader="none" w:pos="55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copies of all 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leasable space in the Building, or (E) is not properly screened from the viewing public.</w:t>
      </w:r>
    </w:p>
    <w:p>
      <w:pPr>
        <w:spacing w:after="0" w:line="213" w:lineRule="exact"/>
        <w:rPr>
          <w:rFonts w:ascii="Arial" w:cs="Arial" w:eastAsia="Arial" w:hAnsi="Arial"/>
          <w:sz w:val="17"/>
          <w:szCs w:val="17"/>
          <w:color w:val="auto"/>
        </w:rPr>
      </w:pPr>
    </w:p>
    <w:p>
      <w:pPr>
        <w:jc w:val="both"/>
        <w:ind w:left="300" w:right="320" w:firstLine="639"/>
        <w:spacing w:after="0" w:line="262" w:lineRule="auto"/>
        <w:tabs>
          <w:tab w:leader="none" w:pos="1261" w:val="left"/>
        </w:tabs>
        <w:numPr>
          <w:ilvl w:val="1"/>
          <w:numId w:val="164"/>
        </w:numPr>
        <w:rPr>
          <w:rFonts w:ascii="Arial" w:cs="Arial" w:eastAsia="Arial" w:hAnsi="Arial"/>
          <w:sz w:val="18"/>
          <w:szCs w:val="18"/>
          <w:color w:val="auto"/>
        </w:rPr>
      </w:pPr>
      <w:r>
        <w:rPr>
          <w:rFonts w:ascii="Arial" w:cs="Arial" w:eastAsia="Arial" w:hAnsi="Arial"/>
          <w:sz w:val="18"/>
          <w:szCs w:val="18"/>
          <w:b w:val="1"/>
          <w:bCs w:val="1"/>
          <w:color w:val="auto"/>
        </w:rPr>
        <w:t>No Damage to Roof</w:t>
      </w:r>
      <w:r>
        <w:rPr>
          <w:rFonts w:ascii="Arial" w:cs="Arial" w:eastAsia="Arial" w:hAnsi="Arial"/>
          <w:sz w:val="18"/>
          <w:szCs w:val="18"/>
          <w:color w:val="auto"/>
        </w:rPr>
        <w:t>. If installation of the Roof Equipment requires Tenant to make any roof cuts or perform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roofing work, such cuts shall only be made to the roof area of the Building located directly above the Premises and only in the manner designated in writing by Landlord; and any such installation work (including any roof cuts or other roofing work) shall be performed by Tenant, at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Copyright © 2007, Alexandria Real Estate Equities, Inc. ALL RIGHTS</w:t>
      </w:r>
    </w:p>
    <w:p>
      <w:pPr>
        <w:spacing w:after="0" w:line="27" w:lineRule="exact"/>
        <w:rPr>
          <w:sz w:val="20"/>
          <w:szCs w:val="20"/>
          <w:color w:val="auto"/>
        </w:rPr>
      </w:pPr>
    </w:p>
    <w:p>
      <w:pPr>
        <w:ind w:left="6700" w:right="80"/>
        <w:spacing w:after="0" w:line="252" w:lineRule="auto"/>
        <w:rPr>
          <w:sz w:val="20"/>
          <w:szCs w:val="20"/>
          <w:color w:val="auto"/>
        </w:rPr>
      </w:pPr>
      <w:r>
        <w:rPr>
          <w:rFonts w:ascii="Times New Roman" w:cs="Times New Roman" w:eastAsia="Times New Roman" w:hAnsi="Times New Roman"/>
          <w:sz w:val="14"/>
          <w:szCs w:val="14"/>
          <w:color w:val="auto"/>
        </w:rPr>
        <w:t>RESERVED. Confidential and Proprietary – Do Not Copy or Distribute. Alexandria and the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-246380</wp:posOffset>
            </wp:positionV>
            <wp:extent cx="702945" cy="257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ectPr>
          <w:pgSz w:w="11900" w:h="16838" w:orient="portrait"/>
          <w:cols w:equalWidth="0" w:num="1">
            <w:col w:w="11200"/>
          </w:cols>
          <w:pgMar w:left="360" w:top="188"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Suite 210, 20400 Century Boulevard—Vaccitech North America, Inc.—Page 40</w:t>
      </w:r>
    </w:p>
    <w:p>
      <w:pPr>
        <w:spacing w:after="0" w:line="200" w:lineRule="exact"/>
        <w:rPr>
          <w:sz w:val="20"/>
          <w:szCs w:val="20"/>
          <w:color w:val="auto"/>
        </w:rPr>
      </w:pPr>
    </w:p>
    <w:p>
      <w:pPr>
        <w:spacing w:after="0" w:line="363" w:lineRule="exact"/>
        <w:rPr>
          <w:sz w:val="20"/>
          <w:szCs w:val="20"/>
          <w:color w:val="auto"/>
        </w:rPr>
      </w:pPr>
    </w:p>
    <w:p>
      <w:pPr>
        <w:jc w:val="both"/>
        <w:ind w:left="300" w:right="320"/>
        <w:spacing w:after="0" w:line="255" w:lineRule="auto"/>
        <w:rPr>
          <w:sz w:val="20"/>
          <w:szCs w:val="20"/>
          <w:color w:val="auto"/>
        </w:rPr>
      </w:pPr>
      <w:r>
        <w:rPr>
          <w:rFonts w:ascii="Arial" w:cs="Arial" w:eastAsia="Arial" w:hAnsi="Arial"/>
          <w:sz w:val="18"/>
          <w:szCs w:val="18"/>
          <w:color w:val="auto"/>
        </w:rPr>
        <w:t>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10 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spacing w:after="0" w:line="221" w:lineRule="exact"/>
        <w:rPr>
          <w:sz w:val="20"/>
          <w:szCs w:val="20"/>
          <w:color w:val="auto"/>
        </w:rPr>
      </w:pPr>
    </w:p>
    <w:p>
      <w:pPr>
        <w:jc w:val="both"/>
        <w:ind w:left="300" w:right="320" w:firstLine="639"/>
        <w:spacing w:after="0" w:line="247" w:lineRule="auto"/>
        <w:tabs>
          <w:tab w:leader="none" w:pos="1265"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Protection</w:t>
      </w:r>
      <w:r>
        <w:rPr>
          <w:rFonts w:ascii="Arial" w:cs="Arial" w:eastAsia="Arial" w:hAnsi="Arial"/>
          <w:sz w:val="18"/>
          <w:szCs w:val="18"/>
          <w:color w:val="auto"/>
        </w:rPr>
        <w:t>. The installation, operation, and removal of the Roof Equipment shall be at Tenant’s sole risk.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defend, and 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pacing w:after="0" w:line="2" w:lineRule="exact"/>
        <w:rPr>
          <w:rFonts w:ascii="Arial" w:cs="Arial" w:eastAsia="Arial" w:hAnsi="Arial"/>
          <w:sz w:val="18"/>
          <w:szCs w:val="18"/>
          <w:color w:val="auto"/>
        </w:rPr>
      </w:pPr>
    </w:p>
    <w:p>
      <w:pPr>
        <w:jc w:val="both"/>
        <w:ind w:left="300" w:firstLine="647"/>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At the expiration or earlier termination of this Lease or the discontinuance of the use of the Roof Equipment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at its sole cost and expense, remove the Roof Equipment from the Building; provided, however, that within 5 business days after Landlord’s receipt of Tenant’s request to install Roof Equipment (which request shall provide reasonably detailed information about the proposed Roof Equipment), Landlord shall notify Tenant whether Landlord will require Tenant to remove the Roof Equipment at the expiration or earlier termination of this Lease. Such request shall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00" w:right="320"/>
        <w:spacing w:after="0" w:line="257" w:lineRule="auto"/>
        <w:rPr>
          <w:sz w:val="20"/>
          <w:szCs w:val="20"/>
          <w:color w:val="auto"/>
        </w:rPr>
      </w:pPr>
      <w:r>
        <w:rPr>
          <w:rFonts w:ascii="Arial" w:cs="Arial" w:eastAsia="Arial" w:hAnsi="Arial"/>
          <w:sz w:val="18"/>
          <w:szCs w:val="18"/>
          <w:color w:val="auto"/>
        </w:rPr>
        <w:t>state the following in all capital letters in at least 12 point bold typeface: “</w:t>
      </w:r>
      <w:r>
        <w:rPr>
          <w:rFonts w:ascii="Arial" w:cs="Arial" w:eastAsia="Arial" w:hAnsi="Arial"/>
          <w:sz w:val="18"/>
          <w:szCs w:val="18"/>
          <w:b w:val="1"/>
          <w:bCs w:val="1"/>
          <w:color w:val="auto"/>
        </w:rPr>
        <w:t>TENANT HEREBY REQUESTS CONFIRMATION FROM</w:t>
      </w:r>
      <w:r>
        <w:rPr>
          <w:rFonts w:ascii="Arial" w:cs="Arial" w:eastAsia="Arial" w:hAnsi="Arial"/>
          <w:sz w:val="18"/>
          <w:szCs w:val="18"/>
          <w:color w:val="auto"/>
        </w:rPr>
        <w:t xml:space="preserve"> </w:t>
      </w:r>
      <w:r>
        <w:rPr>
          <w:rFonts w:ascii="Arial" w:cs="Arial" w:eastAsia="Arial" w:hAnsi="Arial"/>
          <w:sz w:val="18"/>
          <w:szCs w:val="18"/>
          <w:b w:val="1"/>
          <w:bCs w:val="1"/>
          <w:color w:val="auto"/>
        </w:rPr>
        <w:t>LANDLORD WHETHER THE ROOF EQUIPMENT DESCRIBED IN THIS REQUEST WILL NEED TO BE REMOVED BY TENANT AT THE EXPIRATION OR EARLIER</w:t>
      </w:r>
    </w:p>
    <w:p>
      <w:pPr>
        <w:spacing w:after="0" w:line="1" w:lineRule="exact"/>
        <w:rPr>
          <w:sz w:val="20"/>
          <w:szCs w:val="20"/>
          <w:color w:val="auto"/>
        </w:rPr>
      </w:pPr>
    </w:p>
    <w:p>
      <w:pPr>
        <w:jc w:val="both"/>
        <w:ind w:left="300" w:right="320"/>
        <w:spacing w:after="0" w:line="254" w:lineRule="auto"/>
        <w:rPr>
          <w:sz w:val="20"/>
          <w:szCs w:val="20"/>
          <w:color w:val="auto"/>
        </w:rPr>
      </w:pPr>
      <w:r>
        <w:rPr>
          <w:rFonts w:ascii="Arial" w:cs="Arial" w:eastAsia="Arial" w:hAnsi="Arial"/>
          <w:sz w:val="18"/>
          <w:szCs w:val="18"/>
          <w:b w:val="1"/>
          <w:bCs w:val="1"/>
          <w:color w:val="auto"/>
        </w:rPr>
        <w:t>TERMINATION OF THE LEASE</w:t>
      </w:r>
      <w:r>
        <w:rPr>
          <w:rFonts w:ascii="Arial" w:cs="Arial" w:eastAsia="Arial" w:hAnsi="Arial"/>
          <w:sz w:val="18"/>
          <w:szCs w:val="18"/>
          <w:color w:val="auto"/>
        </w:rPr>
        <w:t>.” Tenant shall leave the portion of the roof where the Roof Equipment was located in good order</w:t>
      </w:r>
      <w:r>
        <w:rPr>
          <w:rFonts w:ascii="Arial" w:cs="Arial" w:eastAsia="Arial" w:hAnsi="Arial"/>
          <w:sz w:val="18"/>
          <w:szCs w:val="18"/>
          <w:b w:val="1"/>
          <w:bCs w:val="1"/>
          <w:color w:val="auto"/>
        </w:rPr>
        <w:t xml:space="preserve"> </w:t>
      </w:r>
      <w:r>
        <w:rPr>
          <w:rFonts w:ascii="Arial" w:cs="Arial" w:eastAsia="Arial" w:hAnsi="Arial"/>
          <w:sz w:val="18"/>
          <w:szCs w:val="18"/>
          <w:color w:val="auto"/>
        </w:rPr>
        <w:t>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223" w:lineRule="exact"/>
        <w:rPr>
          <w:sz w:val="20"/>
          <w:szCs w:val="20"/>
          <w:color w:val="auto"/>
        </w:rPr>
      </w:pPr>
    </w:p>
    <w:p>
      <w:pPr>
        <w:jc w:val="both"/>
        <w:ind w:left="300" w:right="320" w:firstLine="639"/>
        <w:spacing w:after="0" w:line="255" w:lineRule="auto"/>
        <w:tabs>
          <w:tab w:leader="none" w:pos="1261"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The Roof Equipment shall not cause measurable interference (as defined by applicable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with the proper functioning of any telecommunications equipment or devices that have been installed or will be installed by Landlord or for any other tenant or future tenant of the Building. Tenant acknowledges that other tenant(s) with leases prior in time to that of this Lease may have approval rights over the installation and operation of telecommunications equipment and devices on or about the roof, and that Tenant’s right to install and operate the Roof Equipment is subject and subordinate only to the rights of such other tenants. Tenant agrees that any other tenant of the Building that currently has or in the future takes possession of any portion of the Building will be permitted to install such telecommunication equipment that is of a type and frequency that will not cause measurable interference to the Roof Equipment.</w:t>
      </w:r>
    </w:p>
    <w:p>
      <w:pPr>
        <w:spacing w:after="0" w:line="225" w:lineRule="exact"/>
        <w:rPr>
          <w:rFonts w:ascii="Arial" w:cs="Arial" w:eastAsia="Arial" w:hAnsi="Arial"/>
          <w:sz w:val="18"/>
          <w:szCs w:val="18"/>
          <w:color w:val="auto"/>
        </w:rPr>
      </w:pPr>
    </w:p>
    <w:p>
      <w:pPr>
        <w:jc w:val="both"/>
        <w:ind w:left="300" w:right="320" w:firstLine="639"/>
        <w:spacing w:after="0" w:line="259" w:lineRule="auto"/>
        <w:tabs>
          <w:tab w:leader="none" w:pos="1261"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Relocation</w:t>
      </w:r>
      <w:r>
        <w:rPr>
          <w:rFonts w:ascii="Arial" w:cs="Arial" w:eastAsia="Arial" w:hAnsi="Arial"/>
          <w:sz w:val="18"/>
          <w:szCs w:val="18"/>
          <w:color w:val="auto"/>
        </w:rPr>
        <w:t>. Landlord shall have the right, at its expense and after 60 days prior notice to Tenant, to relocate the Roof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Equipment to another site on the roof of the Building as long as such site reasonably meets Tenant’s sight line and interference requirements and does not unreasonably interfere with Tenant’s use and operation of the Roof Equipment;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Landlord have the right to relocate any chemical fume hoods, roof mounted HVAC unit(s), or exhaust systems serving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Suite 210, 20400 Century Boulevard—Vaccitech North America, Inc.—Page 41</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59" w:lineRule="auto"/>
        <w:tabs>
          <w:tab w:leader="none" w:pos="1265"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Access</w:t>
      </w:r>
      <w:r>
        <w:rPr>
          <w:rFonts w:ascii="Arial" w:cs="Arial" w:eastAsia="Arial" w:hAnsi="Arial"/>
          <w:sz w:val="18"/>
          <w:szCs w:val="18"/>
          <w:color w:val="auto"/>
        </w:rPr>
        <w:t>. Landlord grants to Tenant the right of ingress and egress on a 24 hour 7 day per week basis to install, operate,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 the Roof Equipment.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spacing w:after="0" w:line="219" w:lineRule="exact"/>
        <w:rPr>
          <w:rFonts w:ascii="Arial" w:cs="Arial" w:eastAsia="Arial" w:hAnsi="Arial"/>
          <w:sz w:val="18"/>
          <w:szCs w:val="18"/>
          <w:color w:val="auto"/>
        </w:rPr>
      </w:pPr>
    </w:p>
    <w:p>
      <w:pPr>
        <w:ind w:left="300" w:right="320" w:firstLine="639"/>
        <w:spacing w:after="0" w:line="287" w:lineRule="auto"/>
        <w:tabs>
          <w:tab w:leader="none" w:pos="1261"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Roof Equipment shall be painted the same color as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so as to render the Roof Equipment virtually invisible from ground level.</w:t>
      </w:r>
    </w:p>
    <w:p>
      <w:pPr>
        <w:spacing w:after="0" w:line="179" w:lineRule="exact"/>
        <w:rPr>
          <w:rFonts w:ascii="Arial" w:cs="Arial" w:eastAsia="Arial" w:hAnsi="Arial"/>
          <w:sz w:val="18"/>
          <w:szCs w:val="18"/>
          <w:color w:val="auto"/>
        </w:rPr>
      </w:pPr>
    </w:p>
    <w:p>
      <w:pPr>
        <w:jc w:val="both"/>
        <w:ind w:left="300" w:right="320" w:firstLine="639"/>
        <w:spacing w:after="0" w:line="259" w:lineRule="auto"/>
        <w:tabs>
          <w:tab w:leader="none" w:pos="1261"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The right of Tenant to use and operate the Roof Equipment shall be personal solely to Vaccitech North</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Inc., and (i) no other person or entity shall have any right to use or operate the Roof Equipment, and (ii) Tenant shall not assign, convey, or otherwise transfer to any person or entity any right, title, or interest in all or any portion of the Roof Equipment or the use and operation thereof, except that Tenant’s right to use and operate the Roof Equipment may be assigned in connection with any Permitted Assignment.</w:t>
      </w:r>
    </w:p>
    <w:p>
      <w:pPr>
        <w:spacing w:after="0" w:line="206" w:lineRule="exact"/>
        <w:rPr>
          <w:sz w:val="20"/>
          <w:szCs w:val="20"/>
          <w:color w:val="auto"/>
        </w:rPr>
      </w:pPr>
    </w:p>
    <w:p>
      <w:pPr>
        <w:ind w:left="1580" w:hanging="640"/>
        <w:spacing w:after="0"/>
        <w:tabs>
          <w:tab w:leader="none" w:pos="15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Right to Negotiate</w:t>
      </w:r>
      <w:r>
        <w:rPr>
          <w:rFonts w:ascii="Arial" w:cs="Arial" w:eastAsia="Arial" w:hAnsi="Arial"/>
          <w:sz w:val="18"/>
          <w:szCs w:val="18"/>
          <w:color w:val="auto"/>
        </w:rPr>
        <w:t>.</w:t>
      </w:r>
    </w:p>
    <w:p>
      <w:pPr>
        <w:spacing w:after="0" w:line="27" w:lineRule="exact"/>
        <w:rPr>
          <w:sz w:val="20"/>
          <w:szCs w:val="20"/>
          <w:color w:val="auto"/>
        </w:rPr>
      </w:pPr>
    </w:p>
    <w:p>
      <w:pPr>
        <w:jc w:val="both"/>
        <w:ind w:left="300" w:firstLine="647"/>
        <w:spacing w:after="0" w:line="254" w:lineRule="auto"/>
        <w:rPr>
          <w:sz w:val="20"/>
          <w:szCs w:val="20"/>
          <w:color w:val="auto"/>
        </w:rPr>
      </w:pPr>
      <w:r>
        <w:rPr>
          <w:rFonts w:ascii="Arial" w:cs="Arial" w:eastAsia="Arial" w:hAnsi="Arial"/>
          <w:sz w:val="18"/>
          <w:szCs w:val="18"/>
          <w:b w:val="1"/>
          <w:bCs w:val="1"/>
          <w:color w:val="auto"/>
        </w:rPr>
        <w:t>Expansion in the Building</w:t>
      </w:r>
      <w:r>
        <w:rPr>
          <w:rFonts w:ascii="Arial" w:cs="Arial" w:eastAsia="Arial" w:hAnsi="Arial"/>
          <w:sz w:val="18"/>
          <w:szCs w:val="18"/>
          <w:color w:val="auto"/>
        </w:rPr>
        <w:t>. If at any time during the Term, and a continual and on-going basis, any Available Space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in the Building becomes available for lease, Landlord shall give notice of such availability to Tenant. (“</w:t>
      </w:r>
      <w:r>
        <w:rPr>
          <w:rFonts w:ascii="Arial" w:cs="Arial" w:eastAsia="Arial" w:hAnsi="Arial"/>
          <w:sz w:val="18"/>
          <w:szCs w:val="18"/>
          <w:b w:val="1"/>
          <w:bCs w:val="1"/>
          <w:color w:val="auto"/>
        </w:rPr>
        <w:t>Availability Notice</w:t>
      </w:r>
      <w:r>
        <w:rPr>
          <w:rFonts w:ascii="Arial" w:cs="Arial" w:eastAsia="Arial" w:hAnsi="Arial"/>
          <w:sz w:val="18"/>
          <w:szCs w:val="18"/>
          <w:color w:val="auto"/>
        </w:rPr>
        <w:t>”). The Availability Notice shall set forth the basic terms and conditions for the lease of the Available Space (“</w:t>
      </w:r>
      <w:r>
        <w:rPr>
          <w:rFonts w:ascii="Arial" w:cs="Arial" w:eastAsia="Arial" w:hAnsi="Arial"/>
          <w:sz w:val="18"/>
          <w:szCs w:val="18"/>
          <w:b w:val="1"/>
          <w:bCs w:val="1"/>
          <w:color w:val="auto"/>
        </w:rPr>
        <w:t>Available Space Terms</w:t>
      </w:r>
      <w:r>
        <w:rPr>
          <w:rFonts w:ascii="Arial" w:cs="Arial" w:eastAsia="Arial" w:hAnsi="Arial"/>
          <w:sz w:val="18"/>
          <w:szCs w:val="18"/>
          <w:color w:val="auto"/>
        </w:rPr>
        <w:t>”). Tenant shall respond to the Availability Notice within 10 business days after receipt thereof, which response shall state that Tenant either (i) declines to lease the Available Space, (ii) agrees to lease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00" w:right="320"/>
        <w:spacing w:after="0" w:line="255" w:lineRule="auto"/>
        <w:rPr>
          <w:sz w:val="20"/>
          <w:szCs w:val="20"/>
          <w:color w:val="auto"/>
        </w:rPr>
      </w:pPr>
      <w:r>
        <w:rPr>
          <w:rFonts w:ascii="Arial" w:cs="Arial" w:eastAsia="Arial" w:hAnsi="Arial"/>
          <w:sz w:val="18"/>
          <w:szCs w:val="18"/>
          <w:color w:val="auto"/>
        </w:rPr>
        <w:t>the Available Space on the terms set forth in the Availability Notice (including the Available Space Terms), in which event Landlord and Tenant shall within 60 days thereafter execute and deliver an amendment to this Lease or a lease agreement for the Available Space (“</w:t>
      </w:r>
      <w:r>
        <w:rPr>
          <w:rFonts w:ascii="Arial" w:cs="Arial" w:eastAsia="Arial" w:hAnsi="Arial"/>
          <w:sz w:val="18"/>
          <w:szCs w:val="18"/>
          <w:b w:val="1"/>
          <w:bCs w:val="1"/>
          <w:color w:val="auto"/>
        </w:rPr>
        <w:t>Negotiation Right</w:t>
      </w:r>
      <w:r>
        <w:rPr>
          <w:rFonts w:ascii="Arial" w:cs="Arial" w:eastAsia="Arial" w:hAnsi="Arial"/>
          <w:sz w:val="18"/>
          <w:szCs w:val="18"/>
          <w:color w:val="auto"/>
        </w:rPr>
        <w:t>”). If after the expiration of such 60 day period, no lease amendment or lease agreement for the Available Space has been executed and delivered, the Negotiation Right shall be waived and of no further force or effect with respect to such Available Space for a period of 180 days. Provided that no right to expand is exercised by any tenant with superior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Tenant shall be entitled to lease such Available Space upon the terms and conditions, if any, agreed to by Landlord and Tenant. The Negotiation Right is subject and subordinate to the rights of Amador Bioscience, Inc., a Delaware corporation, and its successors and assigns, with respect to the Available Space.</w:t>
      </w:r>
    </w:p>
    <w:p>
      <w:pPr>
        <w:spacing w:after="0" w:line="185" w:lineRule="exact"/>
        <w:rPr>
          <w:sz w:val="20"/>
          <w:szCs w:val="20"/>
          <w:color w:val="auto"/>
        </w:rPr>
      </w:pPr>
    </w:p>
    <w:p>
      <w:pPr>
        <w:jc w:val="both"/>
        <w:ind w:left="300" w:right="320" w:firstLine="639"/>
        <w:spacing w:after="0" w:line="268" w:lineRule="auto"/>
        <w:tabs>
          <w:tab w:leader="none" w:pos="1261"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Available Space</w:t>
      </w:r>
      <w:r>
        <w:rPr>
          <w:rFonts w:ascii="Arial" w:cs="Arial" w:eastAsia="Arial" w:hAnsi="Arial"/>
          <w:sz w:val="18"/>
          <w:szCs w:val="18"/>
          <w:color w:val="auto"/>
        </w:rPr>
        <w:t>.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41(a)</w:t>
      </w:r>
      <w:r>
        <w:rPr>
          <w:rFonts w:ascii="Arial" w:cs="Arial" w:eastAsia="Arial" w:hAnsi="Arial"/>
          <w:sz w:val="18"/>
          <w:szCs w:val="18"/>
          <w:color w:val="auto"/>
        </w:rPr>
        <w:t>, “</w:t>
      </w:r>
      <w:r>
        <w:rPr>
          <w:rFonts w:ascii="Arial" w:cs="Arial" w:eastAsia="Arial" w:hAnsi="Arial"/>
          <w:sz w:val="18"/>
          <w:szCs w:val="18"/>
          <w:b w:val="1"/>
          <w:bCs w:val="1"/>
          <w:color w:val="auto"/>
        </w:rPr>
        <w:t>Available Space</w:t>
      </w:r>
      <w:r>
        <w:rPr>
          <w:rFonts w:ascii="Arial" w:cs="Arial" w:eastAsia="Arial" w:hAnsi="Arial"/>
          <w:sz w:val="18"/>
          <w:szCs w:val="18"/>
          <w:color w:val="auto"/>
        </w:rPr>
        <w:t>” shall mean any space in the Project that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occupied by a tenant or that is occupied by an existing tenant whose lease is expiring within 6 months or less and such tenant does not wish to renew (regardless of whether such tenant has a right to renew) its occupancy of such space.</w:t>
      </w:r>
    </w:p>
    <w:p>
      <w:pPr>
        <w:spacing w:after="0" w:line="197" w:lineRule="exact"/>
        <w:rPr>
          <w:rFonts w:ascii="Arial" w:cs="Arial" w:eastAsia="Arial" w:hAnsi="Arial"/>
          <w:sz w:val="18"/>
          <w:szCs w:val="18"/>
          <w:color w:val="auto"/>
        </w:rPr>
      </w:pPr>
    </w:p>
    <w:p>
      <w:pPr>
        <w:ind w:left="1260" w:hanging="321"/>
        <w:spacing w:after="0"/>
        <w:tabs>
          <w:tab w:leader="none" w:pos="1260"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the above, the Negotiation Right shall not be in effect and may not be exercised by Tenant:</w:t>
      </w:r>
    </w:p>
    <w:p>
      <w:pPr>
        <w:spacing w:after="0" w:line="27" w:lineRule="exact"/>
        <w:rPr>
          <w:rFonts w:ascii="Arial" w:cs="Arial" w:eastAsia="Arial" w:hAnsi="Arial"/>
          <w:sz w:val="18"/>
          <w:szCs w:val="18"/>
          <w:color w:val="auto"/>
        </w:rPr>
      </w:pPr>
    </w:p>
    <w:p>
      <w:pPr>
        <w:jc w:val="both"/>
        <w:ind w:left="300" w:right="320" w:hanging="8"/>
        <w:spacing w:after="0" w:line="258" w:lineRule="auto"/>
        <w:tabs>
          <w:tab w:leader="none" w:pos="51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 (ii) if Tenant has been in Default under any provision of this Lease 3 or more times, regardless of whether the Defaults are cured, during the 12 month period prior to the date on which Tenant seeks to exercise the Negotiation Right.</w:t>
      </w:r>
    </w:p>
    <w:p>
      <w:pPr>
        <w:spacing w:after="0" w:line="205" w:lineRule="exact"/>
        <w:rPr>
          <w:rFonts w:ascii="Arial" w:cs="Arial" w:eastAsia="Arial" w:hAnsi="Arial"/>
          <w:sz w:val="18"/>
          <w:szCs w:val="18"/>
          <w:color w:val="auto"/>
        </w:rPr>
      </w:pPr>
    </w:p>
    <w:p>
      <w:pPr>
        <w:jc w:val="both"/>
        <w:ind w:left="300" w:right="320" w:firstLine="639"/>
        <w:spacing w:after="0" w:line="262" w:lineRule="auto"/>
        <w:tabs>
          <w:tab w:leader="none" w:pos="1265"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Negotiation Right shall terminate and be of no further force or effect even after Tenant’s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timely exercise of the Negotiation Right, if, after such exercise, but prior to the commencement date of the lease of such Available Space, (i) Tenant fails to timely cure any default by Tenant under this Lease; or (ii) Tenant has Defaulted 3 or more times during the period from the date of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Suite 210, 20400 Century Boulevard—Vaccitech North America, Inc.—Page 42</w:t>
      </w:r>
    </w:p>
    <w:p>
      <w:pPr>
        <w:spacing w:after="0" w:line="200" w:lineRule="exact"/>
        <w:rPr>
          <w:sz w:val="20"/>
          <w:szCs w:val="20"/>
          <w:color w:val="auto"/>
        </w:rPr>
      </w:pPr>
    </w:p>
    <w:p>
      <w:pPr>
        <w:spacing w:after="0" w:line="363" w:lineRule="exact"/>
        <w:rPr>
          <w:sz w:val="20"/>
          <w:szCs w:val="20"/>
          <w:color w:val="auto"/>
        </w:rPr>
      </w:pPr>
    </w:p>
    <w:p>
      <w:pPr>
        <w:ind w:left="300" w:right="340"/>
        <w:spacing w:after="0" w:line="287" w:lineRule="auto"/>
        <w:rPr>
          <w:sz w:val="20"/>
          <w:szCs w:val="20"/>
          <w:color w:val="auto"/>
        </w:rPr>
      </w:pPr>
      <w:r>
        <w:rPr>
          <w:rFonts w:ascii="Arial" w:cs="Arial" w:eastAsia="Arial" w:hAnsi="Arial"/>
          <w:sz w:val="18"/>
          <w:szCs w:val="18"/>
          <w:color w:val="auto"/>
        </w:rPr>
        <w:t>the exercise of the Negotiation Right to the date of the commencement of the lease of the Available Space, regardless of whether such Defaults are cured.</w:t>
      </w:r>
    </w:p>
    <w:p>
      <w:pPr>
        <w:spacing w:after="0" w:line="180" w:lineRule="exact"/>
        <w:rPr>
          <w:sz w:val="20"/>
          <w:szCs w:val="20"/>
          <w:color w:val="auto"/>
        </w:rPr>
      </w:pPr>
    </w:p>
    <w:p>
      <w:pPr>
        <w:jc w:val="both"/>
        <w:ind w:left="300" w:right="320" w:firstLine="639"/>
        <w:spacing w:after="0" w:line="262" w:lineRule="auto"/>
        <w:tabs>
          <w:tab w:leader="none" w:pos="1261"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Right Personal</w:t>
      </w:r>
      <w:r>
        <w:rPr>
          <w:rFonts w:ascii="Arial" w:cs="Arial" w:eastAsia="Arial" w:hAnsi="Arial"/>
          <w:sz w:val="18"/>
          <w:szCs w:val="18"/>
          <w:color w:val="auto"/>
        </w:rPr>
        <w:t>. The Negotiation Right is personal to Tenant and is not assignable without Landlord’s consent,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granted or withheld in Landlord’s sole discretion separate and apart from any consent by Landlord to an assignment of Tenant’s interest in this Lease, except that the Negotiation Right may be assigned in connection with any Permitted Assignment of this Lease.</w:t>
      </w:r>
    </w:p>
    <w:p>
      <w:pPr>
        <w:spacing w:after="0" w:line="203" w:lineRule="exact"/>
        <w:rPr>
          <w:rFonts w:ascii="Arial" w:cs="Arial" w:eastAsia="Arial" w:hAnsi="Arial"/>
          <w:sz w:val="18"/>
          <w:szCs w:val="18"/>
          <w:color w:val="auto"/>
        </w:rPr>
      </w:pPr>
    </w:p>
    <w:p>
      <w:pPr>
        <w:ind w:left="300" w:right="340" w:firstLine="639"/>
        <w:spacing w:after="0" w:line="287" w:lineRule="auto"/>
        <w:tabs>
          <w:tab w:leader="none" w:pos="1261"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Negotiation Right may be exercised shall not be extended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enlarged by reason of Tenant’s inability to exercise the Negotiation Right.</w:t>
      </w:r>
    </w:p>
    <w:p>
      <w:pPr>
        <w:spacing w:after="0" w:line="139" w:lineRule="exact"/>
        <w:rPr>
          <w:rFonts w:ascii="Arial" w:cs="Arial" w:eastAsia="Arial" w:hAnsi="Arial"/>
          <w:sz w:val="18"/>
          <w:szCs w:val="18"/>
          <w:color w:val="auto"/>
        </w:rPr>
      </w:pPr>
    </w:p>
    <w:p>
      <w:pPr>
        <w:ind w:left="1580" w:hanging="640"/>
        <w:spacing w:after="0"/>
        <w:tabs>
          <w:tab w:leader="none" w:pos="1580"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52" w:lineRule="exact"/>
        <w:rPr>
          <w:sz w:val="20"/>
          <w:szCs w:val="20"/>
          <w:color w:val="auto"/>
        </w:rPr>
      </w:pPr>
    </w:p>
    <w:p>
      <w:pPr>
        <w:jc w:val="both"/>
        <w:ind w:left="300" w:right="320" w:firstLine="639"/>
        <w:spacing w:after="0" w:line="262" w:lineRule="auto"/>
        <w:tabs>
          <w:tab w:leader="none" w:pos="1261"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upon 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216" w:lineRule="exact"/>
        <w:rPr>
          <w:rFonts w:ascii="Arial" w:cs="Arial" w:eastAsia="Arial" w:hAnsi="Arial"/>
          <w:sz w:val="18"/>
          <w:szCs w:val="18"/>
          <w:color w:val="auto"/>
        </w:rPr>
      </w:pPr>
    </w:p>
    <w:p>
      <w:pPr>
        <w:ind w:left="300" w:right="320" w:firstLine="639"/>
        <w:spacing w:after="0" w:line="287" w:lineRule="auto"/>
        <w:tabs>
          <w:tab w:leader="none" w:pos="1261"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person or entity, each shall be jointly and severally liable for the obligations of Tenant.</w:t>
      </w:r>
    </w:p>
    <w:p>
      <w:pPr>
        <w:spacing w:after="0" w:line="166" w:lineRule="exact"/>
        <w:rPr>
          <w:sz w:val="20"/>
          <w:szCs w:val="20"/>
          <w:color w:val="auto"/>
        </w:rPr>
      </w:pPr>
    </w:p>
    <w:p>
      <w:pPr>
        <w:jc w:val="both"/>
        <w:ind w:left="300" w:firstLine="647"/>
        <w:spacing w:after="0" w:line="262" w:lineRule="auto"/>
        <w:rPr>
          <w:sz w:val="20"/>
          <w:szCs w:val="20"/>
          <w:color w:val="auto"/>
        </w:rPr>
      </w:pPr>
      <w:r>
        <w:rPr>
          <w:rFonts w:ascii="Arial" w:cs="Arial" w:eastAsia="Arial" w:hAnsi="Arial"/>
          <w:sz w:val="18"/>
          <w:szCs w:val="18"/>
          <w:b w:val="1"/>
          <w:bCs w:val="1"/>
          <w:color w:val="auto"/>
        </w:rPr>
        <w:t>Financial Information</w:t>
      </w:r>
      <w:r>
        <w:rPr>
          <w:rFonts w:ascii="Arial" w:cs="Arial" w:eastAsia="Arial" w:hAnsi="Arial"/>
          <w:sz w:val="18"/>
          <w:szCs w:val="18"/>
          <w:color w:val="auto"/>
        </w:rPr>
        <w:t>. In connection with a sale or financing of the Project, or following a Default, Tenant shall furnish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true and complete copies of Tenant’s most recent annual financial statements (at Tenant’s option, such annual financial statements shall either be audited or certified by an officer of Tenant, but Tenant shall be under no obligation to create any financial statements merely to respond to Landlord's request in this </w:t>
      </w:r>
      <w:r>
        <w:rPr>
          <w:rFonts w:ascii="Arial" w:cs="Arial" w:eastAsia="Arial" w:hAnsi="Arial"/>
          <w:sz w:val="18"/>
          <w:szCs w:val="18"/>
          <w:u w:val="single" w:color="auto"/>
          <w:color w:val="auto"/>
        </w:rPr>
        <w:t>Section 42(c)</w:t>
      </w:r>
      <w:r>
        <w:rPr>
          <w:rFonts w:ascii="Arial" w:cs="Arial" w:eastAsia="Arial" w:hAnsi="Arial"/>
          <w:sz w:val="18"/>
          <w:szCs w:val="18"/>
          <w:color w:val="auto"/>
        </w:rPr>
        <w:t>) within 120 days (or such longer period as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300" w:right="320"/>
        <w:spacing w:after="0" w:line="256" w:lineRule="auto"/>
        <w:rPr>
          <w:sz w:val="20"/>
          <w:szCs w:val="20"/>
          <w:color w:val="auto"/>
        </w:rPr>
      </w:pPr>
      <w:r>
        <w:rPr>
          <w:rFonts w:ascii="Arial" w:cs="Arial" w:eastAsia="Arial" w:hAnsi="Arial"/>
          <w:sz w:val="18"/>
          <w:szCs w:val="18"/>
          <w:color w:val="auto"/>
        </w:rPr>
        <w:t xml:space="preserve">may be reasonably required for an audit if Tenant is providing audited financial statements) of the end of each of Tenant’s fiscal years during the Term. Notwithstanding the foregoing provisions of this paragraph, (i) if this Lease is assigned by the originally named Tenant in this Lease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(ii) if Tenant’s parent entity, Vaccitech plc, is acquired or the shares of Vaccitech plc are no longer traded on a public stock exchange, </w:t>
      </w:r>
      <w:r>
        <w:rPr>
          <w:rFonts w:ascii="Arial" w:cs="Arial" w:eastAsia="Arial" w:hAnsi="Arial"/>
          <w:sz w:val="18"/>
          <w:szCs w:val="18"/>
          <w:u w:val="single" w:color="auto"/>
          <w:color w:val="auto"/>
        </w:rPr>
        <w:t>then</w:t>
      </w:r>
      <w:r>
        <w:rPr>
          <w:rFonts w:ascii="Arial" w:cs="Arial" w:eastAsia="Arial" w:hAnsi="Arial"/>
          <w:sz w:val="18"/>
          <w:szCs w:val="18"/>
          <w:color w:val="auto"/>
        </w:rPr>
        <w:t xml:space="preserve"> Tenant shall upon written request from Landlord furnish Landlord with true and complete copies of Tenant’s most recent unaudited quarterly financial statements within 45 days of the end of each of Tenant’s fiscal quarters during each of Tenant’s fiscal years during the Term. All such statements shall be treated by Landlord as confidential information belonging to Tenant.</w:t>
      </w:r>
    </w:p>
    <w:p>
      <w:pPr>
        <w:spacing w:after="0" w:line="210" w:lineRule="exact"/>
        <w:rPr>
          <w:sz w:val="20"/>
          <w:szCs w:val="20"/>
          <w:color w:val="auto"/>
        </w:rPr>
      </w:pPr>
    </w:p>
    <w:p>
      <w:pPr>
        <w:jc w:val="both"/>
        <w:ind w:left="300" w:right="320" w:firstLine="639"/>
        <w:spacing w:after="0" w:line="261" w:lineRule="auto"/>
        <w:tabs>
          <w:tab w:leader="none" w:pos="1265"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record. Landlord may prepare and file, and upon request by Landlord Tenant will execute, a memorandum of lease, but any such recordation shall be at Landlord’s sole cost and expense.</w:t>
      </w:r>
    </w:p>
    <w:p>
      <w:pPr>
        <w:spacing w:after="0" w:line="202" w:lineRule="exact"/>
        <w:rPr>
          <w:rFonts w:ascii="Arial" w:cs="Arial" w:eastAsia="Arial" w:hAnsi="Arial"/>
          <w:sz w:val="18"/>
          <w:szCs w:val="18"/>
          <w:color w:val="auto"/>
        </w:rPr>
      </w:pPr>
    </w:p>
    <w:p>
      <w:pPr>
        <w:jc w:val="both"/>
        <w:ind w:left="300" w:right="320" w:firstLine="639"/>
        <w:spacing w:after="0" w:line="259" w:lineRule="auto"/>
        <w:tabs>
          <w:tab w:leader="none" w:pos="1261"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700" w:right="32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right="8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200"/>
          </w:cols>
          <w:pgMar w:left="360" w:top="188"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Suite 210, 20400 Century Boulevard—Vaccitech North America, Inc.—Page 43</w:t>
      </w:r>
    </w:p>
    <w:p>
      <w:pPr>
        <w:spacing w:after="0" w:line="200" w:lineRule="exact"/>
        <w:rPr>
          <w:sz w:val="20"/>
          <w:szCs w:val="20"/>
          <w:color w:val="auto"/>
        </w:rPr>
      </w:pPr>
    </w:p>
    <w:p>
      <w:pPr>
        <w:spacing w:after="0" w:line="363" w:lineRule="exact"/>
        <w:rPr>
          <w:sz w:val="20"/>
          <w:szCs w:val="20"/>
          <w:color w:val="auto"/>
        </w:rPr>
      </w:pPr>
    </w:p>
    <w:p>
      <w:pPr>
        <w:jc w:val="both"/>
        <w:ind w:left="300" w:right="320" w:firstLine="639"/>
        <w:spacing w:after="0" w:line="268" w:lineRule="auto"/>
        <w:tabs>
          <w:tab w:leader="none" w:pos="1261"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constitute an option for the leasing of the Premises, nor confer any right or impose any obligations upon either party until execution of this Lease by both parties.</w:t>
      </w:r>
    </w:p>
    <w:p>
      <w:pPr>
        <w:spacing w:after="0" w:line="211" w:lineRule="exact"/>
        <w:rPr>
          <w:rFonts w:ascii="Arial" w:cs="Arial" w:eastAsia="Arial" w:hAnsi="Arial"/>
          <w:sz w:val="18"/>
          <w:szCs w:val="18"/>
          <w:color w:val="auto"/>
        </w:rPr>
      </w:pPr>
    </w:p>
    <w:p>
      <w:pPr>
        <w:jc w:val="both"/>
        <w:ind w:left="300" w:right="320" w:firstLine="639"/>
        <w:spacing w:after="0" w:line="255" w:lineRule="auto"/>
        <w:tabs>
          <w:tab w:leader="none" w:pos="1265"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225" w:lineRule="exact"/>
        <w:rPr>
          <w:rFonts w:ascii="Arial" w:cs="Arial" w:eastAsia="Arial" w:hAnsi="Arial"/>
          <w:sz w:val="18"/>
          <w:szCs w:val="18"/>
          <w:color w:val="auto"/>
        </w:rPr>
      </w:pPr>
    </w:p>
    <w:p>
      <w:pPr>
        <w:ind w:left="300" w:right="340" w:firstLine="639"/>
        <w:spacing w:after="0" w:line="271" w:lineRule="auto"/>
        <w:tabs>
          <w:tab w:leader="none" w:pos="1261"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are located, excluding any principles of conflicts of laws.</w:t>
      </w:r>
    </w:p>
    <w:p>
      <w:pPr>
        <w:spacing w:after="0" w:line="194" w:lineRule="exact"/>
        <w:rPr>
          <w:rFonts w:ascii="Arial" w:cs="Arial" w:eastAsia="Arial" w:hAnsi="Arial"/>
          <w:sz w:val="18"/>
          <w:szCs w:val="18"/>
          <w:color w:val="auto"/>
        </w:rPr>
      </w:pPr>
    </w:p>
    <w:p>
      <w:pPr>
        <w:ind w:left="1580" w:hanging="640"/>
        <w:spacing w:after="0"/>
        <w:tabs>
          <w:tab w:leader="none" w:pos="158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Lease.</w:t>
      </w:r>
    </w:p>
    <w:p>
      <w:pPr>
        <w:spacing w:after="0" w:line="248" w:lineRule="exact"/>
        <w:rPr>
          <w:sz w:val="20"/>
          <w:szCs w:val="20"/>
          <w:color w:val="auto"/>
        </w:rPr>
      </w:pPr>
    </w:p>
    <w:p>
      <w:pPr>
        <w:jc w:val="both"/>
        <w:ind w:left="300" w:firstLine="647"/>
        <w:spacing w:after="0" w:line="256" w:lineRule="auto"/>
        <w:rPr>
          <w:sz w:val="20"/>
          <w:szCs w:val="20"/>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(i) in compliance with and shall at all times during the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(ii) not listed on, and shall not during the Term of this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(iii) not a person or entity with whom a U.S. person is prohibited from conducting business under the OFAC Rules.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00" w:right="320" w:firstLine="639"/>
        <w:spacing w:after="0" w:line="261" w:lineRule="auto"/>
        <w:tabs>
          <w:tab w:leader="none" w:pos="1269"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hereof. If there is any conflict between such exhibits or addenda and the terms of this Lease, such exhibits or addenda shall control.</w:t>
      </w:r>
    </w:p>
    <w:p>
      <w:pPr>
        <w:spacing w:after="0" w:line="202" w:lineRule="exact"/>
        <w:rPr>
          <w:rFonts w:ascii="Arial" w:cs="Arial" w:eastAsia="Arial" w:hAnsi="Arial"/>
          <w:sz w:val="18"/>
          <w:szCs w:val="18"/>
          <w:color w:val="auto"/>
        </w:rPr>
      </w:pPr>
    </w:p>
    <w:p>
      <w:pPr>
        <w:jc w:val="both"/>
        <w:ind w:left="300" w:right="320" w:firstLine="639"/>
        <w:spacing w:after="0" w:line="259" w:lineRule="auto"/>
        <w:tabs>
          <w:tab w:leader="none" w:pos="1269"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219" w:lineRule="exact"/>
        <w:rPr>
          <w:rFonts w:ascii="Arial" w:cs="Arial" w:eastAsia="Arial" w:hAnsi="Arial"/>
          <w:sz w:val="18"/>
          <w:szCs w:val="18"/>
          <w:color w:val="auto"/>
        </w:rPr>
      </w:pPr>
    </w:p>
    <w:p>
      <w:pPr>
        <w:jc w:val="both"/>
        <w:ind w:left="300" w:right="320" w:firstLine="639"/>
        <w:spacing w:after="0" w:line="256" w:lineRule="auto"/>
        <w:tabs>
          <w:tab w:leader="none" w:pos="1265"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Non-Disclosure of Terms</w:t>
      </w:r>
      <w:r>
        <w:rPr>
          <w:rFonts w:ascii="Arial" w:cs="Arial" w:eastAsia="Arial" w:hAnsi="Arial"/>
          <w:sz w:val="18"/>
          <w:szCs w:val="18"/>
          <w:color w:val="auto"/>
        </w:rPr>
        <w:t>. Tenant acknowledges and agrees that the terms of this Lease are confidential and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of Landlord. Disclosure of such terms could adversely affect the ability of Landlord and its affiliates to negotiate, manage, and administer other leases and impair Landlord’s relationship with other tenants. Accordingly, as a material inducement for Landlord to enter into this Lease, Tenant, on behalf of itself and its partners, managers, members, officers, directors, employees, agents, and attorneys, agrees that it shall not intentionally and voluntarily disclose the terms and conditions of this Lease to any publication or other media or any tenant or apparent prospective tenant of the Building or other portion of the Project, or real estate agent or broker, either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700" w:right="8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200"/>
          </w:cols>
          <w:pgMar w:left="360" w:top="188"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Suite 210, 20400 Century Boulevard—Vaccitech North America, Inc.—Page 44</w:t>
      </w:r>
    </w:p>
    <w:p>
      <w:pPr>
        <w:spacing w:after="0" w:line="200" w:lineRule="exact"/>
        <w:rPr>
          <w:sz w:val="20"/>
          <w:szCs w:val="20"/>
          <w:color w:val="auto"/>
        </w:rPr>
      </w:pPr>
    </w:p>
    <w:p>
      <w:pPr>
        <w:spacing w:after="0" w:line="363" w:lineRule="exact"/>
        <w:rPr>
          <w:sz w:val="20"/>
          <w:szCs w:val="20"/>
          <w:color w:val="auto"/>
        </w:rPr>
      </w:pPr>
    </w:p>
    <w:p>
      <w:pPr>
        <w:jc w:val="both"/>
        <w:ind w:left="300" w:right="240" w:firstLine="639"/>
        <w:spacing w:after="0" w:line="257" w:lineRule="auto"/>
        <w:tabs>
          <w:tab w:leader="none" w:pos="1269"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Counterparts/Electronic Signatures</w:t>
      </w:r>
      <w:r>
        <w:rPr>
          <w:rFonts w:ascii="Arial" w:cs="Arial" w:eastAsia="Arial" w:hAnsi="Arial"/>
          <w:sz w:val="18"/>
          <w:szCs w:val="18"/>
          <w:color w:val="auto"/>
        </w:rPr>
        <w:t>. This Lease may be executed in 2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222" w:lineRule="exact"/>
        <w:rPr>
          <w:rFonts w:ascii="Arial" w:cs="Arial" w:eastAsia="Arial" w:hAnsi="Arial"/>
          <w:sz w:val="18"/>
          <w:szCs w:val="18"/>
          <w:color w:val="auto"/>
        </w:rPr>
      </w:pPr>
    </w:p>
    <w:p>
      <w:pPr>
        <w:jc w:val="both"/>
        <w:ind w:left="300" w:right="240" w:firstLine="639"/>
        <w:spacing w:after="0" w:line="256" w:lineRule="auto"/>
        <w:tabs>
          <w:tab w:leader="none" w:pos="127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contractors, reserves the right to refuse to perform any repairs or services in any portion of the Premises that,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223" w:lineRule="exact"/>
        <w:rPr>
          <w:rFonts w:ascii="Arial" w:cs="Arial" w:eastAsia="Arial" w:hAnsi="Arial"/>
          <w:sz w:val="18"/>
          <w:szCs w:val="18"/>
          <w:color w:val="auto"/>
        </w:rPr>
      </w:pPr>
    </w:p>
    <w:p>
      <w:pPr>
        <w:jc w:val="both"/>
        <w:ind w:left="300" w:right="260" w:firstLine="639"/>
        <w:spacing w:after="0" w:line="262" w:lineRule="auto"/>
        <w:tabs>
          <w:tab w:leader="none" w:pos="1261"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LEED</w:t>
      </w:r>
      <w:r>
        <w:rPr>
          <w:rFonts w:ascii="Arial" w:cs="Arial" w:eastAsia="Arial" w:hAnsi="Arial"/>
          <w:sz w:val="18"/>
          <w:szCs w:val="18"/>
          <w:color w:val="auto"/>
        </w:rPr>
        <w:t>. Tenant acknowledges that Landlord may, but shall not be obligated to, seek to obtain Leadership in Energy and</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Design (LEED), WELL Building Standard, or other similar “green” certification for the Project and/or the Premises, and Tenant agrees to reasonably cooperate with Landlord, and to provide such information and/or documentation as Landlord may reasonably request, in connection therewith.</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Signatures on next page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700" w:right="240"/>
        <w:spacing w:after="0" w:line="261"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-27305</wp:posOffset>
            </wp:positionV>
            <wp:extent cx="702945" cy="2571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line="263" w:lineRule="auto"/>
        <w:rPr>
          <w:sz w:val="20"/>
          <w:szCs w:val="20"/>
          <w:color w:val="auto"/>
        </w:rPr>
      </w:pPr>
      <w:r>
        <w:rPr>
          <w:rFonts w:ascii="Times New Roman" w:cs="Times New Roman" w:eastAsia="Times New Roman" w:hAnsi="Times New Roman"/>
          <w:sz w:val="14"/>
          <w:szCs w:val="14"/>
          <w:color w:val="auto"/>
        </w:rPr>
        <w:t>Alexandria and the Alexandria Logo are registered trademarks of Alexandria Real Estate Equities, Inc.</w:t>
      </w:r>
    </w:p>
    <w:p>
      <w:pPr>
        <w:sectPr>
          <w:pgSz w:w="11900" w:h="16838" w:orient="portrait"/>
          <w:cols w:equalWidth="0" w:num="1">
            <w:col w:w="11120"/>
          </w:cols>
          <w:pgMar w:left="360" w:top="188" w:right="41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Suite 210, 20400 Century Boulevard—Vaccitech North America, Inc.—Page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 WITNESS WHEREOF, Landlord and Tenant have executed this Lease under seal as of the day and year first above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VACCITECH NORTH AMERICA,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By: /s/ William Enright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-7620</wp:posOffset>
            </wp:positionV>
            <wp:extent cx="9779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6"/>
          <w:szCs w:val="16"/>
          <w:color w:val="auto"/>
        </w:rPr>
        <w:t>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15862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7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-4445</wp:posOffset>
            </wp:positionV>
            <wp:extent cx="3371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spacing w:after="0" w:line="264"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X</w:t>
      </w:r>
      <w:r>
        <w:rPr>
          <w:rFonts w:ascii="Arial" w:cs="Arial" w:eastAsia="Arial" w:hAnsi="Arial"/>
          <w:sz w:val="17"/>
          <w:szCs w:val="17"/>
          <w:color w:val="auto"/>
        </w:rPr>
        <w:t>□ I hereby certify that the signature, name, and title above are my</w:t>
      </w:r>
    </w:p>
    <w:p>
      <w:pPr>
        <w:spacing w:after="0" w:line="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name, and title.</w:t>
      </w: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ARE-MARYLAND NO. 52, LLC,</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 Delaware limited liability company</w:t>
      </w:r>
    </w:p>
    <w:p>
      <w:pPr>
        <w:spacing w:after="0" w:line="221" w:lineRule="exact"/>
        <w:rPr>
          <w:sz w:val="20"/>
          <w:szCs w:val="20"/>
          <w:color w:val="auto"/>
        </w:rPr>
      </w:pPr>
    </w:p>
    <w:p>
      <w:pPr>
        <w:ind w:left="3540"/>
        <w:spacing w:after="0"/>
        <w:tabs>
          <w:tab w:leader="none" w:pos="3960" w:val="left"/>
        </w:tabs>
        <w:rPr>
          <w:sz w:val="20"/>
          <w:szCs w:val="20"/>
          <w:color w:val="auto"/>
        </w:rPr>
      </w:pPr>
      <w:r>
        <w:rPr>
          <w:rFonts w:ascii="Arial" w:cs="Arial" w:eastAsia="Arial" w:hAnsi="Arial"/>
          <w:sz w:val="18"/>
          <w:szCs w:val="18"/>
          <w:color w:val="auto"/>
        </w:rPr>
        <w:t>By:</w:t>
        <w:tab/>
        <w:t>Alexandria Real Estate Equities, L.P., a Delaware limited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partnership, managing member</w:t>
      </w:r>
    </w:p>
    <w:p>
      <w:pPr>
        <w:spacing w:after="0" w:line="207" w:lineRule="exact"/>
        <w:rPr>
          <w:sz w:val="20"/>
          <w:szCs w:val="20"/>
          <w:color w:val="auto"/>
        </w:rPr>
      </w:pPr>
    </w:p>
    <w:p>
      <w:pPr>
        <w:ind w:left="4180"/>
        <w:spacing w:after="0"/>
        <w:tabs>
          <w:tab w:leader="none" w:pos="4620" w:val="left"/>
        </w:tabs>
        <w:rPr>
          <w:sz w:val="20"/>
          <w:szCs w:val="20"/>
          <w:color w:val="auto"/>
        </w:rPr>
      </w:pPr>
      <w:r>
        <w:rPr>
          <w:rFonts w:ascii="Arial" w:cs="Arial" w:eastAsia="Arial" w:hAnsi="Arial"/>
          <w:sz w:val="18"/>
          <w:szCs w:val="18"/>
          <w:color w:val="auto"/>
        </w:rPr>
        <w:t>By:</w:t>
        <w:tab/>
        <w:t>ARE-QRS CORP.,</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 Maryland corporation, general partner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Gregory Kay</w:t>
      </w:r>
      <w:r>
        <w:rPr>
          <w:rFonts w:ascii="Arial" w:cs="Arial" w:eastAsia="Arial" w:hAnsi="Arial"/>
          <w:sz w:val="18"/>
          <w:szCs w:val="18"/>
          <w:color w:val="auto"/>
        </w:rPr>
        <w:t xml:space="preserve"> (SEAL)</w:t>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Name:_Gregory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-66040</wp:posOffset>
            </wp:positionV>
            <wp:extent cx="11398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6"/>
          <w:szCs w:val="16"/>
          <w:color w:val="auto"/>
        </w:rPr>
        <w:t>Title:</w:t>
      </w:r>
      <w:r>
        <w:rPr>
          <w:rFonts w:ascii="Arial" w:cs="Arial" w:eastAsia="Arial" w:hAnsi="Arial"/>
          <w:sz w:val="16"/>
          <w:szCs w:val="16"/>
          <w:u w:val="single" w:color="auto"/>
          <w:color w:val="auto"/>
        </w:rPr>
        <w:t>SVP - Real Estate Le</w:t>
      </w:r>
      <w:r>
        <w:rPr>
          <w:rFonts w:ascii="Arial" w:cs="Arial" w:eastAsia="Arial" w:hAnsi="Arial"/>
          <w:sz w:val="16"/>
          <w:szCs w:val="16"/>
          <w:color w:val="auto"/>
        </w:rPr>
        <w:t>gal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700"/>
        <w:spacing w:after="0" w:line="254" w:lineRule="auto"/>
        <w:rPr>
          <w:sz w:val="20"/>
          <w:szCs w:val="20"/>
          <w:color w:val="auto"/>
        </w:rPr>
      </w:pPr>
      <w:r>
        <w:rPr>
          <w:rFonts w:ascii="Times New Roman" w:cs="Times New Roman" w:eastAsia="Times New Roman" w:hAnsi="Times New Roman"/>
          <w:sz w:val="14"/>
          <w:szCs w:val="14"/>
          <w:color w:val="auto"/>
        </w:rPr>
        <w:t>Copyright © 2007, Alexandria Real Estate Equities, Inc. ALL RIGHTS RESERVED. Confidential and Proprietary – Do Not Copy or Distribute. Alexandria and the Alexandria Logo are registered trademarks of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-129540</wp:posOffset>
            </wp:positionV>
            <wp:extent cx="702945" cy="257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4"/>
          <w:szCs w:val="14"/>
          <w:color w:val="auto"/>
        </w:rPr>
        <w:t>Real Estate Equities, Inc.</w:t>
      </w:r>
    </w:p>
    <w:p>
      <w:pPr>
        <w:sectPr>
          <w:pgSz w:w="11900" w:h="16838" w:orient="portrait"/>
          <w:cols w:equalWidth="0" w:num="1">
            <w:col w:w="11120"/>
          </w:cols>
          <w:pgMar w:left="360" w:top="188" w:right="4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bl>
      <w:tblPr>
        <w:tblLayout w:type="fixed"/>
        <w:tblInd w:w="0" w:type="dxa"/>
        <w:tblCellMar>
          <w:top w:w="0" w:type="dxa"/>
          <w:left w:w="0" w:type="dxa"/>
          <w:bottom w:w="0" w:type="dxa"/>
          <w:right w:w="0" w:type="dxa"/>
        </w:tblCellMar>
      </w:tblPr>
      <w:tr>
        <w:trPr>
          <w:trHeight w:val="238"/>
        </w:trPr>
        <w:tc>
          <w:tcPr>
            <w:tcW w:w="11140" w:type="dxa"/>
            <w:vAlign w:val="bottom"/>
            <w:gridSpan w:val="3"/>
          </w:tcPr>
          <w:p>
            <w:pPr>
              <w:ind w:left="49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35"/>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216"/>
        </w:trPr>
        <w:tc>
          <w:tcPr>
            <w:tcW w:w="5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r>
      <w:tr>
        <w:trPr>
          <w:trHeight w:val="169"/>
        </w:trPr>
        <w:tc>
          <w:tcPr>
            <w:tcW w:w="568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Barinthus Biotherapeutics Pty Limited (formerly Vaccitech Australia Pty</w:t>
            </w:r>
          </w:p>
        </w:tc>
        <w:tc>
          <w:tcPr>
            <w:tcW w:w="30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243"/>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Limited)</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r>
      <w:tr>
        <w:trPr>
          <w:trHeight w:val="44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Vaccitech Oncology Limited</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445"/>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Barinthus Biotherapeutics (UK) Limited (formerly Vaccitech (UK) Limited)</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392"/>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Barinthus Biotherapeutics North America, Inc. (formerly Vaccitech North</w:t>
            </w:r>
          </w:p>
        </w:tc>
        <w:tc>
          <w:tcPr>
            <w:tcW w:w="5160" w:type="dxa"/>
            <w:vAlign w:val="bottom"/>
          </w:tcPr>
          <w:p>
            <w:pPr>
              <w:spacing w:after="0"/>
              <w:rPr>
                <w:sz w:val="24"/>
                <w:szCs w:val="24"/>
                <w:color w:val="auto"/>
              </w:rPr>
            </w:pPr>
          </w:p>
        </w:tc>
      </w:tr>
      <w:tr>
        <w:trPr>
          <w:trHeight w:val="243"/>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America, Inc.)</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391"/>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Barinthus Biotherapeutics Switzerland GmbH (formerly Vaccitech</w:t>
            </w:r>
          </w:p>
        </w:tc>
        <w:tc>
          <w:tcPr>
            <w:tcW w:w="5160" w:type="dxa"/>
            <w:vAlign w:val="bottom"/>
          </w:tcPr>
          <w:p>
            <w:pPr>
              <w:spacing w:after="0"/>
              <w:rPr>
                <w:sz w:val="24"/>
                <w:szCs w:val="24"/>
                <w:color w:val="auto"/>
              </w:rPr>
            </w:pPr>
          </w:p>
        </w:tc>
      </w:tr>
      <w:tr>
        <w:trPr>
          <w:trHeight w:val="243"/>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Switzerland GmbH)</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44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Beacon Topco, Inc.</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445"/>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Cdog Merger Sub, Inc.</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392" w:right="33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333-285968, No. 333-278111, No. 333-270815, No. 333-263844, No. 333-255664) of Barinthus Biotherapeutics plc of our report dated March 13, 2026 relating to the financial statements, which appears in this Form 10-K.</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Reading, United Kingdom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March 13, 2026</w:t>
      </w:r>
    </w:p>
    <w:p>
      <w:pPr>
        <w:sectPr>
          <w:pgSz w:w="11900" w:h="16838" w:orient="portrait"/>
          <w:cols w:equalWidth="0" w:num="1">
            <w:col w:w="11200"/>
          </w:cols>
          <w:pgMar w:left="320" w:top="1440" w:right="3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15d-14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w:t>
      </w:r>
      <w:r>
        <w:rPr>
          <w:rFonts w:ascii="Times New Roman" w:cs="Times New Roman" w:eastAsia="Times New Roman" w:hAnsi="Times New Roman"/>
          <w:sz w:val="18"/>
          <w:szCs w:val="18"/>
          <w:color w:val="auto"/>
        </w:rPr>
        <w:t>,</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Enright, certify that:</w:t>
      </w:r>
    </w:p>
    <w:p>
      <w:pPr>
        <w:spacing w:after="0" w:line="225"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Barinthus Biotherapeutics plc;</w:t>
      </w:r>
    </w:p>
    <w:p>
      <w:pPr>
        <w:spacing w:after="0" w:line="211" w:lineRule="exact"/>
        <w:rPr>
          <w:rFonts w:ascii="Times New Roman" w:cs="Times New Roman" w:eastAsia="Times New Roman" w:hAnsi="Times New Roman"/>
          <w:sz w:val="18"/>
          <w:szCs w:val="18"/>
          <w:color w:val="auto"/>
        </w:rPr>
      </w:pPr>
    </w:p>
    <w:p>
      <w:pPr>
        <w:jc w:val="both"/>
        <w:ind w:left="340" w:right="440" w:hanging="332"/>
        <w:spacing w:after="0" w:line="258"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7"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Title: Chief Executive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43"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15d-14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w:t>
      </w:r>
      <w:r>
        <w:rPr>
          <w:rFonts w:ascii="Times New Roman" w:cs="Times New Roman" w:eastAsia="Times New Roman" w:hAnsi="Times New Roman"/>
          <w:sz w:val="18"/>
          <w:szCs w:val="18"/>
          <w:color w:val="auto"/>
        </w:rPr>
        <w:t>,</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Enright, certify that:</w:t>
      </w:r>
    </w:p>
    <w:p>
      <w:pPr>
        <w:spacing w:after="0" w:line="225" w:lineRule="exact"/>
        <w:rPr>
          <w:sz w:val="20"/>
          <w:szCs w:val="20"/>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Barinthus Biotherapeutics plc;</w:t>
      </w:r>
    </w:p>
    <w:p>
      <w:pPr>
        <w:spacing w:after="0" w:line="211" w:lineRule="exact"/>
        <w:rPr>
          <w:rFonts w:ascii="Times New Roman" w:cs="Times New Roman" w:eastAsia="Times New Roman" w:hAnsi="Times New Roman"/>
          <w:sz w:val="18"/>
          <w:szCs w:val="18"/>
          <w:color w:val="auto"/>
        </w:rPr>
      </w:pPr>
    </w:p>
    <w:p>
      <w:pPr>
        <w:jc w:val="both"/>
        <w:ind w:left="660" w:right="120" w:hanging="328"/>
        <w:spacing w:after="0" w:line="258"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7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980" w:right="540" w:hanging="324"/>
        <w:spacing w:after="0" w:line="296" w:lineRule="auto"/>
        <w:tabs>
          <w:tab w:leader="none" w:pos="977"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60" w:hanging="324"/>
        <w:spacing w:after="0" w:line="258" w:lineRule="auto"/>
        <w:tabs>
          <w:tab w:leader="none" w:pos="97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980" w:right="780" w:hanging="324"/>
        <w:spacing w:after="0" w:line="266" w:lineRule="auto"/>
        <w:tabs>
          <w:tab w:leader="none" w:pos="97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Title: Chief Executive Officer</w:t>
      </w:r>
    </w:p>
    <w:p>
      <w:pPr>
        <w:spacing w:after="0" w:line="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p>
    <w:p>
      <w:pPr>
        <w:spacing w:after="0" w:line="2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1350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Barinthus Biotherapeutics plc (the “Company”) on Form 10-K for the fiscal year ending December 31, 2025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69" w:lineRule="exact"/>
        <w:rPr>
          <w:sz w:val="20"/>
          <w:szCs w:val="20"/>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ind w:left="20"/>
        <w:spacing w:after="0"/>
        <w:tabs>
          <w:tab w:leader="none" w:pos="4760" w:val="left"/>
          <w:tab w:leader="none" w:pos="524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26035</wp:posOffset>
            </wp:positionV>
            <wp:extent cx="35915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Title: Chief Executive Officer</w:t>
      </w:r>
    </w:p>
    <w:p>
      <w:pPr>
        <w:spacing w:after="0" w:line="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8EBC550"/>
    <w:multiLevelType w:val="hybridMultilevel"/>
    <w:lvl w:ilvl="0">
      <w:lvlJc w:val="left"/>
      <w:lvlText w:val="x"/>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1"/>
      <w:numFmt w:val="bullet"/>
      <w:start w:val="1"/>
    </w:lvl>
  </w:abstractNum>
  <w:abstractNum w:abstractNumId="12">
    <w:nsid w:val="7055A5F5"/>
    <w:multiLevelType w:val="hybridMultilevel"/>
    <w:lvl w:ilvl="0">
      <w:lvlJc w:val="left"/>
      <w:lvlText w:val="(%1)"/>
      <w:numFmt w:val="lowerRoman"/>
      <w:start w:val="2"/>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amp;"/>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1)"/>
      <w:numFmt w:val="lowerRoman"/>
      <w:start w:val="2"/>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
      <w:numFmt w:val="bullet"/>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
      <w:numFmt w:val="bullet"/>
      <w:start w:val="1"/>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
      <w:numFmt w:val="bullet"/>
      <w:start w:val="1"/>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
      <w:numFmt w:val="bullet"/>
      <w:start w:val="1"/>
    </w:lvl>
  </w:abstractNum>
  <w:abstractNum w:abstractNumId="52">
    <w:nsid w:val="39B7AAA2"/>
    <w:multiLevelType w:val="hybridMultilevel"/>
    <w:lvl w:ilvl="0">
      <w:lvlJc w:val="left"/>
      <w:lvlText w:val="(%1)"/>
      <w:numFmt w:val="lowerRoman"/>
      <w:start w:val="2"/>
    </w:lvl>
  </w:abstractNum>
  <w:abstractNum w:abstractNumId="53">
    <w:nsid w:val="2B0D8DBE"/>
    <w:multiLevelType w:val="hybridMultilevel"/>
    <w:lvl w:ilvl="0">
      <w:lvlJc w:val="left"/>
      <w:lvlText w:val="•"/>
      <w:numFmt w:val="bullet"/>
      <w:start w:val="1"/>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
      <w:numFmt w:val="bullet"/>
      <w:start w:val="1"/>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
      <w:numFmt w:val="bullet"/>
      <w:start w:val="1"/>
    </w:lvl>
  </w:abstractNum>
  <w:abstractNum w:abstractNumId="58">
    <w:nsid w:val="4C9B0904"/>
    <w:multiLevelType w:val="hybridMultilevel"/>
    <w:lvl w:ilvl="0">
      <w:lvlJc w:val="left"/>
      <w:lvlText w:val="•"/>
      <w:numFmt w:val="bullet"/>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1"/>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
      <w:numFmt w:val="bullet"/>
      <w:start w:val="1"/>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
      <w:numFmt w:val="bullet"/>
      <w:start w:val="1"/>
    </w:lvl>
  </w:abstractNum>
  <w:abstractNum w:abstractNumId="70">
    <w:nsid w:val="5915FF32"/>
    <w:multiLevelType w:val="hybridMultilevel"/>
    <w:lvl w:ilvl="0">
      <w:lvlJc w:val="left"/>
      <w:lvlText w:val="(%1)"/>
      <w:numFmt w:val="lowerRoman"/>
      <w:start w:val="2"/>
    </w:lvl>
  </w:abstractNum>
  <w:abstractNum w:abstractNumId="71">
    <w:nsid w:val="56438D15"/>
    <w:multiLevelType w:val="hybridMultilevel"/>
    <w:lvl w:ilvl="0">
      <w:lvlJc w:val="left"/>
      <w:lvlText w:val="(%1)"/>
      <w:numFmt w:val="decimal"/>
      <w:start w:val="1"/>
    </w:lvl>
  </w:abstractNum>
  <w:abstractNum w:abstractNumId="72">
    <w:nsid w:val="519E3149"/>
    <w:multiLevelType w:val="hybridMultilevel"/>
    <w:lvl w:ilvl="0">
      <w:lvlJc w:val="left"/>
      <w:lvlText w:val="(%1)"/>
      <w:numFmt w:val="decimal"/>
      <w:start w:val="1"/>
    </w:lvl>
  </w:abstractNum>
  <w:abstractNum w:abstractNumId="73">
    <w:nsid w:val="2C6E4AFD"/>
    <w:multiLevelType w:val="hybridMultilevel"/>
    <w:lvl w:ilvl="0">
      <w:lvlJc w:val="left"/>
      <w:lvlText w:val="(%1)"/>
      <w:numFmt w:val="decimal"/>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1)"/>
      <w:numFmt w:val="decimal"/>
      <w:start w:val="1"/>
    </w:lvl>
  </w:abstractNum>
  <w:abstractNum w:abstractNumId="77">
    <w:nsid w:val="5D888A08"/>
    <w:multiLevelType w:val="hybridMultilevel"/>
    <w:lvl w:ilvl="0">
      <w:lvlJc w:val="left"/>
      <w:lvlText w:val="(%1)"/>
      <w:numFmt w:val="decimal"/>
      <w:start w:val="6"/>
    </w:lvl>
  </w:abstractNum>
  <w:abstractNum w:abstractNumId="78">
    <w:nsid w:val="2A082C70"/>
    <w:multiLevelType w:val="hybridMultilevel"/>
    <w:lvl w:ilvl="0">
      <w:lvlJc w:val="left"/>
      <w:lvlText w:val="(%1)"/>
      <w:numFmt w:val="decimal"/>
      <w:start w:val="1"/>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
      <w:numFmt w:val="bullet"/>
      <w:start w:val="1"/>
    </w:lvl>
  </w:abstractNum>
  <w:abstractNum w:abstractNumId="81">
    <w:nsid w:val="75E0858A"/>
    <w:multiLevelType w:val="hybridMultilevel"/>
    <w:lvl w:ilvl="0">
      <w:lvlJc w:val="left"/>
      <w:lvlText w:val="**"/>
      <w:numFmt w:val="bullet"/>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1"/>
      <w:numFmt w:val="bullet"/>
      <w:start w:val="1"/>
    </w:lvl>
  </w:abstractNum>
  <w:abstractNum w:abstractNumId="84">
    <w:nsid w:val="20EE1348"/>
    <w:multiLevelType w:val="hybridMultilevel"/>
    <w:lvl w:ilvl="0">
      <w:lvlJc w:val="left"/>
      <w:lvlText w:val="1"/>
      <w:numFmt w:val="bullet"/>
      <w:start w:val="1"/>
    </w:lvl>
  </w:abstractNum>
  <w:abstractNum w:abstractNumId="85">
    <w:nsid w:val="4427069A"/>
    <w:multiLevelType w:val="hybridMultilevel"/>
    <w:lvl w:ilvl="0">
      <w:lvlJc w:val="left"/>
      <w:lvlText w:val="1"/>
      <w:numFmt w:val="bullet"/>
      <w:start w:val="1"/>
    </w:lvl>
  </w:abstractNum>
  <w:abstractNum w:abstractNumId="86">
    <w:nsid w:val="B37E80A"/>
    <w:multiLevelType w:val="hybridMultilevel"/>
    <w:lvl w:ilvl="0">
      <w:lvlJc w:val="left"/>
      <w:lvlText w:val="3"/>
      <w:numFmt w:val="bullet"/>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1"/>
      <w:numFmt w:val="bullet"/>
      <w:start w:val="1"/>
    </w:lvl>
  </w:abstractNum>
  <w:abstractNum w:abstractNumId="89">
    <w:nsid w:val="57D2F10E"/>
    <w:multiLevelType w:val="hybridMultilevel"/>
    <w:lvl w:ilvl="0">
      <w:lvlJc w:val="left"/>
      <w:lvlText w:val="(%1)"/>
      <w:numFmt w:val="lowerRoman"/>
      <w:start w:val="2"/>
    </w:lvl>
  </w:abstractNum>
  <w:abstractNum w:abstractNumId="90">
    <w:nsid w:val="BFFAE18"/>
    <w:multiLevelType w:val="hybridMultilevel"/>
    <w:lvl w:ilvl="0">
      <w:lvlJc w:val="left"/>
      <w:lvlText w:val="%1."/>
      <w:numFmt w:val="decimal"/>
      <w:start w:val="1"/>
    </w:lvl>
  </w:abstractNum>
  <w:abstractNum w:abstractNumId="91">
    <w:nsid w:val="E3E47A8"/>
    <w:multiLevelType w:val="hybridMultilevel"/>
    <w:lvl w:ilvl="0">
      <w:lvlJc w:val="left"/>
      <w:lvlText w:val="%1."/>
      <w:numFmt w:val="decimal"/>
      <w:start w:val="3"/>
    </w:lvl>
  </w:abstractNum>
  <w:abstractNum w:abstractNumId="92">
    <w:nsid w:val="2E48F044"/>
    <w:multiLevelType w:val="hybridMultilevel"/>
    <w:lvl w:ilvl="0">
      <w:lvlJc w:val="left"/>
      <w:lvlText w:val="(%1)"/>
      <w:numFmt w:val="lowerLetter"/>
      <w:start w:val="1"/>
    </w:lvl>
  </w:abstractNum>
  <w:abstractNum w:abstractNumId="93">
    <w:nsid w:val="49D0FEAC"/>
    <w:multiLevelType w:val="hybridMultilevel"/>
    <w:lvl w:ilvl="0">
      <w:lvlJc w:val="left"/>
      <w:lvlText w:val="%1."/>
      <w:numFmt w:val="decimal"/>
      <w:start w:val="4"/>
    </w:lvl>
  </w:abstractNum>
  <w:abstractNum w:abstractNumId="94">
    <w:nsid w:val="4BEE5A5B"/>
    <w:multiLevelType w:val="hybridMultilevel"/>
    <w:lvl w:ilvl="0">
      <w:lvlJc w:val="left"/>
      <w:lvlText w:val="(%1)"/>
      <w:numFmt w:val="lowerLetter"/>
      <w:start w:val="1"/>
    </w:lvl>
  </w:abstractNum>
  <w:abstractNum w:abstractNumId="95">
    <w:nsid w:val="5551B9F3"/>
    <w:multiLevelType w:val="hybridMultilevel"/>
    <w:lvl w:ilvl="0">
      <w:lvlJc w:val="left"/>
      <w:lvlText w:val="%1."/>
      <w:numFmt w:val="decimal"/>
      <w:start w:val="5"/>
    </w:lvl>
  </w:abstractNum>
  <w:abstractNum w:abstractNumId="96">
    <w:nsid w:val="24F6AB8E"/>
    <w:multiLevelType w:val="hybridMultilevel"/>
    <w:lvl w:ilvl="0">
      <w:lvlJc w:val="left"/>
      <w:lvlText w:val="(%1)"/>
      <w:numFmt w:val="lowerLetter"/>
      <w:start w:val="1"/>
    </w:lvl>
  </w:abstractNum>
  <w:abstractNum w:abstractNumId="97">
    <w:nsid w:val="634C574C"/>
    <w:multiLevelType w:val="hybridMultilevel"/>
    <w:lvl w:ilvl="0">
      <w:lvlJc w:val="left"/>
      <w:lvlText w:val="(%1)"/>
      <w:numFmt w:val="lowerLetter"/>
      <w:start w:val="15"/>
    </w:lvl>
  </w:abstractNum>
  <w:abstractNum w:abstractNumId="98">
    <w:nsid w:val="24E99DD7"/>
    <w:multiLevelType w:val="hybridMultilevel"/>
    <w:lvl w:ilvl="0">
      <w:lvlJc w:val="left"/>
      <w:lvlText w:val="(%1)"/>
      <w:numFmt w:val="lowerLetter"/>
      <w:start w:val="16"/>
    </w:lvl>
  </w:abstractNum>
  <w:abstractNum w:abstractNumId="99">
    <w:nsid w:val="2A31B62D"/>
    <w:multiLevelType w:val="hybridMultilevel"/>
    <w:lvl w:ilvl="0">
      <w:lvlJc w:val="left"/>
      <w:lvlText w:val="(%1)"/>
      <w:numFmt w:val="lowerLetter"/>
      <w:start w:val="2"/>
    </w:lvl>
  </w:abstractNum>
  <w:abstractNum w:abstractNumId="100">
    <w:nsid w:val="1849C29B"/>
    <w:multiLevelType w:val="hybridMultilevel"/>
    <w:lvl w:ilvl="0">
      <w:lvlJc w:val="left"/>
      <w:lvlText w:val="%1."/>
      <w:numFmt w:val="decimal"/>
      <w:start w:val="6"/>
    </w:lvl>
  </w:abstractNum>
  <w:abstractNum w:abstractNumId="101">
    <w:nsid w:val="7DFF9D09"/>
    <w:multiLevelType w:val="hybridMultilevel"/>
    <w:lvl w:ilvl="0">
      <w:lvlJc w:val="left"/>
      <w:lvlText w:val="(%1)"/>
      <w:numFmt w:val="lowerLetter"/>
      <w:start w:val="1"/>
    </w:lvl>
  </w:abstractNum>
  <w:abstractNum w:abstractNumId="102">
    <w:nsid w:val="754342"/>
    <w:multiLevelType w:val="hybridMultilevel"/>
    <w:lvl w:ilvl="0">
      <w:lvlJc w:val="left"/>
      <w:lvlText w:val="(%1)"/>
      <w:numFmt w:val="lowerRoman"/>
      <w:start w:val="1"/>
    </w:lvl>
  </w:abstractNum>
  <w:abstractNum w:abstractNumId="103">
    <w:nsid w:val="69E7F3E5"/>
    <w:multiLevelType w:val="hybridMultilevel"/>
    <w:lvl w:ilvl="0">
      <w:lvlJc w:val="left"/>
      <w:lvlText w:val="(%1)"/>
      <w:numFmt w:val="lowerRoman"/>
      <w:start w:val="3"/>
    </w:lvl>
  </w:abstractNum>
  <w:abstractNum w:abstractNumId="104">
    <w:nsid w:val="2A6DE806"/>
    <w:multiLevelType w:val="hybridMultilevel"/>
    <w:lvl w:ilvl="0">
      <w:lvlJc w:val="left"/>
      <w:lvlText w:val="(%1)"/>
      <w:numFmt w:val="lowerRoman"/>
      <w:start w:val="4"/>
    </w:lvl>
  </w:abstractNum>
  <w:abstractNum w:abstractNumId="105">
    <w:nsid w:val="1816F8C4"/>
    <w:multiLevelType w:val="hybridMultilevel"/>
    <w:lvl w:ilvl="0">
      <w:lvlJc w:val="left"/>
      <w:lvlText w:val="%1"/>
      <w:numFmt w:val="lowerLetter"/>
      <w:start w:val="1"/>
    </w:lvl>
    <w:lvl w:ilvl="1">
      <w:lvlJc w:val="left"/>
      <w:lvlText w:val="(%2)"/>
      <w:numFmt w:val="lowerLetter"/>
      <w:start w:val="3"/>
    </w:lvl>
  </w:abstractNum>
  <w:abstractNum w:abstractNumId="106">
    <w:nsid w:val="37DF2233"/>
    <w:multiLevelType w:val="hybridMultilevel"/>
    <w:lvl w:ilvl="0">
      <w:lvlJc w:val="left"/>
      <w:lvlText w:val="(%1)"/>
      <w:numFmt w:val="lowerLetter"/>
      <w:start w:val="9"/>
    </w:lvl>
    <w:lvl w:ilvl="1">
      <w:lvlJc w:val="left"/>
      <w:lvlText w:val="%2"/>
      <w:numFmt w:val="lowerLetter"/>
      <w:start w:val="1"/>
    </w:lvl>
  </w:abstractNum>
  <w:abstractNum w:abstractNumId="107">
    <w:nsid w:val="7AB49DAF"/>
    <w:multiLevelType w:val="hybridMultilevel"/>
    <w:lvl w:ilvl="0">
      <w:lvlJc w:val="left"/>
      <w:lvlText w:val="(%1)"/>
      <w:numFmt w:val="lowerLetter"/>
      <w:start w:val="61"/>
    </w:lvl>
    <w:lvl w:ilvl="1">
      <w:lvlJc w:val="left"/>
      <w:lvlText w:val="%2"/>
      <w:numFmt w:val="lowerLetter"/>
      <w:start w:val="1"/>
    </w:lvl>
  </w:abstractNum>
  <w:abstractNum w:abstractNumId="108">
    <w:nsid w:val="759F82CD"/>
    <w:multiLevelType w:val="hybridMultilevel"/>
    <w:lvl w:ilvl="0">
      <w:lvlJc w:val="left"/>
      <w:lvlText w:val="(%1)"/>
      <w:numFmt w:val="lowerLetter"/>
      <w:start w:val="4"/>
    </w:lvl>
  </w:abstractNum>
  <w:abstractNum w:abstractNumId="109">
    <w:nsid w:val="61E74EA3"/>
    <w:multiLevelType w:val="hybridMultilevel"/>
    <w:lvl w:ilvl="0">
      <w:lvlJc w:val="left"/>
      <w:lvlText w:val="(%1)"/>
      <w:numFmt w:val="lowerRoman"/>
      <w:start w:val="1"/>
    </w:lvl>
  </w:abstractNum>
  <w:abstractNum w:abstractNumId="110">
    <w:nsid w:val="597B4D84"/>
    <w:multiLevelType w:val="hybridMultilevel"/>
    <w:lvl w:ilvl="0">
      <w:lvlJc w:val="left"/>
      <w:lvlText w:val="(%1)"/>
      <w:numFmt w:val="lowerLetter"/>
      <w:start w:val="35"/>
    </w:lvl>
    <w:lvl w:ilvl="1">
      <w:lvlJc w:val="left"/>
      <w:lvlText w:val="(%2)"/>
      <w:numFmt w:val="lowerLetter"/>
      <w:start w:val="5"/>
    </w:lvl>
  </w:abstractNum>
  <w:abstractNum w:abstractNumId="111">
    <w:nsid w:val="F819E7F"/>
    <w:multiLevelType w:val="hybridMultilevel"/>
    <w:lvl w:ilvl="0">
      <w:lvlJc w:val="left"/>
      <w:lvlText w:val="(%1)"/>
      <w:numFmt w:val="lowerLetter"/>
      <w:start w:val="35"/>
    </w:lvl>
    <w:lvl w:ilvl="1">
      <w:lvlJc w:val="left"/>
      <w:lvlText w:val="%2"/>
      <w:numFmt w:val="lowerLetter"/>
      <w:start w:val="1"/>
    </w:lvl>
  </w:abstractNum>
  <w:abstractNum w:abstractNumId="112">
    <w:nsid w:val="57C7D42D"/>
    <w:multiLevelType w:val="hybridMultilevel"/>
    <w:lvl w:ilvl="0">
      <w:lvlJc w:val="left"/>
      <w:lvlText w:val="%1."/>
      <w:numFmt w:val="decimal"/>
      <w:start w:val="7"/>
    </w:lvl>
  </w:abstractNum>
  <w:abstractNum w:abstractNumId="113">
    <w:nsid w:val="312167AD"/>
    <w:multiLevelType w:val="hybridMultilevel"/>
    <w:lvl w:ilvl="0">
      <w:lvlJc w:val="left"/>
      <w:lvlText w:val="%1"/>
      <w:numFmt w:val="lowerRoman"/>
      <w:start w:val="1"/>
    </w:lvl>
    <w:lvl w:ilvl="1">
      <w:lvlJc w:val="left"/>
      <w:lvlText w:val="%2."/>
      <w:numFmt w:val="decimal"/>
      <w:start w:val="8"/>
    </w:lvl>
  </w:abstractNum>
  <w:abstractNum w:abstractNumId="114">
    <w:nsid w:val="631B64D4"/>
    <w:multiLevelType w:val="hybridMultilevel"/>
    <w:lvl w:ilvl="0">
      <w:lvlJc w:val="left"/>
      <w:lvlText w:val="(%1)"/>
      <w:numFmt w:val="lowerRoman"/>
      <w:start w:val="1"/>
    </w:lvl>
    <w:lvl w:ilvl="1">
      <w:lvlJc w:val="left"/>
      <w:lvlText w:val="%2"/>
      <w:numFmt w:val="decimal"/>
      <w:start w:val="1"/>
    </w:lvl>
  </w:abstractNum>
  <w:abstractNum w:abstractNumId="115">
    <w:nsid w:val="78B5E776"/>
    <w:multiLevelType w:val="hybridMultilevel"/>
    <w:lvl w:ilvl="0">
      <w:lvlJc w:val="left"/>
      <w:lvlText w:val="%1."/>
      <w:numFmt w:val="decimal"/>
      <w:start w:val="9"/>
    </w:lvl>
  </w:abstractNum>
  <w:abstractNum w:abstractNumId="116">
    <w:nsid w:val="75486E47"/>
    <w:multiLevelType w:val="hybridMultilevel"/>
    <w:lvl w:ilvl="0">
      <w:lvlJc w:val="left"/>
      <w:lvlText w:val="%1"/>
      <w:numFmt w:val="lowerLetter"/>
      <w:start w:val="1"/>
    </w:lvl>
    <w:lvl w:ilvl="1">
      <w:lvlJc w:val="left"/>
      <w:lvlText w:val="%2."/>
      <w:numFmt w:val="decimal"/>
      <w:start w:val="10"/>
    </w:lvl>
  </w:abstractNum>
  <w:abstractNum w:abstractNumId="117">
    <w:nsid w:val="6E534CDE"/>
    <w:multiLevelType w:val="hybridMultilevel"/>
    <w:lvl w:ilvl="0">
      <w:lvlJc w:val="left"/>
      <w:lvlText w:val="(%1)"/>
      <w:numFmt w:val="lowerLetter"/>
      <w:start w:val="1"/>
    </w:lvl>
    <w:lvl w:ilvl="1">
      <w:lvlJc w:val="left"/>
      <w:lvlText w:val="%2"/>
      <w:numFmt w:val="decimal"/>
      <w:start w:val="1"/>
    </w:lvl>
  </w:abstractNum>
  <w:abstractNum w:abstractNumId="118">
    <w:nsid w:val="1A0DDE32"/>
    <w:multiLevelType w:val="hybridMultilevel"/>
    <w:lvl w:ilvl="0">
      <w:lvlJc w:val="left"/>
      <w:lvlText w:val="%1"/>
      <w:numFmt w:val="lowerLetter"/>
      <w:start w:val="1"/>
    </w:lvl>
    <w:lvl w:ilvl="1">
      <w:lvlJc w:val="left"/>
      <w:lvlText w:val="(%2)"/>
      <w:numFmt w:val="lowerLetter"/>
      <w:start w:val="2"/>
    </w:lvl>
  </w:abstractNum>
  <w:abstractNum w:abstractNumId="119">
    <w:nsid w:val="65968C1C"/>
    <w:multiLevelType w:val="hybridMultilevel"/>
    <w:lvl w:ilvl="0">
      <w:lvlJc w:val="left"/>
      <w:lvlText w:val="(%1)"/>
      <w:numFmt w:val="lowerLetter"/>
      <w:start w:val="61"/>
    </w:lvl>
    <w:lvl w:ilvl="1">
      <w:lvlJc w:val="left"/>
      <w:lvlText w:val="%2"/>
      <w:numFmt w:val="lowerLetter"/>
      <w:start w:val="1"/>
    </w:lvl>
  </w:abstractNum>
  <w:abstractNum w:abstractNumId="120">
    <w:nsid w:val="46263DEC"/>
    <w:multiLevelType w:val="hybridMultilevel"/>
    <w:lvl w:ilvl="0">
      <w:lvlJc w:val="left"/>
      <w:lvlText w:val="(%1)"/>
      <w:numFmt w:val="lowerLetter"/>
      <w:start w:val="3"/>
    </w:lvl>
  </w:abstractNum>
  <w:abstractNum w:abstractNumId="121">
    <w:nsid w:val="260D8C4A"/>
    <w:multiLevelType w:val="hybridMultilevel"/>
    <w:lvl w:ilvl="0">
      <w:lvlJc w:val="left"/>
      <w:lvlText w:val="(%1)"/>
      <w:numFmt w:val="lowerLetter"/>
      <w:start w:val="4"/>
    </w:lvl>
  </w:abstractNum>
  <w:abstractNum w:abstractNumId="122">
    <w:nsid w:val="73D4D3C4"/>
    <w:multiLevelType w:val="hybridMultilevel"/>
    <w:lvl w:ilvl="0">
      <w:lvlJc w:val="left"/>
      <w:lvlText w:val="%1."/>
      <w:numFmt w:val="decimal"/>
      <w:start w:val="11"/>
    </w:lvl>
  </w:abstractNum>
  <w:abstractNum w:abstractNumId="123">
    <w:nsid w:val="746F2E30"/>
    <w:multiLevelType w:val="hybridMultilevel"/>
    <w:lvl w:ilvl="0">
      <w:lvlJc w:val="left"/>
      <w:lvlText w:val="(%1)"/>
      <w:numFmt w:val="upperLetter"/>
      <w:start w:val="2"/>
    </w:lvl>
    <w:lvl w:ilvl="1">
      <w:lvlJc w:val="left"/>
      <w:lvlText w:val="%2."/>
      <w:numFmt w:val="decimal"/>
      <w:start w:val="12"/>
    </w:lvl>
  </w:abstractNum>
  <w:abstractNum w:abstractNumId="124">
    <w:nsid w:val="6FDE8AF6"/>
    <w:multiLevelType w:val="hybridMultilevel"/>
    <w:lvl w:ilvl="0">
      <w:lvlJc w:val="left"/>
      <w:lvlText w:val="(%1)"/>
      <w:numFmt w:val="lowerLetter"/>
      <w:start w:val="1"/>
    </w:lvl>
  </w:abstractNum>
  <w:abstractNum w:abstractNumId="125">
    <w:nsid w:val="3FC32E20"/>
    <w:multiLevelType w:val="hybridMultilevel"/>
    <w:lvl w:ilvl="0">
      <w:lvlJc w:val="left"/>
      <w:lvlText w:val="%1."/>
      <w:numFmt w:val="decimal"/>
      <w:start w:val="13"/>
    </w:lvl>
  </w:abstractNum>
  <w:abstractNum w:abstractNumId="126">
    <w:nsid w:val="49C0E823"/>
    <w:multiLevelType w:val="hybridMultilevel"/>
    <w:lvl w:ilvl="0">
      <w:lvlJc w:val="left"/>
      <w:lvlText w:val="%1"/>
      <w:numFmt w:val="lowerLetter"/>
      <w:start w:val="1"/>
    </w:lvl>
    <w:lvl w:ilvl="1">
      <w:lvlJc w:val="left"/>
      <w:lvlText w:val="%2."/>
      <w:numFmt w:val="decimal"/>
      <w:start w:val="14"/>
    </w:lvl>
  </w:abstractNum>
  <w:abstractNum w:abstractNumId="127">
    <w:nsid w:val="14D53685"/>
    <w:multiLevelType w:val="hybridMultilevel"/>
    <w:lvl w:ilvl="0">
      <w:lvlJc w:val="left"/>
      <w:lvlText w:val="(%1)"/>
      <w:numFmt w:val="lowerLetter"/>
      <w:start w:val="1"/>
    </w:lvl>
    <w:lvl w:ilvl="1">
      <w:lvlJc w:val="left"/>
      <w:lvlText w:val="%2"/>
      <w:numFmt w:val="decimal"/>
      <w:start w:val="1"/>
    </w:lvl>
  </w:abstractNum>
  <w:abstractNum w:abstractNumId="128">
    <w:nsid w:val="230F856C"/>
    <w:multiLevelType w:val="hybridMultilevel"/>
    <w:lvl w:ilvl="0">
      <w:lvlJc w:val="left"/>
      <w:lvlText w:val="%1."/>
      <w:numFmt w:val="decimal"/>
      <w:start w:val="15"/>
    </w:lvl>
  </w:abstractNum>
  <w:abstractNum w:abstractNumId="129">
    <w:nsid w:val="6EAA85FB"/>
    <w:multiLevelType w:val="hybridMultilevel"/>
    <w:lvl w:ilvl="0">
      <w:lvlJc w:val="left"/>
      <w:lvlText w:val="%1."/>
      <w:numFmt w:val="decimal"/>
      <w:start w:val="16"/>
    </w:lvl>
  </w:abstractNum>
  <w:abstractNum w:abstractNumId="130">
    <w:nsid w:val="3F06ECB2"/>
    <w:multiLevelType w:val="hybridMultilevel"/>
    <w:lvl w:ilvl="0">
      <w:lvlJc w:val="left"/>
      <w:lvlText w:val="(%1)"/>
      <w:numFmt w:val="lowerLetter"/>
      <w:start w:val="1"/>
    </w:lvl>
  </w:abstractNum>
  <w:abstractNum w:abstractNumId="131">
    <w:nsid w:val="3B594807"/>
    <w:multiLevelType w:val="hybridMultilevel"/>
    <w:lvl w:ilvl="0">
      <w:lvlJc w:val="left"/>
      <w:lvlText w:val="(%1)"/>
      <w:numFmt w:val="upperLetter"/>
      <w:start w:val="3"/>
    </w:lvl>
    <w:lvl w:ilvl="1">
      <w:lvlJc w:val="left"/>
      <w:lvlText w:val="(%2)"/>
      <w:numFmt w:val="lowerLetter"/>
      <w:start w:val="6"/>
    </w:lvl>
  </w:abstractNum>
  <w:abstractNum w:abstractNumId="132">
    <w:nsid w:val="6CAA2304"/>
    <w:multiLevelType w:val="hybridMultilevel"/>
    <w:lvl w:ilvl="0">
      <w:lvlJc w:val="left"/>
      <w:lvlText w:val="(%1)"/>
      <w:numFmt w:val="lowerLetter"/>
      <w:start w:val="7"/>
    </w:lvl>
  </w:abstractNum>
  <w:abstractNum w:abstractNumId="133">
    <w:nsid w:val="3F7C2FF4"/>
    <w:multiLevelType w:val="hybridMultilevel"/>
    <w:lvl w:ilvl="0">
      <w:lvlJc w:val="left"/>
      <w:lvlText w:val="%1"/>
      <w:numFmt w:val="lowerLetter"/>
      <w:start w:val="1"/>
    </w:lvl>
    <w:lvl w:ilvl="1">
      <w:lvlJc w:val="left"/>
      <w:lvlText w:val="%2."/>
      <w:numFmt w:val="decimal"/>
      <w:start w:val="18"/>
    </w:lvl>
  </w:abstractNum>
  <w:abstractNum w:abstractNumId="134">
    <w:nsid w:val="25413BEC"/>
    <w:multiLevelType w:val="hybridMultilevel"/>
    <w:lvl w:ilvl="0">
      <w:lvlJc w:val="left"/>
      <w:lvlText w:val="(%1)"/>
      <w:numFmt w:val="lowerLetter"/>
      <w:start w:val="1"/>
    </w:lvl>
    <w:lvl w:ilvl="1">
      <w:lvlJc w:val="left"/>
      <w:lvlText w:val="%2"/>
      <w:numFmt w:val="decimal"/>
      <w:start w:val="1"/>
    </w:lvl>
  </w:abstractNum>
  <w:abstractNum w:abstractNumId="135">
    <w:nsid w:val="17180B0B"/>
    <w:multiLevelType w:val="hybridMultilevel"/>
    <w:lvl w:ilvl="0">
      <w:lvlJc w:val="left"/>
      <w:lvlText w:val="(%1)"/>
      <w:numFmt w:val="lowerLetter"/>
      <w:start w:val="2"/>
    </w:lvl>
  </w:abstractNum>
  <w:abstractNum w:abstractNumId="136">
    <w:nsid w:val="579328B9"/>
    <w:multiLevelType w:val="hybridMultilevel"/>
    <w:lvl w:ilvl="0">
      <w:lvlJc w:val="left"/>
      <w:lvlText w:val="%1"/>
      <w:numFmt w:val="lowerLetter"/>
      <w:start w:val="1"/>
    </w:lvl>
    <w:lvl w:ilvl="1">
      <w:lvlJc w:val="left"/>
      <w:lvlText w:val="(%2)"/>
      <w:numFmt w:val="lowerLetter"/>
      <w:start w:val="3"/>
    </w:lvl>
  </w:abstractNum>
  <w:abstractNum w:abstractNumId="137">
    <w:nsid w:val="5D205E20"/>
    <w:multiLevelType w:val="hybridMultilevel"/>
    <w:lvl w:ilvl="0">
      <w:lvlJc w:val="left"/>
      <w:lvlText w:val="(%1)"/>
      <w:numFmt w:val="lowerLetter"/>
      <w:start w:val="9"/>
    </w:lvl>
    <w:lvl w:ilvl="1">
      <w:lvlJc w:val="left"/>
      <w:lvlText w:val="%2"/>
      <w:numFmt w:val="lowerLetter"/>
      <w:start w:val="1"/>
    </w:lvl>
  </w:abstractNum>
  <w:abstractNum w:abstractNumId="138">
    <w:nsid w:val="11CCA8BA"/>
    <w:multiLevelType w:val="hybridMultilevel"/>
    <w:lvl w:ilvl="0">
      <w:lvlJc w:val="left"/>
      <w:lvlText w:val="(%1)"/>
      <w:numFmt w:val="lowerLetter"/>
      <w:start w:val="4"/>
    </w:lvl>
  </w:abstractNum>
  <w:abstractNum w:abstractNumId="139">
    <w:nsid w:val="4D32AB86"/>
    <w:multiLevelType w:val="hybridMultilevel"/>
    <w:lvl w:ilvl="0">
      <w:lvlJc w:val="left"/>
      <w:lvlText w:val="%1."/>
      <w:numFmt w:val="decimal"/>
      <w:start w:val="19"/>
    </w:lvl>
  </w:abstractNum>
  <w:abstractNum w:abstractNumId="140">
    <w:nsid w:val="3F07ACC3"/>
    <w:multiLevelType w:val="hybridMultilevel"/>
    <w:lvl w:ilvl="0">
      <w:lvlJc w:val="left"/>
      <w:lvlText w:val="(%1)"/>
      <w:numFmt w:val="lowerLetter"/>
      <w:start w:val="1"/>
    </w:lvl>
    <w:lvl w:ilvl="1">
      <w:lvlJc w:val="left"/>
      <w:lvlText w:val="(%2)"/>
      <w:numFmt w:val="lowerLetter"/>
      <w:start w:val="9"/>
    </w:lvl>
  </w:abstractNum>
  <w:abstractNum w:abstractNumId="141">
    <w:nsid w:val="6B47F63E"/>
    <w:multiLevelType w:val="hybridMultilevel"/>
    <w:lvl w:ilvl="0">
      <w:lvlJc w:val="left"/>
      <w:lvlText w:val="(%1)"/>
      <w:numFmt w:val="lowerLetter"/>
      <w:start w:val="3"/>
    </w:lvl>
  </w:abstractNum>
  <w:abstractNum w:abstractNumId="142">
    <w:nsid w:val="5CB44A05"/>
    <w:multiLevelType w:val="hybridMultilevel"/>
    <w:lvl w:ilvl="0">
      <w:lvlJc w:val="left"/>
      <w:lvlText w:val="(%1)"/>
      <w:numFmt w:val="lowerLetter"/>
      <w:start w:val="4"/>
    </w:lvl>
  </w:abstractNum>
  <w:abstractNum w:abstractNumId="143">
    <w:nsid w:val="16CF80F1"/>
    <w:multiLevelType w:val="hybridMultilevel"/>
    <w:lvl w:ilvl="0">
      <w:lvlJc w:val="left"/>
      <w:lvlText w:val="%1."/>
      <w:numFmt w:val="decimal"/>
      <w:start w:val="20"/>
    </w:lvl>
  </w:abstractNum>
  <w:abstractNum w:abstractNumId="144">
    <w:nsid w:val="1C695DEC"/>
    <w:multiLevelType w:val="hybridMultilevel"/>
    <w:lvl w:ilvl="0">
      <w:lvlJc w:val="left"/>
      <w:lvlText w:val="%1."/>
      <w:numFmt w:val="decimal"/>
      <w:start w:val="24"/>
    </w:lvl>
  </w:abstractNum>
  <w:abstractNum w:abstractNumId="145">
    <w:nsid w:val="3FCFAED9"/>
    <w:multiLevelType w:val="hybridMultilevel"/>
    <w:lvl w:ilvl="0">
      <w:lvlJc w:val="left"/>
      <w:lvlText w:val="(%1)"/>
      <w:numFmt w:val="lowerLetter"/>
      <w:start w:val="1"/>
    </w:lvl>
  </w:abstractNum>
  <w:abstractNum w:abstractNumId="146">
    <w:nsid w:val="F856867"/>
    <w:multiLevelType w:val="hybridMultilevel"/>
    <w:lvl w:ilvl="0">
      <w:lvlJc w:val="left"/>
      <w:lvlText w:val="(%1)"/>
      <w:numFmt w:val="lowerLetter"/>
      <w:start w:val="2"/>
    </w:lvl>
  </w:abstractNum>
  <w:abstractNum w:abstractNumId="147">
    <w:nsid w:val="11B1CC33"/>
    <w:multiLevelType w:val="hybridMultilevel"/>
    <w:lvl w:ilvl="0">
      <w:lvlJc w:val="left"/>
      <w:lvlText w:val="(%1)"/>
      <w:numFmt w:val="lowerLetter"/>
      <w:start w:val="4"/>
    </w:lvl>
  </w:abstractNum>
  <w:abstractNum w:abstractNumId="148">
    <w:nsid w:val="2E22FBB7"/>
    <w:multiLevelType w:val="hybridMultilevel"/>
    <w:lvl w:ilvl="0">
      <w:lvlJc w:val="left"/>
      <w:lvlText w:val="(%1)"/>
      <w:numFmt w:val="lowerRoman"/>
      <w:start w:val="1"/>
    </w:lvl>
  </w:abstractNum>
  <w:abstractNum w:abstractNumId="149">
    <w:nsid w:val="29934699"/>
    <w:multiLevelType w:val="hybridMultilevel"/>
    <w:lvl w:ilvl="0">
      <w:lvlJc w:val="left"/>
      <w:lvlText w:val="%1"/>
      <w:numFmt w:val="decimal"/>
      <w:start w:val="1"/>
    </w:lvl>
    <w:lvl w:ilvl="1">
      <w:lvlJc w:val="left"/>
      <w:lvlText w:val="(%2)"/>
      <w:numFmt w:val="lowerRoman"/>
      <w:start w:val="6"/>
    </w:lvl>
  </w:abstractNum>
  <w:abstractNum w:abstractNumId="150">
    <w:nsid w:val="77485850"/>
    <w:multiLevelType w:val="hybridMultilevel"/>
    <w:lvl w:ilvl="0">
      <w:lvlJc w:val="left"/>
      <w:lvlText w:val="%1."/>
      <w:numFmt w:val="decimal"/>
      <w:start w:val="25"/>
    </w:lvl>
    <w:lvl w:ilvl="1">
      <w:lvlJc w:val="left"/>
      <w:lvlText w:val="%2"/>
      <w:numFmt w:val="lowerRoman"/>
      <w:start w:val="1"/>
    </w:lvl>
  </w:abstractNum>
  <w:abstractNum w:abstractNumId="151">
    <w:nsid w:val="744939A3"/>
    <w:multiLevelType w:val="hybridMultilevel"/>
    <w:lvl w:ilvl="0">
      <w:lvlJc w:val="left"/>
      <w:lvlText w:val="(%1)"/>
      <w:numFmt w:val="lowerLetter"/>
      <w:start w:val="1"/>
    </w:lvl>
  </w:abstractNum>
  <w:abstractNum w:abstractNumId="152">
    <w:nsid w:val="4FA0D2E3"/>
    <w:multiLevelType w:val="hybridMultilevel"/>
    <w:lvl w:ilvl="0">
      <w:lvlJc w:val="left"/>
      <w:lvlText w:val="%1."/>
      <w:numFmt w:val="decimal"/>
      <w:start w:val="26"/>
    </w:lvl>
  </w:abstractNum>
  <w:abstractNum w:abstractNumId="153">
    <w:nsid w:val="6B1D2C14"/>
    <w:multiLevelType w:val="hybridMultilevel"/>
    <w:lvl w:ilvl="0">
      <w:lvlJc w:val="left"/>
      <w:lvlText w:val="%1."/>
      <w:numFmt w:val="decimal"/>
      <w:start w:val="28"/>
    </w:lvl>
  </w:abstractNum>
  <w:abstractNum w:abstractNumId="154">
    <w:nsid w:val="68B867D3"/>
    <w:multiLevelType w:val="hybridMultilevel"/>
    <w:lvl w:ilvl="0">
      <w:lvlJc w:val="left"/>
      <w:lvlText w:val="%1."/>
      <w:numFmt w:val="decimal"/>
      <w:start w:val="29"/>
    </w:lvl>
  </w:abstractNum>
  <w:abstractNum w:abstractNumId="155">
    <w:nsid w:val="3F7F5DD9"/>
    <w:multiLevelType w:val="hybridMultilevel"/>
    <w:lvl w:ilvl="0">
      <w:lvlJc w:val="left"/>
      <w:lvlText w:val="(%1)"/>
      <w:numFmt w:val="lowerLetter"/>
      <w:start w:val="1"/>
    </w:lvl>
  </w:abstractNum>
  <w:abstractNum w:abstractNumId="156">
    <w:nsid w:val="2AE05A34"/>
    <w:multiLevelType w:val="hybridMultilevel"/>
    <w:lvl w:ilvl="0">
      <w:lvlJc w:val="left"/>
      <w:lvlText w:val="%1."/>
      <w:numFmt w:val="decimal"/>
      <w:start w:val="30"/>
    </w:lvl>
  </w:abstractNum>
  <w:abstractNum w:abstractNumId="157">
    <w:nsid w:val="32794FF7"/>
    <w:multiLevelType w:val="hybridMultilevel"/>
    <w:lvl w:ilvl="0">
      <w:lvlJc w:val="left"/>
      <w:lvlText w:val="(%1)"/>
      <w:numFmt w:val="lowerLetter"/>
      <w:start w:val="1"/>
    </w:lvl>
  </w:abstractNum>
  <w:abstractNum w:abstractNumId="158">
    <w:nsid w:val="5454945E"/>
    <w:multiLevelType w:val="hybridMultilevel"/>
    <w:lvl w:ilvl="0">
      <w:lvlJc w:val="left"/>
      <w:lvlText w:val="(%1)"/>
      <w:numFmt w:val="lowerLetter"/>
      <w:start w:val="3"/>
    </w:lvl>
  </w:abstractNum>
  <w:abstractNum w:abstractNumId="159">
    <w:nsid w:val="4DEFDFA0"/>
    <w:multiLevelType w:val="hybridMultilevel"/>
    <w:lvl w:ilvl="0">
      <w:lvlJc w:val="left"/>
      <w:lvlText w:val="(%1)"/>
      <w:numFmt w:val="lowerRoman"/>
      <w:start w:val="1"/>
    </w:lvl>
  </w:abstractNum>
  <w:abstractNum w:abstractNumId="160">
    <w:nsid w:val="2123D5F2"/>
    <w:multiLevelType w:val="hybridMultilevel"/>
    <w:lvl w:ilvl="0">
      <w:lvlJc w:val="left"/>
      <w:lvlText w:val="(%1)"/>
      <w:numFmt w:val="lowerLetter"/>
      <w:start w:val="4"/>
    </w:lvl>
  </w:abstractNum>
  <w:abstractNum w:abstractNumId="161">
    <w:nsid w:val="135B8110"/>
    <w:multiLevelType w:val="hybridMultilevel"/>
    <w:lvl w:ilvl="0">
      <w:lvlJc w:val="left"/>
      <w:lvlText w:val="%1."/>
      <w:numFmt w:val="decimal"/>
      <w:start w:val="31"/>
    </w:lvl>
  </w:abstractNum>
  <w:abstractNum w:abstractNumId="162">
    <w:nsid w:val="94927A8"/>
    <w:multiLevelType w:val="hybridMultilevel"/>
    <w:lvl w:ilvl="0">
      <w:lvlJc w:val="left"/>
      <w:lvlText w:val="%1"/>
      <w:numFmt w:val="lowerLetter"/>
      <w:start w:val="1"/>
    </w:lvl>
    <w:lvl w:ilvl="1">
      <w:lvlJc w:val="left"/>
      <w:lvlText w:val="(%2)"/>
      <w:numFmt w:val="lowerLetter"/>
      <w:start w:val="1"/>
    </w:lvl>
  </w:abstractNum>
  <w:abstractNum w:abstractNumId="163">
    <w:nsid w:val="DCDF8F6"/>
    <w:multiLevelType w:val="hybridMultilevel"/>
    <w:lvl w:ilvl="0">
      <w:lvlJc w:val="left"/>
      <w:lvlText w:val="(%1)"/>
      <w:numFmt w:val="lowerLetter"/>
      <w:start w:val="35"/>
    </w:lvl>
    <w:lvl w:ilvl="1">
      <w:lvlJc w:val="left"/>
      <w:lvlText w:val="(%2)"/>
      <w:numFmt w:val="lowerLetter"/>
      <w:start w:val="2"/>
    </w:lvl>
  </w:abstractNum>
  <w:abstractNum w:abstractNumId="164">
    <w:nsid w:val="52D7B105"/>
    <w:multiLevelType w:val="hybridMultilevel"/>
    <w:lvl w:ilvl="0">
      <w:lvlJc w:val="left"/>
      <w:lvlText w:val="(%1)"/>
      <w:numFmt w:val="lowerLetter"/>
      <w:start w:val="3"/>
    </w:lvl>
  </w:abstractNum>
  <w:abstractNum w:abstractNumId="165">
    <w:nsid w:val="2E8A6394"/>
    <w:multiLevelType w:val="hybridMultilevel"/>
    <w:lvl w:ilvl="0">
      <w:lvlJc w:val="left"/>
      <w:lvlText w:val="(%1)"/>
      <w:numFmt w:val="lowerLetter"/>
      <w:start w:val="4"/>
    </w:lvl>
  </w:abstractNum>
  <w:abstractNum w:abstractNumId="166">
    <w:nsid w:val="24E60401"/>
    <w:multiLevelType w:val="hybridMultilevel"/>
    <w:lvl w:ilvl="0">
      <w:lvlJc w:val="left"/>
      <w:lvlText w:val="(%1)"/>
      <w:numFmt w:val="lowerLetter"/>
      <w:start w:val="6"/>
    </w:lvl>
  </w:abstractNum>
  <w:abstractNum w:abstractNumId="167">
    <w:nsid w:val="2A6AD9BE"/>
    <w:multiLevelType w:val="hybridMultilevel"/>
    <w:lvl w:ilvl="0">
      <w:lvlJc w:val="left"/>
      <w:lvlText w:val="%1."/>
      <w:numFmt w:val="decimal"/>
      <w:start w:val="32"/>
    </w:lvl>
  </w:abstractNum>
  <w:abstractNum w:abstractNumId="168">
    <w:nsid w:val="BAAC1B4"/>
    <w:multiLevelType w:val="hybridMultilevel"/>
    <w:lvl w:ilvl="0">
      <w:lvlJc w:val="left"/>
      <w:lvlText w:val="%1"/>
      <w:numFmt w:val="lowerLetter"/>
      <w:start w:val="1"/>
    </w:lvl>
    <w:lvl w:ilvl="1">
      <w:lvlJc w:val="left"/>
      <w:lvlText w:val="(%2)"/>
      <w:numFmt w:val="lowerLetter"/>
      <w:start w:val="1"/>
    </w:lvl>
  </w:abstractNum>
  <w:abstractNum w:abstractNumId="169">
    <w:nsid w:val="36B2ACBC"/>
    <w:multiLevelType w:val="hybridMultilevel"/>
    <w:lvl w:ilvl="0">
      <w:lvlJc w:val="left"/>
      <w:lvlText w:val="(%1)"/>
      <w:numFmt w:val="lowerLetter"/>
      <w:start w:val="9"/>
    </w:lvl>
    <w:lvl w:ilvl="1">
      <w:lvlJc w:val="left"/>
      <w:lvlText w:val="(%2)"/>
      <w:numFmt w:val="lowerLetter"/>
      <w:start w:val="3"/>
    </w:lvl>
  </w:abstractNum>
  <w:abstractNum w:abstractNumId="170">
    <w:nsid w:val="779D8544"/>
    <w:multiLevelType w:val="hybridMultilevel"/>
    <w:lvl w:ilvl="0">
      <w:lvlJc w:val="left"/>
      <w:lvlText w:val="(%1)"/>
      <w:numFmt w:val="lowerLetter"/>
      <w:start w:val="4"/>
    </w:lvl>
    <w:lvl w:ilvl="1">
      <w:lvlJc w:val="left"/>
      <w:lvlText w:val="%2."/>
      <w:numFmt w:val="decimal"/>
      <w:start w:val="33"/>
    </w:lvl>
  </w:abstractNum>
  <w:abstractNum w:abstractNumId="171">
    <w:nsid w:val="4AB26E78"/>
    <w:multiLevelType w:val="hybridMultilevel"/>
    <w:lvl w:ilvl="0">
      <w:lvlJc w:val="left"/>
      <w:lvlText w:val="(%1)"/>
      <w:numFmt w:val="lowerLetter"/>
      <w:start w:val="1"/>
    </w:lvl>
  </w:abstractNum>
  <w:abstractNum w:abstractNumId="172">
    <w:nsid w:val="21FAA2FA"/>
    <w:multiLevelType w:val="hybridMultilevel"/>
    <w:lvl w:ilvl="0">
      <w:lvlJc w:val="left"/>
      <w:lvlText w:val="(%1)"/>
      <w:numFmt w:val="lowerLetter"/>
      <w:start w:val="3"/>
    </w:lvl>
  </w:abstractNum>
  <w:abstractNum w:abstractNumId="173">
    <w:nsid w:val="5451CF49"/>
    <w:multiLevelType w:val="hybridMultilevel"/>
    <w:lvl w:ilvl="0">
      <w:lvlJc w:val="left"/>
      <w:lvlText w:val="(%1)"/>
      <w:numFmt w:val="lowerLetter"/>
      <w:start w:val="5"/>
    </w:lvl>
  </w:abstractNum>
  <w:abstractNum w:abstractNumId="174">
    <w:nsid w:val="6181EF69"/>
    <w:multiLevelType w:val="hybridMultilevel"/>
    <w:lvl w:ilvl="0">
      <w:lvlJc w:val="left"/>
      <w:lvlText w:val="(%1)"/>
      <w:numFmt w:val="lowerLetter"/>
      <w:start w:val="9"/>
    </w:lvl>
  </w:abstractNum>
  <w:abstractNum w:abstractNumId="175">
    <w:nsid w:val="3E6400E6"/>
    <w:multiLevelType w:val="hybridMultilevel"/>
    <w:lvl w:ilvl="0">
      <w:lvlJc w:val="left"/>
      <w:lvlText w:val="(%1)"/>
      <w:numFmt w:val="lowerLetter"/>
      <w:start w:val="12"/>
    </w:lvl>
  </w:abstractNum>
  <w:abstractNum w:abstractNumId="176">
    <w:nsid w:val="14217E23"/>
    <w:multiLevelType w:val="hybridMultilevel"/>
    <w:lvl w:ilvl="0">
      <w:lvlJc w:val="left"/>
      <w:lvlText w:val="%1."/>
      <w:numFmt w:val="decimal"/>
      <w:start w:val="1"/>
    </w:lvl>
    <w:lvl w:ilvl="1">
      <w:lvlJc w:val="left"/>
      <w:lvlText w:val="(%2)"/>
      <w:numFmt w:val="lowerLetter"/>
      <w:start w:val="1"/>
    </w:lvl>
  </w:abstractNum>
  <w:abstractNum w:abstractNumId="177">
    <w:nsid w:val="710757D0"/>
    <w:multiLevelType w:val="hybridMultilevel"/>
    <w:lvl w:ilvl="0">
      <w:lvlJc w:val="left"/>
      <w:lvlText w:val="%1."/>
      <w:numFmt w:val="decimal"/>
      <w:start w:val="1"/>
    </w:lvl>
    <w:lvl w:ilvl="1">
      <w:lvlJc w:val="left"/>
      <w:lvlText w:val="(%2)"/>
      <w:numFmt w:val="lowerLetter"/>
      <w:start w:val="1"/>
    </w:lvl>
  </w:abstractNum>
  <w:abstractNum w:abstractNumId="178">
    <w:nsid w:val="5015CD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3" Type="http://schemas.openxmlformats.org/officeDocument/2006/relationships/image" Target="media/image149.png"/><Relationship Id="rId177"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jpeg"/><Relationship Id="rId231" Type="http://schemas.openxmlformats.org/officeDocument/2006/relationships/image" Target="media/image203.jpeg"/><Relationship Id="rId232" Type="http://schemas.openxmlformats.org/officeDocument/2006/relationships/image" Target="media/image204.jpeg"/><Relationship Id="rId233" Type="http://schemas.openxmlformats.org/officeDocument/2006/relationships/image" Target="media/image205.jpeg"/><Relationship Id="rId234" Type="http://schemas.openxmlformats.org/officeDocument/2006/relationships/image" Target="media/image206.jpeg"/><Relationship Id="rId235" Type="http://schemas.openxmlformats.org/officeDocument/2006/relationships/image" Target="media/image207.jpeg"/><Relationship Id="rId236" Type="http://schemas.openxmlformats.org/officeDocument/2006/relationships/image" Target="media/image208.jpeg"/><Relationship Id="rId237" Type="http://schemas.openxmlformats.org/officeDocument/2006/relationships/image" Target="media/image209.jpeg"/><Relationship Id="rId238" Type="http://schemas.openxmlformats.org/officeDocument/2006/relationships/image" Target="media/image210.jpeg"/><Relationship Id="rId239" Type="http://schemas.openxmlformats.org/officeDocument/2006/relationships/image" Target="media/image211.jpeg"/><Relationship Id="rId240" Type="http://schemas.openxmlformats.org/officeDocument/2006/relationships/image" Target="media/image212.jpeg"/><Relationship Id="rId241" Type="http://schemas.openxmlformats.org/officeDocument/2006/relationships/image" Target="media/image213.jpeg"/><Relationship Id="rId242" Type="http://schemas.openxmlformats.org/officeDocument/2006/relationships/image" Target="media/image214.jpeg"/><Relationship Id="rId243" Type="http://schemas.openxmlformats.org/officeDocument/2006/relationships/image" Target="media/image215.jpeg"/><Relationship Id="rId244" Type="http://schemas.openxmlformats.org/officeDocument/2006/relationships/image" Target="media/image216.jpeg"/><Relationship Id="rId245" Type="http://schemas.openxmlformats.org/officeDocument/2006/relationships/image" Target="media/image217.jpeg"/><Relationship Id="rId246" Type="http://schemas.openxmlformats.org/officeDocument/2006/relationships/image" Target="media/image218.jpeg"/><Relationship Id="rId247" Type="http://schemas.openxmlformats.org/officeDocument/2006/relationships/image" Target="media/image219.jpeg"/><Relationship Id="rId248" Type="http://schemas.openxmlformats.org/officeDocument/2006/relationships/image" Target="media/image220.jpeg"/><Relationship Id="rId249" Type="http://schemas.openxmlformats.org/officeDocument/2006/relationships/image" Target="media/image221.jpeg"/><Relationship Id="rId250" Type="http://schemas.openxmlformats.org/officeDocument/2006/relationships/image" Target="media/image222.jpeg"/><Relationship Id="rId251" Type="http://schemas.openxmlformats.org/officeDocument/2006/relationships/image" Target="media/image223.jpeg"/><Relationship Id="rId252" Type="http://schemas.openxmlformats.org/officeDocument/2006/relationships/image" Target="media/image224.jpeg"/><Relationship Id="rId253" Type="http://schemas.openxmlformats.org/officeDocument/2006/relationships/image" Target="media/image225.jpeg"/><Relationship Id="rId254" Type="http://schemas.openxmlformats.org/officeDocument/2006/relationships/image" Target="media/image226.jpeg"/><Relationship Id="rId255" Type="http://schemas.openxmlformats.org/officeDocument/2006/relationships/image" Target="media/image227.jpeg"/><Relationship Id="rId256" Type="http://schemas.openxmlformats.org/officeDocument/2006/relationships/image" Target="media/image228.jpeg"/><Relationship Id="rId257" Type="http://schemas.openxmlformats.org/officeDocument/2006/relationships/image" Target="media/image229.jpeg"/><Relationship Id="rId258" Type="http://schemas.openxmlformats.org/officeDocument/2006/relationships/image" Target="media/image230.jpeg"/><Relationship Id="rId259" Type="http://schemas.openxmlformats.org/officeDocument/2006/relationships/image" Target="media/image231.jpeg"/><Relationship Id="rId260" Type="http://schemas.openxmlformats.org/officeDocument/2006/relationships/image" Target="media/image232.jpeg"/><Relationship Id="rId261" Type="http://schemas.openxmlformats.org/officeDocument/2006/relationships/image" Target="media/image233.jpeg"/><Relationship Id="rId262" Type="http://schemas.openxmlformats.org/officeDocument/2006/relationships/image" Target="media/image234.jpeg"/><Relationship Id="rId263" Type="http://schemas.openxmlformats.org/officeDocument/2006/relationships/image" Target="media/image235.jpeg"/><Relationship Id="rId264" Type="http://schemas.openxmlformats.org/officeDocument/2006/relationships/image" Target="media/image236.jpeg"/><Relationship Id="rId265" Type="http://schemas.openxmlformats.org/officeDocument/2006/relationships/image" Target="media/image237.jpeg"/><Relationship Id="rId266" Type="http://schemas.openxmlformats.org/officeDocument/2006/relationships/image" Target="media/image238.jpeg"/><Relationship Id="rId267" Type="http://schemas.openxmlformats.org/officeDocument/2006/relationships/image" Target="media/image239.jpeg"/><Relationship Id="rId268" Type="http://schemas.openxmlformats.org/officeDocument/2006/relationships/image" Target="media/image240.jpeg"/><Relationship Id="rId269" Type="http://schemas.openxmlformats.org/officeDocument/2006/relationships/image" Target="media/image241.jpeg"/><Relationship Id="rId270" Type="http://schemas.openxmlformats.org/officeDocument/2006/relationships/image" Target="media/image242.jpeg"/><Relationship Id="rId271" Type="http://schemas.openxmlformats.org/officeDocument/2006/relationships/image" Target="media/image243.jpeg"/><Relationship Id="rId272" Type="http://schemas.openxmlformats.org/officeDocument/2006/relationships/image" Target="media/image244.jpeg"/><Relationship Id="rId273" Type="http://schemas.openxmlformats.org/officeDocument/2006/relationships/image" Target="media/image245.jpeg"/><Relationship Id="rId274" Type="http://schemas.openxmlformats.org/officeDocument/2006/relationships/image" Target="media/image246.jpeg"/><Relationship Id="rId275" Type="http://schemas.openxmlformats.org/officeDocument/2006/relationships/image" Target="media/image247.png"/><Relationship Id="rId276" Type="http://schemas.openxmlformats.org/officeDocument/2006/relationships/image" Target="media/image248.jpeg"/><Relationship Id="rId277" Type="http://schemas.openxmlformats.org/officeDocument/2006/relationships/image" Target="media/image249.png"/><Relationship Id="rId278" Type="http://schemas.openxmlformats.org/officeDocument/2006/relationships/image" Target="media/image250.jpeg"/><Relationship Id="rId279" Type="http://schemas.openxmlformats.org/officeDocument/2006/relationships/image" Target="media/image251.jpe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156" Type="http://schemas.openxmlformats.org/officeDocument/2006/relationships/hyperlink" Target="https://www.sec.gov/Archives/edgar/data/1828185/000110465921149607/tm2135290d1_ex2-1.htm" TargetMode="External"/><Relationship Id="rId157" Type="http://schemas.openxmlformats.org/officeDocument/2006/relationships/hyperlink" Target="https://www.sec.gov/Archives/edgar/data/1828185/000110465922037794/vacc-20211231xex2d2.htm" TargetMode="External"/><Relationship Id="rId158" Type="http://schemas.openxmlformats.org/officeDocument/2006/relationships/hyperlink" Target="https://www.sec.gov/Archives/edgar/data/1828185/000110465922087945/vacc-20220630xex2d1.htm" TargetMode="External"/><Relationship Id="rId159" Type="http://schemas.openxmlformats.org/officeDocument/2006/relationships/hyperlink" Target="https://www.sec.gov/ix?doc=/Archives/edgar/data/1828185/000110465925094754/tm2527141d1_8k.htm" TargetMode="External"/><Relationship Id="rId160" Type="http://schemas.openxmlformats.org/officeDocument/2006/relationships/hyperlink" Target="https://www.sec.gov/ix?doc=/Archives/edgar/data/0001828185/000110465926018283/tm266347d1_8k.htm" TargetMode="External"/><Relationship Id="rId161" Type="http://schemas.openxmlformats.org/officeDocument/2006/relationships/hyperlink" Target="https://www.sec.gov/Archives/edgar/data/1828185/000110465921063872/tm2115595d1_ex3-1.htm" TargetMode="External"/><Relationship Id="rId162" Type="http://schemas.openxmlformats.org/officeDocument/2006/relationships/hyperlink" Target="https://www.sec.gov/Archives/edgar/data/1828185/000110465921054698/tm2035121d14_ex4-1.htm" TargetMode="External"/><Relationship Id="rId164" Type="http://schemas.openxmlformats.org/officeDocument/2006/relationships/hyperlink" Target="https://www.sec.gov/Archives/edgar/data/1828185/000110465922037794/vacc-20211231xex4d3.htm" TargetMode="External"/><Relationship Id="rId165" Type="http://schemas.openxmlformats.org/officeDocument/2006/relationships/hyperlink" Target="https://www.sec.gov/Archives/edgar/data/1828185/000110465921048698/tm2035121d10_ex10-1.htm" TargetMode="External"/><Relationship Id="rId166" Type="http://schemas.openxmlformats.org/officeDocument/2006/relationships/hyperlink" Target="https://www.sec.gov/Archives/edgar/data/1828185/000110465921054698/tm2035121d14_ex10-2.htm" TargetMode="External"/><Relationship Id="rId167" Type="http://schemas.openxmlformats.org/officeDocument/2006/relationships/hyperlink" Target="https://www.sec.gov/Archives/edgar/data/1828185/000110465921054698/tm2035121d14_ex10-17.htm" TargetMode="External"/><Relationship Id="rId168" Type="http://schemas.openxmlformats.org/officeDocument/2006/relationships/hyperlink" Target="https://www.sec.gov/Archives/edgar/data/1828185/000110465921048698/tm2035121d10_ex10-4.htm" TargetMode="External"/><Relationship Id="rId169" Type="http://schemas.openxmlformats.org/officeDocument/2006/relationships/hyperlink" Target="https://www.sec.gov/Archives/edgar/data/1828185/000110465921048698/tm2035121d10_ex10-9.htm" TargetMode="External"/><Relationship Id="rId170" Type="http://schemas.openxmlformats.org/officeDocument/2006/relationships/hyperlink" Target="https://www.sec.gov/Archives/edgar/data/1828185/000110465921048698/tm2035121d10_ex10-10.htm" TargetMode="External"/><Relationship Id="rId171" Type="http://schemas.openxmlformats.org/officeDocument/2006/relationships/hyperlink" Target="https://www.sec.gov/Archives/edgar/data/1828185/000110465922058820/vacc-20220331xex10d1.htm" TargetMode="External"/><Relationship Id="rId172" Type="http://schemas.openxmlformats.org/officeDocument/2006/relationships/hyperlink" Target="https://www.sec.gov/Archives/edgar/data/1828185/000110465922117255/vacc-20220930xex10d2.htm" TargetMode="External"/><Relationship Id="rId173" Type="http://schemas.openxmlformats.org/officeDocument/2006/relationships/hyperlink" Target="https://www.sec.gov/Archives/edgar/data/1828185/000182818524000085/leonhooftman-executiveserv.htm" TargetMode="External"/><Relationship Id="rId174" Type="http://schemas.openxmlformats.org/officeDocument/2006/relationships/hyperlink" Target="https://www.sec.gov/Archives/edgar/data/1828185/000182818525000021/brns-20241231xex1017.htm" TargetMode="External"/><Relationship Id="rId175" Type="http://schemas.openxmlformats.org/officeDocument/2006/relationships/hyperlink" Target="https://www.sec.gov/Archives/edgar/data/1828185/000182818525000021/brns-20241231xex1018.htm" TargetMode="External"/><Relationship Id="rId176" Type="http://schemas.openxmlformats.org/officeDocument/2006/relationships/hyperlink" Target="https://www.sec.gov/Archives/edgar/data/1828185/000182818525000021/brns-20241231xex191.htm" TargetMode="External"/><Relationship Id="rId178" Type="http://schemas.openxmlformats.org/officeDocument/2006/relationships/hyperlink" Target="https://www.sec.gov/Archives/edgar/data/1828185/000182818525000021/brns-2024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2026-03-13T07:20:19Z</dcterms:created>
  <dcterms:modified xsi:type="dcterms:W3CDTF">2026-03-13T07:20:19Z</dcterms:modified>
</cp:coreProperties>
</file>