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w:t>
      </w:r>
      <w:r>
        <w:rPr>
          <w:rFonts w:ascii="Arial" w:cs="Arial" w:eastAsia="Arial" w:hAnsi="Arial"/>
          <w:sz w:val="18"/>
          <w:szCs w:val="18"/>
          <w:color w:val="auto"/>
        </w:rPr>
        <w:t>,</w:t>
      </w:r>
      <w:r>
        <w:rPr>
          <w:rFonts w:ascii="Arial" w:cs="Arial" w:eastAsia="Arial" w:hAnsi="Arial"/>
          <w:sz w:val="18"/>
          <w:szCs w:val="18"/>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 One</w:t>
      </w:r>
      <w:r>
        <w:rPr>
          <w:rFonts w:ascii="Arial" w:cs="Arial" w:eastAsia="Arial" w:hAnsi="Arial"/>
          <w:sz w:val="18"/>
          <w:szCs w:val="18"/>
          <w:color w:val="auto"/>
        </w:rPr>
        <w:t>)</w:t>
      </w: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w:t>
      </w: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w:t>
      </w:r>
      <w:r>
        <w:rPr>
          <w:rFonts w:ascii="Arial" w:cs="Arial" w:eastAsia="Arial" w:hAnsi="Arial"/>
          <w:sz w:val="18"/>
          <w:szCs w:val="18"/>
          <w:b w:val="1"/>
          <w:bCs w:val="1"/>
          <w:color w:val="auto"/>
        </w:rPr>
        <w:t xml:space="preserve"> OF THE SECURITIES EXCHANGE ACT OF 1934</w:t>
      </w:r>
    </w:p>
    <w:p>
      <w:pPr>
        <w:spacing w:after="0" w:line="225"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w:t>
      </w: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w:t>
      </w:r>
      <w:r>
        <w:rPr>
          <w:rFonts w:ascii="Arial" w:cs="Arial" w:eastAsia="Arial" w:hAnsi="Arial"/>
          <w:sz w:val="18"/>
          <w:szCs w:val="18"/>
          <w:b w:val="1"/>
          <w:bCs w:val="1"/>
          <w:color w:val="auto"/>
        </w:rPr>
        <w:t xml:space="preserve"> OF THE SECURITIES EXCHANGE ACT OF 1934</w:t>
      </w:r>
    </w:p>
    <w:p>
      <w:pPr>
        <w:spacing w:after="0" w:line="225"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_________ to ___________</w:t>
      </w:r>
    </w:p>
    <w:p>
      <w:pPr>
        <w:spacing w:after="0" w:line="225"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w:t>
      </w:r>
      <w:r>
        <w:rPr>
          <w:rFonts w:ascii="Arial" w:cs="Arial" w:eastAsia="Arial" w:hAnsi="Arial"/>
          <w:sz w:val="18"/>
          <w:szCs w:val="18"/>
          <w:color w:val="auto"/>
        </w:rPr>
        <w:t>:</w:t>
      </w:r>
      <w:r>
        <w:rPr>
          <w:rFonts w:ascii="Arial" w:cs="Arial" w:eastAsia="Arial" w:hAnsi="Arial"/>
          <w:sz w:val="18"/>
          <w:szCs w:val="18"/>
          <w:b w:val="1"/>
          <w:bCs w:val="1"/>
          <w:color w:val="auto"/>
        </w:rPr>
        <w:t xml:space="preserve"> 001-40367</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VACCITECH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Exact Name of Registrant as Specified in its Charter</w:t>
      </w:r>
      <w:r>
        <w:rPr>
          <w:rFonts w:ascii="Arial" w:cs="Arial" w:eastAsia="Arial" w:hAnsi="Arial"/>
          <w:sz w:val="18"/>
          <w:szCs w:val="18"/>
          <w:color w:val="auto"/>
        </w:rPr>
        <w:t>)</w:t>
      </w:r>
    </w:p>
    <w:p>
      <w:pPr>
        <w:spacing w:after="0" w:line="205" w:lineRule="exact"/>
        <w:rPr>
          <w:sz w:val="24"/>
          <w:szCs w:val="24"/>
          <w:color w:val="auto"/>
        </w:rPr>
      </w:pPr>
    </w:p>
    <w:tbl>
      <w:tblPr>
        <w:tblLayout w:type="fixed"/>
        <w:tblInd w:w="2220" w:type="dxa"/>
        <w:tblCellMar>
          <w:top w:w="0" w:type="dxa"/>
          <w:left w:w="0" w:type="dxa"/>
          <w:bottom w:w="0" w:type="dxa"/>
          <w:right w:w="0" w:type="dxa"/>
        </w:tblCellMar>
      </w:tblPr>
      <w:tr>
        <w:trPr>
          <w:trHeight w:val="216"/>
        </w:trPr>
        <w:tc>
          <w:tcPr>
            <w:tcW w:w="6320" w:type="dxa"/>
            <w:vAlign w:val="bottom"/>
          </w:tcPr>
          <w:p>
            <w:pPr>
              <w:jc w:val="center"/>
              <w:ind w:right="3250"/>
              <w:spacing w:after="0"/>
              <w:rPr>
                <w:sz w:val="20"/>
                <w:szCs w:val="20"/>
                <w:color w:val="auto"/>
              </w:rPr>
            </w:pPr>
            <w:r>
              <w:rPr>
                <w:rFonts w:ascii="Arial" w:cs="Arial" w:eastAsia="Arial" w:hAnsi="Arial"/>
                <w:sz w:val="18"/>
                <w:szCs w:val="18"/>
                <w:b w:val="1"/>
                <w:bCs w:val="1"/>
                <w:color w:val="auto"/>
                <w:w w:val="90"/>
              </w:rPr>
              <w:t>England and Wales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6320" w:type="dxa"/>
            <w:vAlign w:val="bottom"/>
          </w:tcPr>
          <w:p>
            <w:pPr>
              <w:jc w:val="center"/>
              <w:ind w:right="325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State or other jurisdiction of</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I</w:t>
            </w:r>
            <w:r>
              <w:rPr>
                <w:rFonts w:ascii="Arial" w:cs="Arial" w:eastAsia="Arial" w:hAnsi="Arial"/>
                <w:sz w:val="18"/>
                <w:szCs w:val="18"/>
                <w:color w:val="auto"/>
                <w:w w:val="94"/>
              </w:rPr>
              <w:t>.</w:t>
            </w:r>
            <w:r>
              <w:rPr>
                <w:rFonts w:ascii="Arial" w:cs="Arial" w:eastAsia="Arial" w:hAnsi="Arial"/>
                <w:sz w:val="18"/>
                <w:szCs w:val="18"/>
                <w:b w:val="1"/>
                <w:bCs w:val="1"/>
                <w:color w:val="auto"/>
                <w:w w:val="94"/>
              </w:rPr>
              <w:t>R</w:t>
            </w:r>
            <w:r>
              <w:rPr>
                <w:rFonts w:ascii="Arial" w:cs="Arial" w:eastAsia="Arial" w:hAnsi="Arial"/>
                <w:sz w:val="18"/>
                <w:szCs w:val="18"/>
                <w:color w:val="auto"/>
                <w:w w:val="94"/>
              </w:rPr>
              <w:t>.</w:t>
            </w:r>
            <w:r>
              <w:rPr>
                <w:rFonts w:ascii="Arial" w:cs="Arial" w:eastAsia="Arial" w:hAnsi="Arial"/>
                <w:sz w:val="18"/>
                <w:szCs w:val="18"/>
                <w:b w:val="1"/>
                <w:bCs w:val="1"/>
                <w:color w:val="auto"/>
                <w:w w:val="94"/>
              </w:rPr>
              <w:t>S</w:t>
            </w:r>
            <w:r>
              <w:rPr>
                <w:rFonts w:ascii="Arial" w:cs="Arial" w:eastAsia="Arial" w:hAnsi="Arial"/>
                <w:sz w:val="18"/>
                <w:szCs w:val="18"/>
                <w:color w:val="auto"/>
                <w:w w:val="94"/>
              </w:rPr>
              <w:t xml:space="preserve">. </w:t>
            </w:r>
            <w:r>
              <w:rPr>
                <w:rFonts w:ascii="Arial" w:cs="Arial" w:eastAsia="Arial" w:hAnsi="Arial"/>
                <w:sz w:val="18"/>
                <w:szCs w:val="18"/>
                <w:b w:val="1"/>
                <w:bCs w:val="1"/>
                <w:color w:val="auto"/>
                <w:w w:val="94"/>
              </w:rPr>
              <w:t>Employer</w:t>
            </w:r>
          </w:p>
        </w:tc>
      </w:tr>
      <w:tr>
        <w:trPr>
          <w:trHeight w:val="234"/>
        </w:trPr>
        <w:tc>
          <w:tcPr>
            <w:tcW w:w="6320" w:type="dxa"/>
            <w:vAlign w:val="bottom"/>
          </w:tcPr>
          <w:p>
            <w:pPr>
              <w:jc w:val="center"/>
              <w:ind w:right="3250"/>
              <w:spacing w:after="0"/>
              <w:rPr>
                <w:sz w:val="20"/>
                <w:szCs w:val="20"/>
                <w:color w:val="auto"/>
              </w:rPr>
            </w:pPr>
            <w:r>
              <w:rPr>
                <w:rFonts w:ascii="Arial" w:cs="Arial" w:eastAsia="Arial" w:hAnsi="Arial"/>
                <w:sz w:val="18"/>
                <w:szCs w:val="18"/>
                <w:b w:val="1"/>
                <w:bCs w:val="1"/>
                <w:color w:val="auto"/>
                <w:w w:val="91"/>
              </w:rPr>
              <w:t>incorporation or organization</w:t>
            </w:r>
            <w:r>
              <w:rPr>
                <w:rFonts w:ascii="Arial" w:cs="Arial" w:eastAsia="Arial" w:hAnsi="Arial"/>
                <w:sz w:val="18"/>
                <w:szCs w:val="18"/>
                <w:color w:val="auto"/>
                <w:w w:val="91"/>
              </w:rPr>
              <w: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r>
              <w:rPr>
                <w:rFonts w:ascii="Arial" w:cs="Arial" w:eastAsia="Arial" w:hAnsi="Arial"/>
                <w:sz w:val="18"/>
                <w:szCs w:val="18"/>
                <w:color w:val="auto"/>
                <w:w w:val="93"/>
              </w:rPr>
              <w:t>.)</w:t>
            </w:r>
          </w:p>
        </w:tc>
      </w:tr>
      <w:tr>
        <w:trPr>
          <w:trHeight w:val="414"/>
        </w:trPr>
        <w:tc>
          <w:tcPr>
            <w:tcW w:w="6320" w:type="dxa"/>
            <w:vAlign w:val="bottom"/>
          </w:tcPr>
          <w:p>
            <w:pPr>
              <w:jc w:val="center"/>
              <w:ind w:right="3230"/>
              <w:spacing w:after="0"/>
              <w:rPr>
                <w:sz w:val="20"/>
                <w:szCs w:val="20"/>
                <w:color w:val="auto"/>
              </w:rPr>
            </w:pPr>
            <w:r>
              <w:rPr>
                <w:rFonts w:ascii="Arial" w:cs="Arial" w:eastAsia="Arial" w:hAnsi="Arial"/>
                <w:sz w:val="18"/>
                <w:szCs w:val="18"/>
                <w:b w:val="1"/>
                <w:bCs w:val="1"/>
                <w:color w:val="auto"/>
                <w:w w:val="90"/>
              </w:rPr>
              <w:t>The Schrodinger Building</w:t>
            </w:r>
          </w:p>
        </w:tc>
        <w:tc>
          <w:tcPr>
            <w:tcW w:w="1500" w:type="dxa"/>
            <w:vAlign w:val="bottom"/>
          </w:tcPr>
          <w:p>
            <w:pPr>
              <w:spacing w:after="0"/>
              <w:rPr>
                <w:sz w:val="24"/>
                <w:szCs w:val="24"/>
                <w:color w:val="auto"/>
              </w:rPr>
            </w:pPr>
          </w:p>
        </w:tc>
      </w:tr>
      <w:tr>
        <w:trPr>
          <w:trHeight w:val="216"/>
        </w:trPr>
        <w:tc>
          <w:tcPr>
            <w:tcW w:w="6320" w:type="dxa"/>
            <w:vAlign w:val="bottom"/>
          </w:tcPr>
          <w:p>
            <w:pPr>
              <w:jc w:val="center"/>
              <w:ind w:right="3230"/>
              <w:spacing w:after="0"/>
              <w:rPr>
                <w:sz w:val="20"/>
                <w:szCs w:val="20"/>
                <w:color w:val="auto"/>
              </w:rPr>
            </w:pPr>
            <w:r>
              <w:rPr>
                <w:rFonts w:ascii="Arial" w:cs="Arial" w:eastAsia="Arial" w:hAnsi="Arial"/>
                <w:sz w:val="18"/>
                <w:szCs w:val="18"/>
                <w:b w:val="1"/>
                <w:bCs w:val="1"/>
                <w:color w:val="auto"/>
                <w:w w:val="91"/>
              </w:rPr>
              <w:t>Heatley Road</w:t>
            </w:r>
          </w:p>
        </w:tc>
        <w:tc>
          <w:tcPr>
            <w:tcW w:w="1500" w:type="dxa"/>
            <w:vAlign w:val="bottom"/>
          </w:tcPr>
          <w:p>
            <w:pPr>
              <w:spacing w:after="0"/>
              <w:rPr>
                <w:sz w:val="18"/>
                <w:szCs w:val="18"/>
                <w:color w:val="auto"/>
              </w:rPr>
            </w:pPr>
          </w:p>
        </w:tc>
      </w:tr>
      <w:tr>
        <w:trPr>
          <w:trHeight w:val="216"/>
        </w:trPr>
        <w:tc>
          <w:tcPr>
            <w:tcW w:w="6320" w:type="dxa"/>
            <w:vAlign w:val="bottom"/>
          </w:tcPr>
          <w:p>
            <w:pPr>
              <w:jc w:val="center"/>
              <w:ind w:right="3250"/>
              <w:spacing w:after="0"/>
              <w:rPr>
                <w:sz w:val="20"/>
                <w:szCs w:val="20"/>
                <w:color w:val="auto"/>
              </w:rPr>
            </w:pPr>
            <w:r>
              <w:rPr>
                <w:rFonts w:ascii="Arial" w:cs="Arial" w:eastAsia="Arial" w:hAnsi="Arial"/>
                <w:sz w:val="18"/>
                <w:szCs w:val="18"/>
                <w:b w:val="1"/>
                <w:bCs w:val="1"/>
                <w:color w:val="auto"/>
                <w:w w:val="91"/>
              </w:rPr>
              <w:t>The Oxford Science Park</w:t>
            </w:r>
          </w:p>
        </w:tc>
        <w:tc>
          <w:tcPr>
            <w:tcW w:w="1500" w:type="dxa"/>
            <w:vAlign w:val="bottom"/>
          </w:tcPr>
          <w:p>
            <w:pPr>
              <w:spacing w:after="0"/>
              <w:rPr>
                <w:sz w:val="18"/>
                <w:szCs w:val="18"/>
                <w:color w:val="auto"/>
              </w:rPr>
            </w:pPr>
          </w:p>
        </w:tc>
      </w:tr>
      <w:tr>
        <w:trPr>
          <w:trHeight w:val="216"/>
        </w:trPr>
        <w:tc>
          <w:tcPr>
            <w:tcW w:w="6320" w:type="dxa"/>
            <w:vAlign w:val="bottom"/>
          </w:tcPr>
          <w:p>
            <w:pPr>
              <w:jc w:val="center"/>
              <w:ind w:right="3250"/>
              <w:spacing w:after="0"/>
              <w:rPr>
                <w:sz w:val="20"/>
                <w:szCs w:val="20"/>
                <w:color w:val="auto"/>
              </w:rPr>
            </w:pPr>
            <w:r>
              <w:rPr>
                <w:rFonts w:ascii="Arial" w:cs="Arial" w:eastAsia="Arial" w:hAnsi="Arial"/>
                <w:sz w:val="18"/>
                <w:szCs w:val="18"/>
                <w:b w:val="1"/>
                <w:bCs w:val="1"/>
                <w:color w:val="auto"/>
                <w:w w:val="93"/>
              </w:rPr>
              <w:t>Oxford, United Kingdom</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5"/>
              </w:rPr>
              <w:t>OX4 4GE</w:t>
            </w:r>
          </w:p>
        </w:tc>
      </w:tr>
      <w:tr>
        <w:trPr>
          <w:trHeight w:val="234"/>
        </w:trPr>
        <w:tc>
          <w:tcPr>
            <w:tcW w:w="6320" w:type="dxa"/>
            <w:vAlign w:val="bottom"/>
          </w:tcPr>
          <w:p>
            <w:pPr>
              <w:jc w:val="center"/>
              <w:ind w:right="325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Address of principal executive offices</w:t>
            </w:r>
            <w:r>
              <w:rPr>
                <w:rFonts w:ascii="Arial" w:cs="Arial" w:eastAsia="Arial" w:hAnsi="Arial"/>
                <w:sz w:val="18"/>
                <w:szCs w:val="18"/>
                <w:color w:val="auto"/>
                <w:w w:val="88"/>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Zip Code</w:t>
            </w:r>
            <w:r>
              <w:rPr>
                <w:rFonts w:ascii="Arial" w:cs="Arial" w:eastAsia="Arial" w:hAnsi="Arial"/>
                <w:sz w:val="18"/>
                <w:szCs w:val="18"/>
                <w:color w:val="auto"/>
                <w:w w:val="92"/>
              </w:rPr>
              <w:t>)</w:t>
            </w:r>
          </w:p>
        </w:tc>
      </w:tr>
      <w:tr>
        <w:trPr>
          <w:trHeight w:val="432"/>
        </w:trPr>
        <w:tc>
          <w:tcPr>
            <w:tcW w:w="6320" w:type="dxa"/>
            <w:vAlign w:val="bottom"/>
          </w:tcPr>
          <w:p>
            <w:pPr>
              <w:ind w:left="580"/>
              <w:spacing w:after="0"/>
              <w:rPr>
                <w:sz w:val="20"/>
                <w:szCs w:val="20"/>
                <w:color w:val="auto"/>
              </w:rPr>
            </w:pPr>
            <w:r>
              <w:rPr>
                <w:rFonts w:ascii="Arial" w:cs="Arial" w:eastAsia="Arial" w:hAnsi="Arial"/>
                <w:sz w:val="18"/>
                <w:szCs w:val="18"/>
                <w:b w:val="1"/>
                <w:bCs w:val="1"/>
                <w:color w:val="auto"/>
                <w:w w:val="91"/>
              </w:rPr>
              <w:t>Registrant</w:t>
            </w:r>
            <w:r>
              <w:rPr>
                <w:rFonts w:ascii="Arial" w:cs="Arial" w:eastAsia="Arial" w:hAnsi="Arial"/>
                <w:sz w:val="18"/>
                <w:szCs w:val="18"/>
                <w:color w:val="auto"/>
                <w:w w:val="91"/>
              </w:rPr>
              <w:t>’</w:t>
            </w:r>
            <w:r>
              <w:rPr>
                <w:rFonts w:ascii="Arial" w:cs="Arial" w:eastAsia="Arial" w:hAnsi="Arial"/>
                <w:sz w:val="18"/>
                <w:szCs w:val="18"/>
                <w:b w:val="1"/>
                <w:bCs w:val="1"/>
                <w:color w:val="auto"/>
                <w:w w:val="91"/>
              </w:rPr>
              <w:t>s telephone number</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including area code</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+44 (0) 1865 818 808</w:t>
            </w:r>
          </w:p>
        </w:tc>
        <w:tc>
          <w:tcPr>
            <w:tcW w:w="15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w:t>
      </w: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w:t>
      </w:r>
      <w:r>
        <w:rPr>
          <w:rFonts w:ascii="Arial" w:cs="Arial" w:eastAsia="Arial" w:hAnsi="Arial"/>
          <w:sz w:val="18"/>
          <w:szCs w:val="18"/>
          <w:b w:val="1"/>
          <w:bCs w:val="1"/>
          <w:color w:val="auto"/>
        </w:rPr>
        <w:t xml:space="preserve"> of the Act</w:t>
      </w:r>
      <w:r>
        <w:rPr>
          <w:rFonts w:ascii="Arial" w:cs="Arial" w:eastAsia="Arial" w:hAnsi="Arial"/>
          <w:sz w:val="18"/>
          <w:szCs w:val="18"/>
          <w:color w:val="auto"/>
        </w:rPr>
        <w: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20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Trading Symbol(s)</w:t>
            </w:r>
          </w:p>
        </w:tc>
        <w:tc>
          <w:tcPr>
            <w:tcW w:w="44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Name of each exchange on which registered</w:t>
            </w:r>
          </w:p>
        </w:tc>
      </w:tr>
      <w:tr>
        <w:trPr>
          <w:trHeight w:val="210"/>
        </w:trPr>
        <w:tc>
          <w:tcPr>
            <w:tcW w:w="4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American Depositary Shares*</w:t>
            </w:r>
          </w:p>
        </w:tc>
        <w:tc>
          <w:tcPr>
            <w:tcW w:w="200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VACC</w:t>
            </w:r>
          </w:p>
        </w:tc>
        <w:tc>
          <w:tcPr>
            <w:tcW w:w="4480" w:type="dxa"/>
            <w:vAlign w:val="bottom"/>
            <w:tcBorders>
              <w:bottom w:val="single" w:sz="8" w:color="auto"/>
              <w:right w:val="single" w:sz="8" w:color="auto"/>
            </w:tcBorders>
          </w:tcPr>
          <w:p>
            <w:pPr>
              <w:ind w:left="1260"/>
              <w:spacing w:after="0"/>
              <w:rPr>
                <w:sz w:val="20"/>
                <w:szCs w:val="20"/>
                <w:color w:val="auto"/>
              </w:rPr>
            </w:pPr>
            <w:r>
              <w:rPr>
                <w:rFonts w:ascii="Arial" w:cs="Arial" w:eastAsia="Arial" w:hAnsi="Arial"/>
                <w:sz w:val="18"/>
                <w:szCs w:val="18"/>
                <w:color w:val="auto"/>
              </w:rPr>
              <w:t>The Nasdaq Global Market</w:t>
            </w:r>
          </w:p>
        </w:tc>
      </w:tr>
      <w:tr>
        <w:trPr>
          <w:trHeight w:val="210"/>
        </w:trPr>
        <w:tc>
          <w:tcPr>
            <w:tcW w:w="4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Ordinary shares, nominal value £0.000025 per share**</w:t>
            </w:r>
          </w:p>
        </w:tc>
        <w:tc>
          <w:tcPr>
            <w:tcW w:w="200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*American Depositary Shares may be evidenced by American Depositary Receipts. Each American Depositary Share represents one (1) ordinary share.</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**Not for trading, but only in connection with the listing of American Depositary Shares on The Nasdaq Global Market.</w:t>
      </w:r>
    </w:p>
    <w:p>
      <w:pPr>
        <w:spacing w:after="0" w:line="22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6" w:right="339" w:bottom="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120" w:space="720"/>
            <w:col w:w="6400"/>
          </w:cols>
          <w:pgMar w:left="320" w:top="706" w:right="339" w:bottom="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 w:leader="none" w:pos="89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240"/>
          </w:cols>
          <w:pgMar w:left="320" w:top="706"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June 14, 2021, the registrant had 34,328,231 ordinary shares, nominal value £0.000025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483870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40" w:type="dxa"/>
            <w:vAlign w:val="bottom"/>
            <w:gridSpan w:val="17"/>
            <w:shd w:val="clear" w:color="auto" w:fill="CCEEFF"/>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PART I - FINANCIAL INFORMATION</w:t>
              </w:r>
            </w:hyperlink>
          </w:p>
        </w:tc>
        <w:tc>
          <w:tcPr>
            <w:tcW w:w="2000" w:type="dxa"/>
            <w:vAlign w:val="bottom"/>
            <w:gridSpan w:val="3"/>
            <w:shd w:val="clear" w:color="auto" w:fill="CCEEFF"/>
          </w:tcPr>
          <w:p>
            <w:pPr>
              <w:jc w:val="right"/>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5</w:t>
              </w:r>
            </w:hyperlink>
          </w:p>
        </w:tc>
      </w:tr>
      <w:tr>
        <w:trPr>
          <w:trHeight w:val="61"/>
        </w:trPr>
        <w:tc>
          <w:tcPr>
            <w:tcW w:w="5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r>
      <w:tr>
        <w:trPr>
          <w:trHeight w:val="216"/>
        </w:trPr>
        <w:tc>
          <w:tcPr>
            <w:tcW w:w="50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1.</w:t>
              </w:r>
            </w:hyperlink>
          </w:p>
        </w:tc>
        <w:tc>
          <w:tcPr>
            <w:tcW w:w="8160" w:type="dxa"/>
            <w:vAlign w:val="bottom"/>
            <w:gridSpan w:val="14"/>
          </w:tcPr>
          <w:p>
            <w:pPr>
              <w:ind w:left="60"/>
              <w:spacing w:after="0"/>
              <w:rPr>
                <w:rFonts w:ascii="Arial" w:cs="Arial" w:eastAsia="Arial" w:hAnsi="Arial"/>
                <w:sz w:val="18"/>
                <w:szCs w:val="18"/>
                <w:color w:val="0000EE"/>
              </w:rPr>
            </w:pPr>
            <w:hyperlink w:anchor="page8">
              <w:r>
                <w:rPr>
                  <w:rFonts w:ascii="Arial" w:cs="Arial" w:eastAsia="Arial" w:hAnsi="Arial"/>
                  <w:sz w:val="18"/>
                  <w:szCs w:val="18"/>
                  <w:color w:val="0000EE"/>
                </w:rPr>
                <w:t>Financial Statements</w:t>
              </w:r>
            </w:hyperlink>
          </w:p>
        </w:tc>
        <w:tc>
          <w:tcPr>
            <w:tcW w:w="200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61"/>
        </w:trPr>
        <w:tc>
          <w:tcPr>
            <w:tcW w:w="50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r>
      <w:tr>
        <w:trPr>
          <w:trHeight w:val="216"/>
        </w:trPr>
        <w:tc>
          <w:tcPr>
            <w:tcW w:w="500" w:type="dxa"/>
            <w:vAlign w:val="bottom"/>
            <w:shd w:val="clear" w:color="auto" w:fill="CCEEFF"/>
          </w:tcPr>
          <w:p>
            <w:pPr>
              <w:spacing w:after="0"/>
              <w:rPr>
                <w:sz w:val="18"/>
                <w:szCs w:val="18"/>
                <w:color w:val="auto"/>
              </w:rPr>
            </w:pPr>
          </w:p>
        </w:tc>
        <w:tc>
          <w:tcPr>
            <w:tcW w:w="8740" w:type="dxa"/>
            <w:vAlign w:val="bottom"/>
            <w:gridSpan w:val="16"/>
            <w:shd w:val="clear" w:color="auto" w:fill="CCEEFF"/>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2000" w:type="dxa"/>
            <w:vAlign w:val="bottom"/>
            <w:gridSpan w:val="3"/>
            <w:shd w:val="clear" w:color="auto" w:fill="CCEEFF"/>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6</w:t>
              </w:r>
            </w:hyperlink>
          </w:p>
        </w:tc>
      </w:tr>
      <w:tr>
        <w:trPr>
          <w:trHeight w:val="61"/>
        </w:trPr>
        <w:tc>
          <w:tcPr>
            <w:tcW w:w="5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120" w:type="dxa"/>
            <w:vAlign w:val="bottom"/>
            <w:tcBorders>
              <w:top w:val="single" w:sz="8" w:color="0000EE"/>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r>
      <w:tr>
        <w:trPr>
          <w:trHeight w:val="216"/>
        </w:trPr>
        <w:tc>
          <w:tcPr>
            <w:tcW w:w="500" w:type="dxa"/>
            <w:vAlign w:val="bottom"/>
          </w:tcPr>
          <w:p>
            <w:pPr>
              <w:spacing w:after="0"/>
              <w:rPr>
                <w:sz w:val="18"/>
                <w:szCs w:val="18"/>
                <w:color w:val="auto"/>
              </w:rPr>
            </w:pPr>
          </w:p>
        </w:tc>
        <w:tc>
          <w:tcPr>
            <w:tcW w:w="874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  Quantitative and Qualitative Disclosure About Market Risk</w:t>
              </w:r>
            </w:hyperlink>
          </w:p>
        </w:tc>
        <w:tc>
          <w:tcPr>
            <w:tcW w:w="200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16</w:t>
              </w:r>
            </w:hyperlink>
          </w:p>
        </w:tc>
      </w:tr>
      <w:tr>
        <w:trPr>
          <w:trHeight w:val="61"/>
        </w:trPr>
        <w:tc>
          <w:tcPr>
            <w:tcW w:w="50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r>
      <w:tr>
        <w:trPr>
          <w:trHeight w:val="216"/>
        </w:trPr>
        <w:tc>
          <w:tcPr>
            <w:tcW w:w="500" w:type="dxa"/>
            <w:vAlign w:val="bottom"/>
            <w:shd w:val="clear" w:color="auto" w:fill="CCEEFF"/>
          </w:tcPr>
          <w:p>
            <w:pPr>
              <w:spacing w:after="0"/>
              <w:rPr>
                <w:sz w:val="18"/>
                <w:szCs w:val="18"/>
                <w:color w:val="auto"/>
              </w:rPr>
            </w:pPr>
          </w:p>
        </w:tc>
        <w:tc>
          <w:tcPr>
            <w:tcW w:w="8740" w:type="dxa"/>
            <w:vAlign w:val="bottom"/>
            <w:gridSpan w:val="16"/>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2000" w:type="dxa"/>
            <w:vAlign w:val="bottom"/>
            <w:gridSpan w:val="3"/>
            <w:shd w:val="clear" w:color="auto" w:fill="CCEEFF"/>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17</w:t>
              </w:r>
            </w:hyperlink>
          </w:p>
        </w:tc>
      </w:tr>
      <w:tr>
        <w:trPr>
          <w:trHeight w:val="61"/>
        </w:trPr>
        <w:tc>
          <w:tcPr>
            <w:tcW w:w="5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r>
      <w:tr>
        <w:trPr>
          <w:trHeight w:val="216"/>
        </w:trPr>
        <w:tc>
          <w:tcPr>
            <w:tcW w:w="9240" w:type="dxa"/>
            <w:vAlign w:val="bottom"/>
            <w:gridSpan w:val="1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 OTHER INFORMATION</w:t>
              </w:r>
            </w:hyperlink>
          </w:p>
        </w:tc>
        <w:tc>
          <w:tcPr>
            <w:tcW w:w="2000" w:type="dxa"/>
            <w:vAlign w:val="bottom"/>
            <w:gridSpan w:val="3"/>
          </w:tcPr>
          <w:p>
            <w:pPr>
              <w:jc w:val="right"/>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17</w:t>
              </w:r>
            </w:hyperlink>
          </w:p>
        </w:tc>
      </w:tr>
      <w:tr>
        <w:trPr>
          <w:trHeight w:val="61"/>
        </w:trPr>
        <w:tc>
          <w:tcPr>
            <w:tcW w:w="5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r>
      <w:tr>
        <w:trPr>
          <w:trHeight w:val="216"/>
        </w:trPr>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w:t>
              </w:r>
            </w:hyperlink>
          </w:p>
        </w:tc>
        <w:tc>
          <w:tcPr>
            <w:tcW w:w="8160" w:type="dxa"/>
            <w:vAlign w:val="bottom"/>
            <w:gridSpan w:val="14"/>
            <w:shd w:val="clear" w:color="auto" w:fill="CCEEFF"/>
          </w:tcPr>
          <w:p>
            <w:pPr>
              <w:ind w:left="60"/>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2000" w:type="dxa"/>
            <w:vAlign w:val="bottom"/>
            <w:gridSpan w:val="3"/>
            <w:shd w:val="clear" w:color="auto" w:fill="CCEEFF"/>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17</w:t>
              </w:r>
            </w:hyperlink>
          </w:p>
        </w:tc>
      </w:tr>
      <w:tr>
        <w:trPr>
          <w:trHeight w:val="61"/>
        </w:trPr>
        <w:tc>
          <w:tcPr>
            <w:tcW w:w="5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2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200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18</w:t>
              </w:r>
            </w:hyperlink>
          </w:p>
        </w:tc>
      </w:tr>
      <w:tr>
        <w:trPr>
          <w:trHeight w:val="61"/>
        </w:trPr>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r>
      <w:tr>
        <w:trPr>
          <w:trHeight w:val="216"/>
        </w:trPr>
        <w:tc>
          <w:tcPr>
            <w:tcW w:w="500" w:type="dxa"/>
            <w:vAlign w:val="bottom"/>
            <w:shd w:val="clear" w:color="auto" w:fill="CCEEFF"/>
          </w:tcPr>
          <w:p>
            <w:pPr>
              <w:spacing w:after="0"/>
              <w:rPr>
                <w:sz w:val="18"/>
                <w:szCs w:val="18"/>
                <w:color w:val="auto"/>
              </w:rPr>
            </w:pPr>
          </w:p>
        </w:tc>
        <w:tc>
          <w:tcPr>
            <w:tcW w:w="8740" w:type="dxa"/>
            <w:vAlign w:val="bottom"/>
            <w:gridSpan w:val="16"/>
            <w:shd w:val="clear" w:color="auto" w:fill="CCEEFF"/>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Item 2.  Unregistered Sales of Equity Securities and Use of Proceeds</w:t>
              </w:r>
            </w:hyperlink>
          </w:p>
        </w:tc>
        <w:tc>
          <w:tcPr>
            <w:tcW w:w="2000" w:type="dxa"/>
            <w:vAlign w:val="bottom"/>
            <w:gridSpan w:val="3"/>
            <w:shd w:val="clear" w:color="auto" w:fill="CCEEFF"/>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93</w:t>
              </w:r>
            </w:hyperlink>
          </w:p>
        </w:tc>
      </w:tr>
      <w:tr>
        <w:trPr>
          <w:trHeight w:val="61"/>
        </w:trPr>
        <w:tc>
          <w:tcPr>
            <w:tcW w:w="5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r>
      <w:tr>
        <w:trPr>
          <w:trHeight w:val="216"/>
        </w:trPr>
        <w:tc>
          <w:tcPr>
            <w:tcW w:w="500" w:type="dxa"/>
            <w:vAlign w:val="bottom"/>
          </w:tcPr>
          <w:p>
            <w:pPr>
              <w:spacing w:after="0"/>
              <w:rPr>
                <w:sz w:val="18"/>
                <w:szCs w:val="18"/>
                <w:color w:val="auto"/>
              </w:rPr>
            </w:pPr>
          </w:p>
        </w:tc>
        <w:tc>
          <w:tcPr>
            <w:tcW w:w="8740" w:type="dxa"/>
            <w:vAlign w:val="bottom"/>
            <w:gridSpan w:val="1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3.  Defaults Upon Senior Securities</w:t>
              </w:r>
            </w:hyperlink>
          </w:p>
        </w:tc>
        <w:tc>
          <w:tcPr>
            <w:tcW w:w="2000" w:type="dxa"/>
            <w:vAlign w:val="bottom"/>
            <w:gridSpan w:val="3"/>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94</w:t>
              </w:r>
            </w:hyperlink>
          </w:p>
        </w:tc>
      </w:tr>
      <w:tr>
        <w:trPr>
          <w:trHeight w:val="61"/>
        </w:trPr>
        <w:tc>
          <w:tcPr>
            <w:tcW w:w="50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r>
      <w:tr>
        <w:trPr>
          <w:trHeight w:val="216"/>
        </w:trPr>
        <w:tc>
          <w:tcPr>
            <w:tcW w:w="500" w:type="dxa"/>
            <w:vAlign w:val="bottom"/>
            <w:shd w:val="clear" w:color="auto" w:fill="CCEEFF"/>
          </w:tcPr>
          <w:p>
            <w:pPr>
              <w:spacing w:after="0"/>
              <w:rPr>
                <w:sz w:val="18"/>
                <w:szCs w:val="18"/>
                <w:color w:val="auto"/>
              </w:rPr>
            </w:pPr>
          </w:p>
        </w:tc>
        <w:tc>
          <w:tcPr>
            <w:tcW w:w="8740" w:type="dxa"/>
            <w:vAlign w:val="bottom"/>
            <w:gridSpan w:val="16"/>
            <w:shd w:val="clear" w:color="auto" w:fill="CCEEFF"/>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4.  Mine Safety Disclosures</w:t>
              </w:r>
            </w:hyperlink>
          </w:p>
        </w:tc>
        <w:tc>
          <w:tcPr>
            <w:tcW w:w="2000" w:type="dxa"/>
            <w:vAlign w:val="bottom"/>
            <w:gridSpan w:val="3"/>
            <w:shd w:val="clear" w:color="auto" w:fill="CCEEFF"/>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94</w:t>
              </w:r>
            </w:hyperlink>
          </w:p>
        </w:tc>
      </w:tr>
      <w:tr>
        <w:trPr>
          <w:trHeight w:val="61"/>
        </w:trPr>
        <w:tc>
          <w:tcPr>
            <w:tcW w:w="5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r>
      <w:tr>
        <w:trPr>
          <w:trHeight w:val="216"/>
        </w:trPr>
        <w:tc>
          <w:tcPr>
            <w:tcW w:w="50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5.</w:t>
              </w:r>
            </w:hyperlink>
          </w:p>
        </w:tc>
        <w:tc>
          <w:tcPr>
            <w:tcW w:w="8160" w:type="dxa"/>
            <w:vAlign w:val="bottom"/>
            <w:gridSpan w:val="14"/>
          </w:tcPr>
          <w:p>
            <w:pPr>
              <w:ind w:left="60"/>
              <w:spacing w:after="0"/>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2000" w:type="dxa"/>
            <w:vAlign w:val="bottom"/>
            <w:gridSpan w:val="3"/>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94</w:t>
              </w:r>
            </w:hyperlink>
          </w:p>
        </w:tc>
      </w:tr>
      <w:tr>
        <w:trPr>
          <w:trHeight w:val="61"/>
        </w:trPr>
        <w:tc>
          <w:tcPr>
            <w:tcW w:w="50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r>
      <w:tr>
        <w:trPr>
          <w:trHeight w:val="216"/>
        </w:trPr>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6.</w:t>
              </w:r>
            </w:hyperlink>
          </w:p>
        </w:tc>
        <w:tc>
          <w:tcPr>
            <w:tcW w:w="8160" w:type="dxa"/>
            <w:vAlign w:val="bottom"/>
            <w:gridSpan w:val="14"/>
            <w:shd w:val="clear" w:color="auto" w:fill="CCEEFF"/>
          </w:tcPr>
          <w:p>
            <w:pPr>
              <w:ind w:left="60"/>
              <w:spacing w:after="0"/>
              <w:rPr>
                <w:rFonts w:ascii="Arial" w:cs="Arial" w:eastAsia="Arial" w:hAnsi="Arial"/>
                <w:sz w:val="18"/>
                <w:szCs w:val="18"/>
                <w:color w:val="0000EE"/>
              </w:rPr>
            </w:pPr>
            <w:hyperlink w:anchor="page108">
              <w:r>
                <w:rPr>
                  <w:rFonts w:ascii="Arial" w:cs="Arial" w:eastAsia="Arial" w:hAnsi="Arial"/>
                  <w:sz w:val="18"/>
                  <w:szCs w:val="18"/>
                  <w:color w:val="0000EE"/>
                </w:rPr>
                <w:t>Exhibits</w:t>
              </w:r>
            </w:hyperlink>
          </w:p>
        </w:tc>
        <w:tc>
          <w:tcPr>
            <w:tcW w:w="2000" w:type="dxa"/>
            <w:vAlign w:val="bottom"/>
            <w:gridSpan w:val="3"/>
            <w:shd w:val="clear" w:color="auto" w:fill="CCEEFF"/>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94</w:t>
              </w:r>
            </w:hyperlink>
          </w:p>
        </w:tc>
      </w:tr>
      <w:tr>
        <w:trPr>
          <w:trHeight w:val="61"/>
        </w:trPr>
        <w:tc>
          <w:tcPr>
            <w:tcW w:w="5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r>
      <w:tr>
        <w:trPr>
          <w:trHeight w:val="216"/>
        </w:trPr>
        <w:tc>
          <w:tcPr>
            <w:tcW w:w="9240" w:type="dxa"/>
            <w:vAlign w:val="bottom"/>
            <w:gridSpan w:val="17"/>
          </w:tcPr>
          <w:p>
            <w:pPr>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SIGNATURES</w:t>
              </w:r>
            </w:hyperlink>
          </w:p>
        </w:tc>
        <w:tc>
          <w:tcPr>
            <w:tcW w:w="2000" w:type="dxa"/>
            <w:vAlign w:val="bottom"/>
            <w:gridSpan w:val="3"/>
          </w:tcPr>
          <w:p>
            <w:pPr>
              <w:jc w:val="right"/>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97</w:t>
              </w:r>
            </w:hyperlink>
          </w:p>
        </w:tc>
      </w:tr>
      <w:tr>
        <w:trPr>
          <w:trHeight w:val="709"/>
        </w:trPr>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 These risks are described more fully in “Item 1A—Risk Factors,” and include, but are not limited to, the following:</w:t>
      </w:r>
    </w:p>
    <w:p>
      <w:pPr>
        <w:spacing w:after="0" w:line="170" w:lineRule="exact"/>
        <w:rPr>
          <w:sz w:val="20"/>
          <w:szCs w:val="20"/>
          <w:color w:val="auto"/>
        </w:rPr>
      </w:pPr>
    </w:p>
    <w:p>
      <w:pPr>
        <w:ind w:left="660" w:right="4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a clinical-stage biopharmaceutical company with no approved products and a limited operating history. We have incurred significant losses since inception. We expect to incur losses for at least the next several years and may never achieve or maintain profitability;</w:t>
      </w:r>
    </w:p>
    <w:p>
      <w:pPr>
        <w:spacing w:after="0" w:line="146" w:lineRule="exact"/>
        <w:rPr>
          <w:rFonts w:ascii="Arial" w:cs="Arial" w:eastAsia="Arial" w:hAnsi="Arial"/>
          <w:sz w:val="17"/>
          <w:szCs w:val="17"/>
          <w:color w:val="auto"/>
        </w:rPr>
      </w:pPr>
    </w:p>
    <w:p>
      <w:pPr>
        <w:ind w:left="660" w:right="72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actual payments we may receive in connection with certain milestones or net sales under the AstraZeneca License Agreement may differ materially from those described in this quarterly report, and there can be no assurance that we will receive any such payments at all;</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not yet generated any material revenue from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require substantial additional funding in the future. If we are unable to raise capital when needed, we would be compelled to delay, reduce or eliminate our product development programs or commercialization efforts;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engage in acquisitions or future strategic partnerships, this may increase our capital requirements, dilute our shareholders, cause us to incur debt or assume contingent liabilities, and subject us to other risks;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for you to evaluate the success of our business to date and to assess our future viability;</w:t>
      </w:r>
    </w:p>
    <w:p>
      <w:pPr>
        <w:spacing w:after="0" w:line="236"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shareholders, restrict our operations or require us to relinquish rights to our technologies or product candidates;</w:t>
      </w:r>
    </w:p>
    <w:p>
      <w:pPr>
        <w:spacing w:after="0" w:line="170"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spacing w:after="0" w:line="183"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marketing authorization of any of our product candidates, we may incur additional costs or experience delays in completing, or ultimately be unable to complete, the development of such product candidate;</w:t>
      </w:r>
    </w:p>
    <w:p>
      <w:pPr>
        <w:spacing w:after="0" w:line="18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spacing w:after="0" w:line="14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are based on a novel approach to the treatment of cancer, which makes it difficult to predict the time and cost of product candidate development;</w:t>
      </w:r>
    </w:p>
    <w:p>
      <w:pPr>
        <w:spacing w:after="0" w:line="170"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 consequences;</w:t>
      </w:r>
    </w:p>
    <w:p>
      <w:pPr>
        <w:spacing w:after="0" w:line="183" w:lineRule="exact"/>
        <w:rPr>
          <w:rFonts w:ascii="Arial" w:cs="Arial" w:eastAsia="Arial" w:hAnsi="Arial"/>
          <w:sz w:val="18"/>
          <w:szCs w:val="18"/>
          <w:color w:val="auto"/>
        </w:rPr>
      </w:pPr>
    </w:p>
    <w:p>
      <w:pPr>
        <w:ind w:left="660" w:right="40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advance our current or future product candidates into and through clinical trials, obtain marketing approval and ultimately commercialize any product candidates we develop, or experience significant delays in doing so, our business will be materially harmed;</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left="328" w:right="420" w:hanging="328"/>
        <w:spacing w:after="0" w:line="342" w:lineRule="auto"/>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market opportunities for certain of our oncology product candidates may be relatively small as it may be limited to those patients who are ineligible for or have failed prior treatments and our estimates of the prevalence of our target patient populations may be inaccurate;</w:t>
      </w:r>
    </w:p>
    <w:p>
      <w:pPr>
        <w:spacing w:after="0" w:line="123" w:lineRule="exact"/>
        <w:rPr>
          <w:rFonts w:ascii="Arial" w:cs="Arial" w:eastAsia="Arial" w:hAnsi="Arial"/>
          <w:sz w:val="16"/>
          <w:szCs w:val="16"/>
          <w:color w:val="auto"/>
        </w:rPr>
      </w:pPr>
    </w:p>
    <w:p>
      <w:pPr>
        <w:ind w:left="328" w:right="20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has adversely impacted our business and we expect will continue to adversely impact some aspects of our business, including our preclinical studies and clinical trials;</w:t>
      </w:r>
    </w:p>
    <w:p>
      <w:pPr>
        <w:spacing w:after="0" w:line="170"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form or seek additional collaborations or strategic alliances or enter into additional licensing arrangements in the future, and we may not realize the benefits of such collaborations, alliances or licensing arrangements;</w:t>
      </w:r>
    </w:p>
    <w:p>
      <w:pPr>
        <w:spacing w:after="0" w:line="170" w:lineRule="exact"/>
        <w:rPr>
          <w:rFonts w:ascii="Arial" w:cs="Arial" w:eastAsia="Arial" w:hAnsi="Arial"/>
          <w:sz w:val="18"/>
          <w:szCs w:val="18"/>
          <w:color w:val="auto"/>
        </w:rPr>
      </w:pPr>
    </w:p>
    <w:p>
      <w:pPr>
        <w:ind w:left="328" w:right="400" w:hanging="328"/>
        <w:spacing w:after="0" w:line="286"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marketing authorization processes of the FDA, the EMA, MHRA and other comparable foreign regulatory authorities are lengthy, time-consuming and inherently unpredictable, and if we are ultimately unable to obtain marketing authorizations for our product candidates, or the marketing authorization is for a narrower indication than we seek, our business will be substantially harmed;</w:t>
      </w:r>
    </w:p>
    <w:p>
      <w:pPr>
        <w:spacing w:after="0" w:line="165" w:lineRule="exact"/>
        <w:rPr>
          <w:rFonts w:ascii="Arial" w:cs="Arial" w:eastAsia="Arial" w:hAnsi="Arial"/>
          <w:sz w:val="17"/>
          <w:szCs w:val="17"/>
          <w:color w:val="auto"/>
        </w:rPr>
      </w:pPr>
    </w:p>
    <w:p>
      <w:pPr>
        <w:ind w:left="328" w:right="440" w:hanging="328"/>
        <w:spacing w:after="0" w:line="26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we receive marketing authorization for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3" w:lineRule="exact"/>
        <w:rPr>
          <w:rFonts w:ascii="Arial" w:cs="Arial" w:eastAsia="Arial" w:hAnsi="Arial"/>
          <w:sz w:val="18"/>
          <w:szCs w:val="18"/>
          <w:color w:val="auto"/>
        </w:rPr>
      </w:pPr>
    </w:p>
    <w:p>
      <w:pPr>
        <w:ind w:left="328" w:right="340" w:hanging="328"/>
        <w:spacing w:after="0" w:line="311" w:lineRule="auto"/>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48" w:lineRule="exact"/>
        <w:rPr>
          <w:rFonts w:ascii="Arial" w:cs="Arial" w:eastAsia="Arial" w:hAnsi="Arial"/>
          <w:sz w:val="16"/>
          <w:szCs w:val="16"/>
          <w:color w:val="auto"/>
        </w:rPr>
      </w:pPr>
    </w:p>
    <w:p>
      <w:pPr>
        <w:ind w:left="328" w:right="40" w:hanging="328"/>
        <w:spacing w:after="0" w:line="259"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 third parties or otherwise experience disruptions to our business relationships with our licensors, we could lose license rights that are important to our business;</w:t>
      </w:r>
    </w:p>
    <w:p>
      <w:pPr>
        <w:spacing w:after="0" w:line="186" w:lineRule="exact"/>
        <w:rPr>
          <w:rFonts w:ascii="Arial" w:cs="Arial" w:eastAsia="Arial" w:hAnsi="Arial"/>
          <w:sz w:val="18"/>
          <w:szCs w:val="18"/>
          <w:color w:val="auto"/>
        </w:rPr>
      </w:pPr>
    </w:p>
    <w:p>
      <w:pPr>
        <w:ind w:left="328" w:right="20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grow the size of our organization and we may experience difficulties in managing this growth;</w:t>
      </w:r>
    </w:p>
    <w:p>
      <w:pPr>
        <w:spacing w:after="0" w:line="225" w:lineRule="exact"/>
        <w:rPr>
          <w:rFonts w:ascii="Arial" w:cs="Arial" w:eastAsia="Arial" w:hAnsi="Arial"/>
          <w:sz w:val="18"/>
          <w:szCs w:val="18"/>
          <w:color w:val="auto"/>
        </w:rPr>
      </w:pPr>
    </w:p>
    <w:p>
      <w:pPr>
        <w:ind w:left="328" w:right="20" w:hanging="328"/>
        <w:spacing w:after="0" w:line="342" w:lineRule="auto"/>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identified material weaknesses in connection with our internal control over financial reporting. Although we are taking steps to remediate these material weaknesses, we may not be successful in doing so in a timely manner, or at all, and we may identify other material weaknesses;</w:t>
      </w:r>
    </w:p>
    <w:p>
      <w:pPr>
        <w:spacing w:after="0" w:line="123"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were classified as a passive foreign investment company, it would result in adverse U.S. federal income tax consequences to U.S. Holders (as defined below);</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variety of risks associated with operating our business internationally could materially adversely affect our business;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and results of operations may be negatively impacted by the UK’s withdrawal from the EU.</w:t>
      </w:r>
    </w:p>
    <w:p>
      <w:pPr>
        <w:spacing w:after="0" w:line="200" w:lineRule="exact"/>
        <w:rPr>
          <w:sz w:val="20"/>
          <w:szCs w:val="20"/>
          <w:color w:val="auto"/>
        </w:rPr>
      </w:pPr>
    </w:p>
    <w:p>
      <w:pPr>
        <w:spacing w:after="0" w:line="241"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Quarterly Report on Form 10-Q contains forward-looking statements which are made pursuant to the safe harbor provisions of Section 27A of the Securities Act of 1933, as amended, and Section 21E of the Securities Exchange Act of 1934, as amended (the “Exchange Act”).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16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including timing of Investigational New Drug Application and Biological License Application filings for our current and future product candidates, and final U.S. Food and Drug Administration, European Medicines Agency, United Kingdom Medicines and Healthcare products Regulatory Agency or other foreign regulatory authority approval of our current and future product candidates;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develop and advance our current and future product candidates and programs into, and successfully complete, clinical trials;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future or maintain current collaborations or strategic relationships or obtain additional funding;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and future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and willingness of our third-party collaborators to continue research and development activities relating to our product candidates;</w:t>
      </w:r>
    </w:p>
    <w:p>
      <w:pPr>
        <w:spacing w:after="0" w:line="236"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and our collaborators’ ability to obtain, maintain, defend and enforce our intellectual property protection for our product candidates, and the scope of such protection;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product candidates and any other approved products;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companies, technologies and our industry and the success of competing therapies that are or may become available;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accuracy of our estimates of our annual total addressable markets, future revenue, expenses, capital requirements and needs for additional financing;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overcome the challenges posed by the COVID-19 pandemic to the conduct of our business; and</w:t>
      </w:r>
    </w:p>
    <w:p>
      <w:pPr>
        <w:spacing w:after="0" w:line="225"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 of 2012, as amended.</w:t>
      </w:r>
    </w:p>
    <w:p>
      <w:pPr>
        <w:spacing w:after="0" w:line="170" w:lineRule="exact"/>
        <w:rPr>
          <w:sz w:val="20"/>
          <w:szCs w:val="20"/>
          <w:color w:val="auto"/>
        </w:rPr>
      </w:pPr>
    </w:p>
    <w:p>
      <w:pPr>
        <w:ind w:left="8"/>
        <w:spacing w:after="0" w:line="288" w:lineRule="auto"/>
        <w:rPr>
          <w:sz w:val="20"/>
          <w:szCs w:val="20"/>
          <w:color w:val="auto"/>
        </w:rPr>
      </w:pPr>
      <w:r>
        <w:rPr>
          <w:rFonts w:ascii="Arial" w:cs="Arial" w:eastAsia="Arial" w:hAnsi="Arial"/>
          <w:sz w:val="16"/>
          <w:szCs w:val="16"/>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384" w:lineRule="exact"/>
        <w:rPr>
          <w:sz w:val="20"/>
          <w:szCs w:val="20"/>
          <w:color w:val="auto"/>
        </w:rPr>
      </w:pPr>
    </w:p>
    <w:p>
      <w:pPr>
        <w:jc w:val="center"/>
        <w:ind w:right="33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7"/>
          </w:tcPr>
          <w:p>
            <w:pPr>
              <w:spacing w:after="0"/>
              <w:rPr>
                <w:sz w:val="20"/>
                <w:szCs w:val="20"/>
                <w:color w:val="auto"/>
              </w:rPr>
            </w:pPr>
            <w:r>
              <w:rPr>
                <w:rFonts w:ascii="Arial" w:cs="Arial" w:eastAsia="Arial" w:hAnsi="Arial"/>
                <w:sz w:val="18"/>
                <w:szCs w:val="18"/>
                <w:b w:val="1"/>
                <w:bCs w:val="1"/>
                <w:color w:val="auto"/>
              </w:rPr>
              <w:t>Item 1.  Financial Statements</w:t>
            </w: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980" w:type="dxa"/>
            <w:vAlign w:val="bottom"/>
            <w:gridSpan w:val="7"/>
          </w:tcPr>
          <w:p>
            <w:pPr>
              <w:jc w:val="center"/>
              <w:ind w:left="1170"/>
              <w:spacing w:after="0"/>
              <w:rPr>
                <w:sz w:val="20"/>
                <w:szCs w:val="20"/>
                <w:color w:val="auto"/>
              </w:rPr>
            </w:pPr>
            <w:r>
              <w:rPr>
                <w:rFonts w:ascii="Arial" w:cs="Arial" w:eastAsia="Arial" w:hAnsi="Arial"/>
                <w:sz w:val="18"/>
                <w:szCs w:val="18"/>
                <w:b w:val="1"/>
                <w:bCs w:val="1"/>
                <w:color w:val="auto"/>
              </w:rPr>
              <w:t>INDEX TO CONDENSED CONSOLIDATED FINANCIAL STATEMENTS (UNAUDITED)</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980" w:type="dxa"/>
            <w:vAlign w:val="bottom"/>
            <w:gridSpan w:val="7"/>
          </w:tcPr>
          <w:p>
            <w:pPr>
              <w:spacing w:after="0"/>
              <w:rPr>
                <w:sz w:val="20"/>
                <w:szCs w:val="20"/>
                <w:color w:val="auto"/>
              </w:rPr>
            </w:pPr>
            <w:r>
              <w:rPr>
                <w:rFonts w:ascii="Arial" w:cs="Arial" w:eastAsia="Arial" w:hAnsi="Arial"/>
                <w:sz w:val="18"/>
                <w:szCs w:val="18"/>
                <w:b w:val="1"/>
                <w:bCs w:val="1"/>
                <w:color w:val="auto"/>
              </w:rPr>
              <w:t>Condensed Consolidated Financial Statements (Unaudited)</w:t>
            </w:r>
          </w:p>
        </w:tc>
        <w:tc>
          <w:tcPr>
            <w:tcW w:w="1280" w:type="dxa"/>
            <w:vAlign w:val="bottom"/>
            <w:gridSpan w:val="3"/>
          </w:tcPr>
          <w:p>
            <w:pPr>
              <w:ind w:left="8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980" w:type="dxa"/>
            <w:vAlign w:val="bottom"/>
            <w:gridSpan w:val="7"/>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Balance Sheets</w:t>
              </w:r>
            </w:hyperlink>
          </w:p>
        </w:tc>
        <w:tc>
          <w:tcPr>
            <w:tcW w:w="1260" w:type="dxa"/>
            <w:vAlign w:val="bottom"/>
            <w:gridSpan w:val="2"/>
            <w:shd w:val="clear" w:color="auto" w:fill="CCEEFF"/>
          </w:tcPr>
          <w:p>
            <w:pPr>
              <w:ind w:left="1020"/>
              <w:spacing w:after="0" w:line="176" w:lineRule="exact"/>
              <w:rPr>
                <w:rFonts w:ascii="Arial" w:cs="Arial" w:eastAsia="Arial" w:hAnsi="Arial"/>
                <w:sz w:val="18"/>
                <w:szCs w:val="18"/>
                <w:color w:val="0000EE"/>
                <w:w w:val="81"/>
              </w:rPr>
            </w:pPr>
            <w:hyperlink w:anchor="page9">
              <w:r>
                <w:rPr>
                  <w:rFonts w:ascii="Arial" w:cs="Arial" w:eastAsia="Arial" w:hAnsi="Arial"/>
                  <w:sz w:val="18"/>
                  <w:szCs w:val="18"/>
                  <w:color w:val="0000EE"/>
                  <w:w w:val="81"/>
                </w:rPr>
                <w:t>F-1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9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980" w:type="dxa"/>
            <w:vAlign w:val="bottom"/>
            <w:gridSpan w:val="7"/>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Operations and Comprehensive Loss</w:t>
              </w:r>
            </w:hyperlink>
          </w:p>
        </w:tc>
        <w:tc>
          <w:tcPr>
            <w:tcW w:w="1260" w:type="dxa"/>
            <w:vAlign w:val="bottom"/>
            <w:gridSpan w:val="2"/>
          </w:tcPr>
          <w:p>
            <w:pPr>
              <w:ind w:left="1020"/>
              <w:spacing w:after="0" w:line="176" w:lineRule="exact"/>
              <w:rPr>
                <w:rFonts w:ascii="Arial" w:cs="Arial" w:eastAsia="Arial" w:hAnsi="Arial"/>
                <w:sz w:val="18"/>
                <w:szCs w:val="18"/>
                <w:color w:val="0000EE"/>
                <w:w w:val="81"/>
              </w:rPr>
            </w:pPr>
            <w:hyperlink w:anchor="page10">
              <w:r>
                <w:rPr>
                  <w:rFonts w:ascii="Arial" w:cs="Arial" w:eastAsia="Arial" w:hAnsi="Arial"/>
                  <w:sz w:val="18"/>
                  <w:szCs w:val="18"/>
                  <w:color w:val="0000EE"/>
                  <w:w w:val="81"/>
                </w:rPr>
                <w:t>F-2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9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980" w:type="dxa"/>
            <w:vAlign w:val="bottom"/>
            <w:gridSpan w:val="7"/>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Condensed Consolidated Statements of Changes in Redeemable Convertible Preferred Shares and Shareholders’ Deficit</w:t>
              </w:r>
            </w:hyperlink>
          </w:p>
        </w:tc>
        <w:tc>
          <w:tcPr>
            <w:tcW w:w="1260" w:type="dxa"/>
            <w:vAlign w:val="bottom"/>
            <w:gridSpan w:val="2"/>
            <w:shd w:val="clear" w:color="auto" w:fill="CCEEFF"/>
          </w:tcPr>
          <w:p>
            <w:pPr>
              <w:ind w:left="1020"/>
              <w:spacing w:after="0" w:line="176" w:lineRule="exact"/>
              <w:rPr>
                <w:rFonts w:ascii="Arial" w:cs="Arial" w:eastAsia="Arial" w:hAnsi="Arial"/>
                <w:sz w:val="18"/>
                <w:szCs w:val="18"/>
                <w:color w:val="0000EE"/>
                <w:w w:val="81"/>
              </w:rPr>
            </w:pPr>
            <w:hyperlink w:anchor="page11">
              <w:r>
                <w:rPr>
                  <w:rFonts w:ascii="Arial" w:cs="Arial" w:eastAsia="Arial" w:hAnsi="Arial"/>
                  <w:sz w:val="18"/>
                  <w:szCs w:val="18"/>
                  <w:color w:val="0000EE"/>
                  <w:w w:val="81"/>
                </w:rPr>
                <w:t>F-3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9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1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gridSpan w:val="6"/>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Condensed Consolidated Statements of Cash Flows</w:t>
              </w:r>
            </w:hyperlink>
          </w:p>
        </w:tc>
        <w:tc>
          <w:tcPr>
            <w:tcW w:w="1340" w:type="dxa"/>
            <w:vAlign w:val="bottom"/>
          </w:tcPr>
          <w:p>
            <w:pPr>
              <w:spacing w:after="0"/>
              <w:rPr>
                <w:sz w:val="15"/>
                <w:szCs w:val="15"/>
                <w:color w:val="auto"/>
              </w:rPr>
            </w:pPr>
          </w:p>
        </w:tc>
        <w:tc>
          <w:tcPr>
            <w:tcW w:w="1260" w:type="dxa"/>
            <w:vAlign w:val="bottom"/>
            <w:gridSpan w:val="2"/>
          </w:tcPr>
          <w:p>
            <w:pPr>
              <w:ind w:left="1020"/>
              <w:spacing w:after="0" w:line="176" w:lineRule="exact"/>
              <w:rPr>
                <w:rFonts w:ascii="Arial" w:cs="Arial" w:eastAsia="Arial" w:hAnsi="Arial"/>
                <w:sz w:val="18"/>
                <w:szCs w:val="18"/>
                <w:color w:val="0000EE"/>
                <w:w w:val="81"/>
              </w:rPr>
            </w:pPr>
            <w:hyperlink w:anchor="page12">
              <w:r>
                <w:rPr>
                  <w:rFonts w:ascii="Arial" w:cs="Arial" w:eastAsia="Arial" w:hAnsi="Arial"/>
                  <w:sz w:val="18"/>
                  <w:szCs w:val="18"/>
                  <w:color w:val="0000EE"/>
                  <w:w w:val="81"/>
                </w:rPr>
                <w:t>F-4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80" w:type="dxa"/>
            <w:vAlign w:val="bottom"/>
            <w:gridSpan w:val="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Notes to Condensed Consolidated Financial Statements</w:t>
              </w:r>
            </w:hyperlink>
          </w:p>
        </w:tc>
        <w:tc>
          <w:tcPr>
            <w:tcW w:w="1260" w:type="dxa"/>
            <w:vAlign w:val="bottom"/>
            <w:gridSpan w:val="2"/>
            <w:shd w:val="clear" w:color="auto" w:fill="CCEEFF"/>
          </w:tcPr>
          <w:p>
            <w:pPr>
              <w:ind w:left="1020"/>
              <w:spacing w:after="0" w:line="176" w:lineRule="exact"/>
              <w:rPr>
                <w:rFonts w:ascii="Arial" w:cs="Arial" w:eastAsia="Arial" w:hAnsi="Arial"/>
                <w:sz w:val="18"/>
                <w:szCs w:val="18"/>
                <w:color w:val="0000EE"/>
                <w:w w:val="81"/>
              </w:rPr>
            </w:pPr>
            <w:hyperlink w:anchor="page13">
              <w:r>
                <w:rPr>
                  <w:rFonts w:ascii="Arial" w:cs="Arial" w:eastAsia="Arial" w:hAnsi="Arial"/>
                  <w:sz w:val="18"/>
                  <w:szCs w:val="18"/>
                  <w:color w:val="0000EE"/>
                  <w:w w:val="81"/>
                </w:rPr>
                <w:t>F-5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4000" w:type="dxa"/>
            <w:vAlign w:val="bottom"/>
            <w:tcBorders>
              <w:top w:val="single" w:sz="8" w:color="0000EE"/>
              <w:bottom w:val="single" w:sz="8" w:color="auto"/>
            </w:tcBorders>
            <w:gridSpan w:val="3"/>
          </w:tcPr>
          <w:p>
            <w:pPr>
              <w:spacing w:after="0"/>
              <w:rPr>
                <w:sz w:val="24"/>
                <w:szCs w:val="24"/>
                <w:color w:val="auto"/>
              </w:rPr>
            </w:pPr>
          </w:p>
        </w:tc>
        <w:tc>
          <w:tcPr>
            <w:tcW w:w="4640" w:type="dxa"/>
            <w:vAlign w:val="bottom"/>
            <w:tcBorders>
              <w:top w:val="single" w:sz="8" w:color="CCEEFF"/>
              <w:bottom w:val="single" w:sz="8" w:color="auto"/>
            </w:tcBorders>
            <w:gridSpan w:val="3"/>
          </w:tcPr>
          <w:p>
            <w:pPr>
              <w:jc w:val="right"/>
              <w:ind w:right="3000"/>
              <w:spacing w:after="0"/>
              <w:rPr>
                <w:sz w:val="20"/>
                <w:szCs w:val="20"/>
                <w:color w:val="auto"/>
              </w:rPr>
            </w:pPr>
            <w:r>
              <w:rPr>
                <w:rFonts w:ascii="Arial" w:cs="Arial" w:eastAsia="Arial" w:hAnsi="Arial"/>
                <w:sz w:val="18"/>
                <w:szCs w:val="18"/>
                <w:color w:val="auto"/>
              </w:rPr>
              <w:t>5</w:t>
            </w:r>
          </w:p>
        </w:tc>
        <w:tc>
          <w:tcPr>
            <w:tcW w:w="134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2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CONDENSED CONSOLIDATED BALANCE SHEETS (IN THOUSANDS, EXCEPT NUMBER OF SHARES AND PER SHARE AMOUNTS) (UNAUDITED)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155,935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43,266</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incentives receivable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3,427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1,003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166,491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PREFERRED SHARES AND SHAREHOLDERS' DEFICIT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3,273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Current portion of lease liability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Convertible loan notes – non current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44,700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 non current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tcPr>
          <w:p>
            <w:pPr>
              <w:spacing w:after="0" w:line="201" w:lineRule="exact"/>
              <w:rPr>
                <w:sz w:val="20"/>
                <w:szCs w:val="20"/>
                <w:color w:val="auto"/>
              </w:rPr>
            </w:pPr>
            <w:r>
              <w:rPr>
                <w:rFonts w:ascii="Arial" w:cs="Arial" w:eastAsia="Arial" w:hAnsi="Arial"/>
                <w:sz w:val="18"/>
                <w:szCs w:val="18"/>
                <w:color w:val="auto"/>
                <w:w w:val="89"/>
              </w:rPr>
              <w:t>Series A redeemable convertible preferred shares (Series A shares); £0.10 nominal value; 22,065 shares issued and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outstanding; (December 31, 2020: issued and outstanding: 22,065)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33,736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33,765</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B redeemable convertible preferred shares (Series B shares); £0.10 nominal value; 41,378 shares issued and</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2020: issued and outstanding: 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175,501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Shareholders’ deficit: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Ordinary shares, £0.000025 nominal value; 8,224,344 shares authorized, issued and outstanding (December 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authorized, issued and outstanding: 7,960,458)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60" w:type="dxa"/>
            <w:vAlign w:val="bottom"/>
          </w:tcPr>
          <w:p>
            <w:pPr>
              <w:ind w:left="180"/>
              <w:spacing w:after="0" w:line="201" w:lineRule="exact"/>
              <w:rPr>
                <w:sz w:val="20"/>
                <w:szCs w:val="20"/>
                <w:color w:val="auto"/>
              </w:rPr>
            </w:pPr>
            <w:r>
              <w:rPr>
                <w:rFonts w:ascii="Arial" w:cs="Arial" w:eastAsia="Arial" w:hAnsi="Arial"/>
                <w:sz w:val="18"/>
                <w:szCs w:val="18"/>
                <w:color w:val="auto"/>
                <w:w w:val="91"/>
              </w:rPr>
              <w:t>Deferred A shares, £1 nominal value; 63,443 shares authorized, issued and outstanding (December 31, 2020:no</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shares issued or outstanding)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Deferred C shares, £0,000007 nominal value, 8,224,344 shares authorized, issued and outstanding (December</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 2020: authorized, issued and outstanding: 7,960,458)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22,457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(72,988)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(57,720)</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Accumulated other comprehensive loss – foreign currency translation adjustments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deficit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(52,831</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shares and shareholders’ deficit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166,491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25" w:lineRule="exact"/>
        <w:rPr>
          <w:sz w:val="20"/>
          <w:szCs w:val="20"/>
          <w:color w:val="auto"/>
        </w:rPr>
      </w:pPr>
    </w:p>
    <w:p>
      <w:pPr>
        <w:jc w:val="center"/>
        <w:ind w:left="340" w:right="1620"/>
        <w:spacing w:after="0" w:line="266" w:lineRule="auto"/>
        <w:rPr>
          <w:sz w:val="20"/>
          <w:szCs w:val="20"/>
          <w:color w:val="auto"/>
        </w:rPr>
      </w:pPr>
      <w:r>
        <w:rPr>
          <w:rFonts w:ascii="Arial" w:cs="Arial" w:eastAsia="Arial" w:hAnsi="Arial"/>
          <w:sz w:val="18"/>
          <w:szCs w:val="18"/>
          <w:b w:val="1"/>
          <w:bCs w:val="1"/>
          <w:color w:val="auto"/>
        </w:rPr>
        <w:t>CONDENSED CONSOLIDATED STATEMENTS OF OPERATIONS AND COMPREHENSIVE LOSS (IN THOUSANDS, EXCEPT NUMBER OF SHARES AND PER SHARE AMOUNTS)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6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18"/>
                <w:szCs w:val="18"/>
                <w:b w:val="1"/>
                <w:bCs w:val="1"/>
                <w:color w:val="auto"/>
                <w:w w:val="93"/>
              </w:rPr>
              <w:t>March 31, 2021</w:t>
            </w:r>
          </w:p>
        </w:tc>
        <w:tc>
          <w:tcPr>
            <w:tcW w:w="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March 31, 2020</w:t>
            </w:r>
          </w:p>
        </w:tc>
        <w:tc>
          <w:tcPr>
            <w:tcW w:w="100" w:type="dxa"/>
            <w:vAlign w:val="bottom"/>
            <w:gridSpan w:val="2"/>
          </w:tcPr>
          <w:p>
            <w:pPr>
              <w:spacing w:after="0"/>
              <w:rPr>
                <w:sz w:val="18"/>
                <w:szCs w:val="18"/>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Service revenue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Research grants and contracts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r>
      <w:tr>
        <w:trPr>
          <w:trHeight w:val="210"/>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w:t>
            </w:r>
          </w:p>
        </w:tc>
        <w:tc>
          <w:tcPr>
            <w:tcW w:w="15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4,610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4,242</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1,777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r>
      <w:tr>
        <w:trPr>
          <w:trHeight w:val="209"/>
        </w:trPr>
        <w:tc>
          <w:tcPr>
            <w:tcW w:w="6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00" w:type="dxa"/>
            <w:vAlign w:val="bottom"/>
            <w:gridSpan w:val="2"/>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5,994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Unrealized exchange gain on convertible loan notes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convertible loan notes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(13,789)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(2,650)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Research and development incentives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698</w:t>
            </w:r>
          </w:p>
        </w:tc>
      </w:tr>
      <w:tr>
        <w:trPr>
          <w:trHeight w:val="209"/>
        </w:trPr>
        <w:tc>
          <w:tcPr>
            <w:tcW w:w="68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(expense) income</w:t>
            </w: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Tax benefit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Net loss attributable to noncontrolling interest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130</w:t>
            </w:r>
          </w:p>
        </w:tc>
      </w:tr>
      <w:tr>
        <w:trPr>
          <w:trHeight w:val="210"/>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Vaccitech Plc. shareholders</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ordinary shares outstanding, basic and diluted</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8,057,216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7,816,681</w:t>
            </w:r>
          </w:p>
        </w:tc>
        <w:tc>
          <w:tcPr>
            <w:tcW w:w="80" w:type="dxa"/>
            <w:vAlign w:val="bottom"/>
            <w:shd w:val="clear" w:color="auto" w:fill="CCEEFF"/>
          </w:tcPr>
          <w:p>
            <w:pPr>
              <w:spacing w:after="0"/>
              <w:rPr>
                <w:sz w:val="18"/>
                <w:szCs w:val="18"/>
                <w:color w:val="auto"/>
              </w:rPr>
            </w:pPr>
          </w:p>
        </w:tc>
      </w:tr>
      <w:tr>
        <w:trPr>
          <w:trHeight w:val="249"/>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per share attributable to ordinary shareholders, basic and diluted</w:t>
            </w:r>
          </w:p>
        </w:tc>
        <w:tc>
          <w:tcPr>
            <w:tcW w:w="15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68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1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(15,386)</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(3,951)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 foreign currency translation adjustments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(1,416)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Comprehensive loss</w:t>
            </w:r>
          </w:p>
        </w:tc>
        <w:tc>
          <w:tcPr>
            <w:tcW w:w="15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100" w:type="dxa"/>
            <w:vAlign w:val="bottom"/>
            <w:gridSpan w:val="2"/>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Comprehensive loss attributable to Vaccitech Plc. shareholders</w:t>
            </w:r>
          </w:p>
        </w:tc>
        <w:tc>
          <w:tcPr>
            <w:tcW w:w="15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Three months ended March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7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6"/>
          </w:tcPr>
          <w:p>
            <w:pPr>
              <w:jc w:val="center"/>
              <w:ind w:left="38"/>
              <w:spacing w:after="0" w:line="110" w:lineRule="exact"/>
              <w:rPr>
                <w:sz w:val="20"/>
                <w:szCs w:val="20"/>
                <w:color w:val="auto"/>
              </w:rPr>
            </w:pPr>
            <w:r>
              <w:rPr>
                <w:rFonts w:ascii="Arial" w:cs="Arial" w:eastAsia="Arial" w:hAnsi="Arial"/>
                <w:sz w:val="12"/>
                <w:szCs w:val="12"/>
                <w:b w:val="1"/>
                <w:bCs w:val="1"/>
                <w:color w:val="auto"/>
                <w:w w:val="95"/>
              </w:rPr>
              <w:t>Series A</w:t>
            </w:r>
          </w:p>
        </w:tc>
        <w:tc>
          <w:tcPr>
            <w:tcW w:w="3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320" w:type="dxa"/>
            <w:vAlign w:val="bottom"/>
            <w:tcBorders>
              <w:top w:val="single" w:sz="8" w:color="auto"/>
              <w:right w:val="single" w:sz="8" w:color="auto"/>
            </w:tcBorders>
            <w:gridSpan w:val="6"/>
          </w:tcPr>
          <w:p>
            <w:pPr>
              <w:jc w:val="center"/>
              <w:ind w:right="240"/>
              <w:spacing w:after="0" w:line="110" w:lineRule="exact"/>
              <w:rPr>
                <w:sz w:val="20"/>
                <w:szCs w:val="20"/>
                <w:color w:val="auto"/>
              </w:rPr>
            </w:pPr>
            <w:r>
              <w:rPr>
                <w:rFonts w:ascii="Arial" w:cs="Arial" w:eastAsia="Arial" w:hAnsi="Arial"/>
                <w:sz w:val="12"/>
                <w:szCs w:val="12"/>
                <w:b w:val="1"/>
                <w:bCs w:val="1"/>
                <w:color w:val="auto"/>
                <w:w w:val="91"/>
              </w:rPr>
              <w:t>Series B</w:t>
            </w: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8"/>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00" w:type="dxa"/>
            <w:vAlign w:val="bottom"/>
          </w:tcPr>
          <w:p>
            <w:pPr>
              <w:spacing w:after="0"/>
              <w:rPr>
                <w:sz w:val="11"/>
                <w:szCs w:val="11"/>
                <w:color w:val="auto"/>
              </w:rPr>
            </w:pPr>
          </w:p>
        </w:tc>
        <w:tc>
          <w:tcPr>
            <w:tcW w:w="1320" w:type="dxa"/>
            <w:vAlign w:val="bottom"/>
            <w:tcBorders>
              <w:right w:val="single" w:sz="8" w:color="auto"/>
            </w:tcBorders>
            <w:gridSpan w:val="6"/>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Redeemable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Accumulated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500" w:type="dxa"/>
            <w:vAlign w:val="bottom"/>
            <w:gridSpan w:val="10"/>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Convertible Preferred</w:t>
            </w:r>
          </w:p>
        </w:tc>
        <w:tc>
          <w:tcPr>
            <w:tcW w:w="1420" w:type="dxa"/>
            <w:vAlign w:val="bottom"/>
            <w:tcBorders>
              <w:right w:val="single" w:sz="8" w:color="auto"/>
            </w:tcBorders>
            <w:gridSpan w:val="7"/>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Convertible Preferred</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6"/>
          </w:tcPr>
          <w:p>
            <w:pPr>
              <w:jc w:val="center"/>
              <w:ind w:left="58"/>
              <w:spacing w:after="0"/>
              <w:rPr>
                <w:sz w:val="20"/>
                <w:szCs w:val="20"/>
                <w:color w:val="auto"/>
              </w:rPr>
            </w:pPr>
            <w:r>
              <w:rPr>
                <w:rFonts w:ascii="Arial" w:cs="Arial" w:eastAsia="Arial" w:hAnsi="Arial"/>
                <w:sz w:val="13"/>
                <w:szCs w:val="13"/>
                <w:b w:val="1"/>
                <w:bCs w:val="1"/>
                <w:color w:val="auto"/>
                <w:w w:val="82"/>
              </w:rPr>
              <w:t>Shares</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right w:val="single" w:sz="8" w:color="auto"/>
            </w:tcBorders>
            <w:gridSpan w:val="6"/>
          </w:tcPr>
          <w:p>
            <w:pPr>
              <w:jc w:val="center"/>
              <w:ind w:right="240"/>
              <w:spacing w:after="0"/>
              <w:rPr>
                <w:sz w:val="20"/>
                <w:szCs w:val="20"/>
                <w:color w:val="auto"/>
              </w:rPr>
            </w:pPr>
            <w:r>
              <w:rPr>
                <w:rFonts w:ascii="Arial" w:cs="Arial" w:eastAsia="Arial" w:hAnsi="Arial"/>
                <w:sz w:val="13"/>
                <w:szCs w:val="13"/>
                <w:b w:val="1"/>
                <w:bCs w:val="1"/>
                <w:color w:val="auto"/>
                <w:w w:val="82"/>
              </w:rPr>
              <w:t>Shares</w:t>
            </w:r>
          </w:p>
        </w:tc>
        <w:tc>
          <w:tcPr>
            <w:tcW w:w="280" w:type="dxa"/>
            <w:vAlign w:val="bottom"/>
          </w:tcPr>
          <w:p>
            <w:pPr>
              <w:spacing w:after="0"/>
              <w:rPr>
                <w:sz w:val="13"/>
                <w:szCs w:val="13"/>
                <w:color w:val="auto"/>
              </w:rPr>
            </w:pPr>
          </w:p>
        </w:tc>
        <w:tc>
          <w:tcPr>
            <w:tcW w:w="1100" w:type="dxa"/>
            <w:vAlign w:val="bottom"/>
            <w:gridSpan w:val="5"/>
          </w:tcPr>
          <w:p>
            <w:pPr>
              <w:jc w:val="right"/>
              <w:ind w:right="117"/>
              <w:spacing w:after="0"/>
              <w:rPr>
                <w:sz w:val="20"/>
                <w:szCs w:val="20"/>
                <w:color w:val="auto"/>
              </w:rPr>
            </w:pPr>
            <w:r>
              <w:rPr>
                <w:rFonts w:ascii="Arial" w:cs="Arial" w:eastAsia="Arial" w:hAnsi="Arial"/>
                <w:sz w:val="13"/>
                <w:szCs w:val="13"/>
                <w:b w:val="1"/>
                <w:bCs w:val="1"/>
                <w:color w:val="auto"/>
                <w:w w:val="88"/>
              </w:rPr>
              <w:t>Ordinary Shares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5"/>
          </w:tcPr>
          <w:p>
            <w:pPr>
              <w:ind w:left="80"/>
              <w:spacing w:after="0"/>
              <w:rPr>
                <w:sz w:val="20"/>
                <w:szCs w:val="20"/>
                <w:color w:val="auto"/>
              </w:rPr>
            </w:pPr>
            <w:r>
              <w:rPr>
                <w:rFonts w:ascii="Arial" w:cs="Arial" w:eastAsia="Arial" w:hAnsi="Arial"/>
                <w:sz w:val="13"/>
                <w:szCs w:val="13"/>
                <w:b w:val="1"/>
                <w:bCs w:val="1"/>
                <w:color w:val="auto"/>
                <w:w w:val="86"/>
              </w:rPr>
              <w:t>Deferred A 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Paid-in-</w:t>
            </w:r>
          </w:p>
        </w:tc>
        <w:tc>
          <w:tcPr>
            <w:tcW w:w="900" w:type="dxa"/>
            <w:vAlign w:val="bottom"/>
            <w:gridSpan w:val="5"/>
          </w:tcPr>
          <w:p>
            <w:pPr>
              <w:ind w:left="60"/>
              <w:spacing w:after="0"/>
              <w:rPr>
                <w:sz w:val="20"/>
                <w:szCs w:val="20"/>
                <w:color w:val="auto"/>
              </w:rPr>
            </w:pPr>
            <w:r>
              <w:rPr>
                <w:rFonts w:ascii="Arial" w:cs="Arial" w:eastAsia="Arial" w:hAnsi="Arial"/>
                <w:sz w:val="13"/>
                <w:szCs w:val="13"/>
                <w:b w:val="1"/>
                <w:bCs w:val="1"/>
                <w:color w:val="auto"/>
              </w:rPr>
              <w:t>Accumulated</w:t>
            </w:r>
          </w:p>
        </w:tc>
        <w:tc>
          <w:tcPr>
            <w:tcW w:w="10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6"/>
              </w:rPr>
              <w:t>Comprehensive</w:t>
            </w:r>
          </w:p>
        </w:tc>
        <w:tc>
          <w:tcPr>
            <w:tcW w:w="900" w:type="dxa"/>
            <w:vAlign w:val="bottom"/>
            <w:gridSpan w:val="4"/>
          </w:tcPr>
          <w:p>
            <w:pPr>
              <w:spacing w:after="0"/>
              <w:rPr>
                <w:sz w:val="20"/>
                <w:szCs w:val="20"/>
                <w:color w:val="auto"/>
              </w:rPr>
            </w:pPr>
            <w:r>
              <w:rPr>
                <w:rFonts w:ascii="Arial" w:cs="Arial" w:eastAsia="Arial" w:hAnsi="Arial"/>
                <w:sz w:val="13"/>
                <w:szCs w:val="13"/>
                <w:b w:val="1"/>
                <w:bCs w:val="1"/>
                <w:color w:val="auto"/>
                <w:w w:val="95"/>
              </w:rPr>
              <w:t>Noncontrolling</w:t>
            </w:r>
          </w:p>
        </w:tc>
        <w:tc>
          <w:tcPr>
            <w:tcW w:w="860" w:type="dxa"/>
            <w:vAlign w:val="bottom"/>
            <w:gridSpan w:val="4"/>
          </w:tcPr>
          <w:p>
            <w:pPr>
              <w:ind w:left="60"/>
              <w:spacing w:after="0"/>
              <w:rPr>
                <w:sz w:val="20"/>
                <w:szCs w:val="20"/>
                <w:color w:val="auto"/>
              </w:rPr>
            </w:pPr>
            <w:r>
              <w:rPr>
                <w:rFonts w:ascii="Arial" w:cs="Arial" w:eastAsia="Arial" w:hAnsi="Arial"/>
                <w:sz w:val="13"/>
                <w:szCs w:val="13"/>
                <w:b w:val="1"/>
                <w:bCs w:val="1"/>
                <w:color w:val="auto"/>
                <w:w w:val="89"/>
              </w:rPr>
              <w:t>Shareholders’</w:t>
            </w: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720" w:type="dxa"/>
            <w:vAlign w:val="bottom"/>
            <w:tcBorders>
              <w:top w:val="single" w:sz="8" w:color="auto"/>
            </w:tcBorders>
            <w:gridSpan w:val="5"/>
          </w:tcPr>
          <w:p>
            <w:pPr>
              <w:jc w:val="right"/>
              <w:ind w:right="260"/>
              <w:spacing w:after="0" w:line="142"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w w:val="73"/>
              </w:rPr>
              <w:t>Amount</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0"/>
                <w:szCs w:val="10"/>
                <w:b w:val="1"/>
                <w:bCs w:val="1"/>
                <w:color w:val="auto"/>
                <w:w w:val="71"/>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240"/>
              <w:spacing w:after="0" w:line="142" w:lineRule="exact"/>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320"/>
              <w:spacing w:after="0" w:line="142" w:lineRule="exact"/>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2"/>
                <w:szCs w:val="12"/>
                <w:color w:val="auto"/>
              </w:rPr>
            </w:pPr>
          </w:p>
        </w:tc>
        <w:tc>
          <w:tcPr>
            <w:tcW w:w="940" w:type="dxa"/>
            <w:vAlign w:val="bottom"/>
            <w:gridSpan w:val="3"/>
          </w:tcPr>
          <w:p>
            <w:pPr>
              <w:jc w:val="center"/>
              <w:ind w:right="300"/>
              <w:spacing w:after="0" w:line="142"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2"/>
                <w:szCs w:val="12"/>
                <w:color w:val="auto"/>
              </w:rPr>
            </w:pPr>
          </w:p>
        </w:tc>
        <w:tc>
          <w:tcPr>
            <w:tcW w:w="780" w:type="dxa"/>
            <w:vAlign w:val="bottom"/>
            <w:gridSpan w:val="3"/>
          </w:tcPr>
          <w:p>
            <w:pPr>
              <w:jc w:val="right"/>
              <w:ind w:right="300"/>
              <w:spacing w:after="0" w:line="142" w:lineRule="exact"/>
              <w:rPr>
                <w:sz w:val="20"/>
                <w:szCs w:val="20"/>
                <w:color w:val="auto"/>
              </w:rPr>
            </w:pPr>
            <w:r>
              <w:rPr>
                <w:rFonts w:ascii="Arial" w:cs="Arial" w:eastAsia="Arial" w:hAnsi="Arial"/>
                <w:sz w:val="13"/>
                <w:szCs w:val="13"/>
                <w:b w:val="1"/>
                <w:bCs w:val="1"/>
                <w:color w:val="auto"/>
                <w:w w:val="97"/>
              </w:rPr>
              <w:t>Interest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97"/>
        </w:trPr>
        <w:tc>
          <w:tcPr>
            <w:tcW w:w="76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0"/>
                <w:szCs w:val="10"/>
                <w:b w:val="1"/>
                <w:bCs w:val="1"/>
                <w:color w:val="auto"/>
              </w:rPr>
              <w:t>Balance,</w:t>
            </w:r>
          </w:p>
        </w:tc>
        <w:tc>
          <w:tcPr>
            <w:tcW w:w="560" w:type="dxa"/>
            <w:vAlign w:val="bottom"/>
            <w:tcBorders>
              <w:top w:val="single" w:sz="8" w:color="auto"/>
            </w:tcBorders>
            <w:gridSpan w:val="3"/>
            <w:shd w:val="clear" w:color="auto" w:fill="CCEEFF"/>
          </w:tcPr>
          <w:p>
            <w:pPr>
              <w:spacing w:after="0"/>
              <w:rPr>
                <w:sz w:val="8"/>
                <w:szCs w:val="8"/>
                <w:color w:val="auto"/>
              </w:rPr>
            </w:pPr>
          </w:p>
        </w:tc>
        <w:tc>
          <w:tcPr>
            <w:tcW w:w="180" w:type="dxa"/>
            <w:vAlign w:val="bottom"/>
            <w:tcBorders>
              <w:top w:val="single" w:sz="8" w:color="CCEEFF"/>
            </w:tcBorders>
            <w:gridSpan w:val="3"/>
            <w:shd w:val="clear" w:color="auto" w:fill="CCEEFF"/>
          </w:tcPr>
          <w:p>
            <w:pPr>
              <w:spacing w:after="0"/>
              <w:rPr>
                <w:sz w:val="8"/>
                <w:szCs w:val="8"/>
                <w:color w:val="auto"/>
              </w:rPr>
            </w:pPr>
          </w:p>
        </w:tc>
        <w:tc>
          <w:tcPr>
            <w:tcW w:w="580" w:type="dxa"/>
            <w:vAlign w:val="bottom"/>
            <w:tcBorders>
              <w:top w:val="single" w:sz="8" w:color="auto"/>
            </w:tcBorders>
            <w:gridSpan w:val="3"/>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40" w:type="dxa"/>
            <w:vAlign w:val="bottom"/>
            <w:tcBorders>
              <w:top w:val="single" w:sz="8" w:color="auto"/>
            </w:tcBorders>
            <w:gridSpan w:val="2"/>
            <w:shd w:val="clear" w:color="auto" w:fill="CCEEFF"/>
          </w:tcPr>
          <w:p>
            <w:pPr>
              <w:spacing w:after="0"/>
              <w:rPr>
                <w:sz w:val="8"/>
                <w:szCs w:val="8"/>
                <w:color w:val="auto"/>
              </w:rPr>
            </w:pPr>
          </w:p>
        </w:tc>
        <w:tc>
          <w:tcPr>
            <w:tcW w:w="320" w:type="dxa"/>
            <w:vAlign w:val="bottom"/>
            <w:tcBorders>
              <w:top w:val="single" w:sz="8" w:color="CCEEFF"/>
              <w:right w:val="single" w:sz="8" w:color="CCEEFF"/>
            </w:tcBorders>
            <w:gridSpan w:val="3"/>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right w:val="single" w:sz="8" w:color="auto"/>
            </w:tcBorders>
            <w:shd w:val="clear" w:color="auto" w:fill="CCEEFF"/>
          </w:tcPr>
          <w:p>
            <w:pPr>
              <w:spacing w:after="0"/>
              <w:rPr>
                <w:sz w:val="8"/>
                <w:szCs w:val="8"/>
                <w:color w:val="auto"/>
              </w:rPr>
            </w:pPr>
          </w:p>
        </w:tc>
        <w:tc>
          <w:tcPr>
            <w:tcW w:w="280" w:type="dxa"/>
            <w:vAlign w:val="bottom"/>
            <w:tcBorders>
              <w:top w:val="single" w:sz="8" w:color="CCEEFF"/>
              <w:right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620" w:type="dxa"/>
            <w:vAlign w:val="bottom"/>
            <w:tcBorders>
              <w:top w:val="single" w:sz="8" w:color="auto"/>
            </w:tcBorders>
            <w:gridSpan w:val="3"/>
            <w:shd w:val="clear" w:color="auto" w:fill="CCEEFF"/>
          </w:tcPr>
          <w:p>
            <w:pPr>
              <w:spacing w:after="0"/>
              <w:rPr>
                <w:sz w:val="8"/>
                <w:szCs w:val="8"/>
                <w:color w:val="auto"/>
              </w:rPr>
            </w:pPr>
          </w:p>
        </w:tc>
        <w:tc>
          <w:tcPr>
            <w:tcW w:w="160" w:type="dxa"/>
            <w:vAlign w:val="bottom"/>
            <w:tcBorders>
              <w:top w:val="single" w:sz="8" w:color="CCEEFF"/>
            </w:tcBorders>
            <w:gridSpan w:val="3"/>
            <w:shd w:val="clear" w:color="auto" w:fill="CCEEFF"/>
          </w:tcPr>
          <w:p>
            <w:pPr>
              <w:spacing w:after="0"/>
              <w:rPr>
                <w:sz w:val="8"/>
                <w:szCs w:val="8"/>
                <w:color w:val="auto"/>
              </w:rPr>
            </w:pPr>
          </w:p>
        </w:tc>
        <w:tc>
          <w:tcPr>
            <w:tcW w:w="560" w:type="dxa"/>
            <w:vAlign w:val="bottom"/>
            <w:tcBorders>
              <w:top w:val="single" w:sz="8" w:color="auto"/>
            </w:tcBorders>
            <w:gridSpan w:val="2"/>
            <w:shd w:val="clear" w:color="auto" w:fill="CCEEFF"/>
          </w:tcPr>
          <w:p>
            <w:pPr>
              <w:spacing w:after="0"/>
              <w:rPr>
                <w:sz w:val="8"/>
                <w:szCs w:val="8"/>
                <w:color w:val="auto"/>
              </w:rPr>
            </w:pPr>
          </w:p>
        </w:tc>
        <w:tc>
          <w:tcPr>
            <w:tcW w:w="240" w:type="dxa"/>
            <w:vAlign w:val="bottom"/>
            <w:tcBorders>
              <w:top w:val="single" w:sz="8" w:color="CCEEFF"/>
              <w:right w:val="single" w:sz="8" w:color="CCEEFF"/>
            </w:tcBorders>
            <w:gridSpan w:val="3"/>
            <w:shd w:val="clear" w:color="auto" w:fill="CCEEFF"/>
          </w:tcPr>
          <w:p>
            <w:pPr>
              <w:spacing w:after="0"/>
              <w:rPr>
                <w:sz w:val="8"/>
                <w:szCs w:val="8"/>
                <w:color w:val="auto"/>
              </w:rPr>
            </w:pPr>
          </w:p>
        </w:tc>
        <w:tc>
          <w:tcPr>
            <w:tcW w:w="500" w:type="dxa"/>
            <w:vAlign w:val="bottom"/>
            <w:tcBorders>
              <w:top w:val="single" w:sz="8" w:color="auto"/>
            </w:tcBorders>
            <w:gridSpan w:val="2"/>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640" w:type="dxa"/>
            <w:vAlign w:val="bottom"/>
            <w:tcBorders>
              <w:top w:val="single" w:sz="8" w:color="auto"/>
            </w:tcBorders>
            <w:gridSpan w:val="3"/>
            <w:shd w:val="clear" w:color="auto" w:fill="CCEEFF"/>
          </w:tcPr>
          <w:p>
            <w:pPr>
              <w:spacing w:after="0"/>
              <w:rPr>
                <w:sz w:val="8"/>
                <w:szCs w:val="8"/>
                <w:color w:val="auto"/>
              </w:rPr>
            </w:pPr>
          </w:p>
        </w:tc>
        <w:tc>
          <w:tcPr>
            <w:tcW w:w="200" w:type="dxa"/>
            <w:vAlign w:val="bottom"/>
            <w:tcBorders>
              <w:top w:val="single" w:sz="8" w:color="CCEEFF"/>
              <w:right w:val="single" w:sz="8" w:color="CCEEFF"/>
            </w:tcBorders>
            <w:gridSpan w:val="3"/>
            <w:shd w:val="clear" w:color="auto" w:fill="CCEEFF"/>
          </w:tcPr>
          <w:p>
            <w:pPr>
              <w:spacing w:after="0"/>
              <w:rPr>
                <w:sz w:val="8"/>
                <w:szCs w:val="8"/>
                <w:color w:val="auto"/>
              </w:rPr>
            </w:pPr>
          </w:p>
        </w:tc>
        <w:tc>
          <w:tcPr>
            <w:tcW w:w="660" w:type="dxa"/>
            <w:vAlign w:val="bottom"/>
            <w:tcBorders>
              <w:top w:val="single" w:sz="8" w:color="auto"/>
            </w:tcBorders>
            <w:gridSpan w:val="2"/>
            <w:shd w:val="clear" w:color="auto" w:fill="CCEEFF"/>
          </w:tcPr>
          <w:p>
            <w:pPr>
              <w:spacing w:after="0"/>
              <w:rPr>
                <w:sz w:val="8"/>
                <w:szCs w:val="8"/>
                <w:color w:val="auto"/>
              </w:rPr>
            </w:pPr>
          </w:p>
        </w:tc>
        <w:tc>
          <w:tcPr>
            <w:tcW w:w="280" w:type="dxa"/>
            <w:vAlign w:val="bottom"/>
            <w:tcBorders>
              <w:top w:val="single" w:sz="8" w:color="CCEEFF"/>
              <w:right w:val="single" w:sz="8" w:color="CCEEFF"/>
            </w:tcBorders>
            <w:gridSpan w:val="3"/>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gridSpan w:val="2"/>
            <w:shd w:val="clear" w:color="auto" w:fill="CCEEFF"/>
          </w:tcPr>
          <w:p>
            <w:pPr>
              <w:spacing w:after="0"/>
              <w:rPr>
                <w:sz w:val="8"/>
                <w:szCs w:val="8"/>
                <w:color w:val="auto"/>
              </w:rPr>
            </w:pPr>
          </w:p>
        </w:tc>
        <w:tc>
          <w:tcPr>
            <w:tcW w:w="780" w:type="dxa"/>
            <w:vAlign w:val="bottom"/>
            <w:tcBorders>
              <w:top w:val="single" w:sz="8" w:color="auto"/>
            </w:tcBorders>
            <w:gridSpan w:val="2"/>
            <w:shd w:val="clear" w:color="auto" w:fill="CCEEFF"/>
          </w:tcPr>
          <w:p>
            <w:pPr>
              <w:spacing w:after="0"/>
              <w:rPr>
                <w:sz w:val="8"/>
                <w:szCs w:val="8"/>
                <w:color w:val="auto"/>
              </w:rPr>
            </w:pPr>
          </w:p>
        </w:tc>
        <w:tc>
          <w:tcPr>
            <w:tcW w:w="180" w:type="dxa"/>
            <w:vAlign w:val="bottom"/>
            <w:tcBorders>
              <w:top w:val="single" w:sz="8" w:color="CCEEFF"/>
            </w:tcBorders>
            <w:gridSpan w:val="3"/>
            <w:shd w:val="clear" w:color="auto" w:fill="CCEEFF"/>
          </w:tcPr>
          <w:p>
            <w:pPr>
              <w:spacing w:after="0"/>
              <w:rPr>
                <w:sz w:val="8"/>
                <w:szCs w:val="8"/>
                <w:color w:val="auto"/>
              </w:rPr>
            </w:pPr>
          </w:p>
        </w:tc>
        <w:tc>
          <w:tcPr>
            <w:tcW w:w="740" w:type="dxa"/>
            <w:vAlign w:val="bottom"/>
            <w:tcBorders>
              <w:top w:val="single" w:sz="8" w:color="auto"/>
            </w:tcBorders>
            <w:gridSpan w:val="2"/>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January 1,</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2021, as</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previously</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391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reported</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5"/>
              </w:rPr>
              <w:t>22,065</w:t>
            </w:r>
          </w:p>
        </w:tc>
        <w:tc>
          <w:tcPr>
            <w:tcW w:w="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center"/>
              <w:ind w:right="17"/>
              <w:spacing w:after="0"/>
              <w:rPr>
                <w:sz w:val="20"/>
                <w:szCs w:val="20"/>
                <w:color w:val="auto"/>
              </w:rPr>
            </w:pPr>
            <w:r>
              <w:rPr>
                <w:rFonts w:ascii="Arial" w:cs="Arial" w:eastAsia="Arial" w:hAnsi="Arial"/>
                <w:sz w:val="13"/>
                <w:szCs w:val="13"/>
                <w:b w:val="1"/>
                <w:bCs w:val="1"/>
                <w:color w:val="auto"/>
                <w:w w:val="82"/>
              </w:rPr>
              <w:t>$</w:t>
            </w:r>
          </w:p>
        </w:tc>
        <w:tc>
          <w:tcPr>
            <w:tcW w:w="60" w:type="dxa"/>
            <w:vAlign w:val="bottom"/>
            <w:shd w:val="clear" w:color="auto" w:fill="CCEEFF"/>
          </w:tcPr>
          <w:p>
            <w:pPr>
              <w:spacing w:after="0"/>
              <w:rPr>
                <w:sz w:val="13"/>
                <w:szCs w:val="13"/>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w w:val="85"/>
              </w:rPr>
              <w:t>33,765</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2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28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71"/>
              </w:rPr>
              <w:t>7,960,458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center"/>
              <w:ind w:right="17"/>
              <w:spacing w:after="0"/>
              <w:rPr>
                <w:sz w:val="20"/>
                <w:szCs w:val="20"/>
                <w:color w:val="auto"/>
              </w:rPr>
            </w:pPr>
            <w:r>
              <w:rPr>
                <w:rFonts w:ascii="Arial" w:cs="Arial" w:eastAsia="Arial" w:hAnsi="Arial"/>
                <w:sz w:val="13"/>
                <w:szCs w:val="13"/>
                <w:b w:val="1"/>
                <w:bCs w:val="1"/>
                <w:color w:val="auto"/>
                <w:w w:val="82"/>
              </w:rPr>
              <w:t>$</w:t>
            </w:r>
          </w:p>
        </w:tc>
        <w:tc>
          <w:tcPr>
            <w:tcW w:w="400" w:type="dxa"/>
            <w:vAlign w:val="bottom"/>
            <w:shd w:val="clear" w:color="auto" w:fill="CCEEFF"/>
          </w:tcPr>
          <w:p>
            <w:pPr>
              <w:spacing w:after="0"/>
              <w:rPr>
                <w:sz w:val="13"/>
                <w:szCs w:val="13"/>
                <w:color w:val="auto"/>
              </w:rPr>
            </w:pPr>
          </w:p>
        </w:tc>
        <w:tc>
          <w:tcPr>
            <w:tcW w:w="100" w:type="dxa"/>
            <w:vAlign w:val="bottom"/>
            <w:gridSpan w:val="2"/>
            <w:vMerge w:val="continue"/>
            <w:shd w:val="clear" w:color="auto" w:fill="CCEEFF"/>
          </w:tcPr>
          <w:p>
            <w:pPr>
              <w:spacing w:after="0"/>
              <w:rPr>
                <w:sz w:val="13"/>
                <w:szCs w:val="13"/>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19,531</w:t>
            </w:r>
          </w:p>
        </w:tc>
        <w:tc>
          <w:tcPr>
            <w:tcW w:w="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(55,591)</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(1,243)</w:t>
            </w:r>
          </w:p>
        </w:tc>
        <w:tc>
          <w:tcPr>
            <w:tcW w:w="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(36,912)</w:t>
            </w:r>
          </w:p>
        </w:tc>
        <w:tc>
          <w:tcPr>
            <w:tcW w:w="0" w:type="dxa"/>
            <w:vAlign w:val="bottom"/>
          </w:tcPr>
          <w:p>
            <w:pPr>
              <w:spacing w:after="0"/>
              <w:rPr>
                <w:sz w:val="1"/>
                <w:szCs w:val="1"/>
                <w:color w:val="auto"/>
              </w:rPr>
            </w:pPr>
          </w:p>
        </w:tc>
      </w:tr>
      <w:tr>
        <w:trPr>
          <w:trHeight w:val="121"/>
        </w:trPr>
        <w:tc>
          <w:tcPr>
            <w:tcW w:w="3680" w:type="dxa"/>
            <w:vAlign w:val="bottom"/>
            <w:tcBorders>
              <w:right w:val="single" w:sz="8" w:color="auto"/>
            </w:tcBorders>
            <w:gridSpan w:val="18"/>
          </w:tcPr>
          <w:p>
            <w:pPr>
              <w:spacing w:after="0" w:line="121" w:lineRule="exact"/>
              <w:rPr>
                <w:sz w:val="20"/>
                <w:szCs w:val="20"/>
                <w:color w:val="auto"/>
              </w:rPr>
            </w:pPr>
            <w:r>
              <w:rPr>
                <w:rFonts w:ascii="Arial" w:cs="Arial" w:eastAsia="Arial" w:hAnsi="Arial"/>
                <w:sz w:val="13"/>
                <w:szCs w:val="13"/>
                <w:color w:val="auto"/>
              </w:rPr>
              <w:t>Share based</w:t>
            </w:r>
          </w:p>
        </w:tc>
        <w:tc>
          <w:tcPr>
            <w:tcW w:w="7560" w:type="dxa"/>
            <w:vAlign w:val="bottom"/>
            <w:gridSpan w:val="41"/>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80" w:type="dxa"/>
            <w:vAlign w:val="bottom"/>
            <w:tcBorders>
              <w:right w:val="single" w:sz="8" w:color="auto"/>
            </w:tcBorders>
            <w:gridSpan w:val="18"/>
          </w:tcPr>
          <w:p>
            <w:pPr>
              <w:spacing w:after="0" w:line="135" w:lineRule="exact"/>
              <w:rPr>
                <w:sz w:val="20"/>
                <w:szCs w:val="20"/>
                <w:color w:val="auto"/>
              </w:rPr>
            </w:pPr>
            <w:r>
              <w:rPr>
                <w:rFonts w:ascii="Arial" w:cs="Arial" w:eastAsia="Arial" w:hAnsi="Arial"/>
                <w:sz w:val="13"/>
                <w:szCs w:val="13"/>
                <w:color w:val="auto"/>
              </w:rPr>
              <w:t>compensation</w:t>
            </w:r>
          </w:p>
        </w:tc>
        <w:tc>
          <w:tcPr>
            <w:tcW w:w="7560" w:type="dxa"/>
            <w:vAlign w:val="bottom"/>
            <w:gridSpan w:val="41"/>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Borders>
              <w:right w:val="single" w:sz="8" w:color="auto"/>
            </w:tcBorders>
            <w:gridSpan w:val="18"/>
          </w:tcPr>
          <w:p>
            <w:pPr>
              <w:spacing w:after="0" w:line="135" w:lineRule="exact"/>
              <w:rPr>
                <w:sz w:val="20"/>
                <w:szCs w:val="20"/>
                <w:color w:val="auto"/>
              </w:rPr>
            </w:pPr>
            <w:r>
              <w:rPr>
                <w:rFonts w:ascii="Arial" w:cs="Arial" w:eastAsia="Arial" w:hAnsi="Arial"/>
                <w:sz w:val="13"/>
                <w:szCs w:val="13"/>
                <w:color w:val="auto"/>
              </w:rPr>
              <w:t>- restatement</w:t>
            </w:r>
          </w:p>
        </w:tc>
        <w:tc>
          <w:tcPr>
            <w:tcW w:w="3220" w:type="dxa"/>
            <w:vAlign w:val="bottom"/>
            <w:gridSpan w:val="21"/>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2,129</w:t>
            </w:r>
          </w:p>
        </w:tc>
        <w:tc>
          <w:tcPr>
            <w:tcW w:w="300" w:type="dxa"/>
            <w:vAlign w:val="bottom"/>
            <w:gridSpan w:val="4"/>
          </w:tcPr>
          <w:p>
            <w:pPr>
              <w:spacing w:after="0"/>
              <w:rPr>
                <w:sz w:val="11"/>
                <w:szCs w:val="11"/>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(2,129 )</w:t>
            </w:r>
          </w:p>
        </w:tc>
        <w:tc>
          <w:tcPr>
            <w:tcW w:w="2260" w:type="dxa"/>
            <w:vAlign w:val="bottom"/>
            <w:gridSpan w:val="11"/>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Borders>
              <w:right w:val="single" w:sz="8" w:color="auto"/>
            </w:tcBorders>
            <w:gridSpan w:val="18"/>
          </w:tcPr>
          <w:p>
            <w:pPr>
              <w:spacing w:after="0"/>
              <w:rPr>
                <w:sz w:val="20"/>
                <w:szCs w:val="20"/>
                <w:color w:val="auto"/>
              </w:rPr>
            </w:pPr>
            <w:r>
              <w:rPr>
                <w:rFonts w:ascii="Arial" w:cs="Arial" w:eastAsia="Arial" w:hAnsi="Arial"/>
                <w:sz w:val="13"/>
                <w:szCs w:val="13"/>
                <w:color w:val="auto"/>
              </w:rPr>
              <w:t>(see note 1)</w:t>
            </w:r>
          </w:p>
        </w:tc>
        <w:tc>
          <w:tcPr>
            <w:tcW w:w="3220" w:type="dxa"/>
            <w:vAlign w:val="bottom"/>
            <w:gridSpan w:val="21"/>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gridSpan w:val="4"/>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60" w:type="dxa"/>
            <w:vAlign w:val="bottom"/>
            <w:gridSpan w:val="11"/>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60" w:type="dxa"/>
            <w:vAlign w:val="bottom"/>
            <w:tcBorders>
              <w:right w:val="single" w:sz="8" w:color="CCEEFF"/>
            </w:tcBorders>
            <w:gridSpan w:val="11"/>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Balance,</w:t>
            </w:r>
          </w:p>
        </w:tc>
        <w:tc>
          <w:tcPr>
            <w:tcW w:w="860" w:type="dxa"/>
            <w:vAlign w:val="bottom"/>
            <w:tcBorders>
              <w:right w:val="single" w:sz="8" w:color="CCEEFF"/>
            </w:tcBorders>
            <w:gridSpan w:val="5"/>
            <w:shd w:val="clear" w:color="auto" w:fill="CCEEFF"/>
          </w:tcPr>
          <w:p>
            <w:pPr>
              <w:spacing w:after="0"/>
              <w:rPr>
                <w:sz w:val="10"/>
                <w:szCs w:val="10"/>
                <w:color w:val="auto"/>
              </w:rPr>
            </w:pPr>
          </w:p>
        </w:tc>
        <w:tc>
          <w:tcPr>
            <w:tcW w:w="560" w:type="dxa"/>
            <w:vAlign w:val="bottom"/>
            <w:tcBorders>
              <w:right w:val="single" w:sz="8" w:color="auto"/>
            </w:tcBorders>
            <w:gridSpan w:val="2"/>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140" w:type="dxa"/>
            <w:vAlign w:val="bottom"/>
            <w:tcBorders>
              <w:right w:val="single" w:sz="8" w:color="CCEEFF"/>
            </w:tcBorders>
            <w:gridSpan w:val="14"/>
            <w:shd w:val="clear" w:color="auto" w:fill="CCEEFF"/>
          </w:tcPr>
          <w:p>
            <w:pPr>
              <w:spacing w:after="0"/>
              <w:rPr>
                <w:sz w:val="10"/>
                <w:szCs w:val="10"/>
                <w:color w:val="auto"/>
              </w:rPr>
            </w:pPr>
          </w:p>
        </w:tc>
        <w:tc>
          <w:tcPr>
            <w:tcW w:w="1500" w:type="dxa"/>
            <w:vAlign w:val="bottom"/>
            <w:tcBorders>
              <w:right w:val="single" w:sz="8" w:color="CCEEFF"/>
            </w:tcBorders>
            <w:gridSpan w:val="10"/>
            <w:shd w:val="clear" w:color="auto" w:fill="CCEEFF"/>
          </w:tcPr>
          <w:p>
            <w:pPr>
              <w:spacing w:after="0"/>
              <w:rPr>
                <w:sz w:val="10"/>
                <w:szCs w:val="10"/>
                <w:color w:val="auto"/>
              </w:rPr>
            </w:pPr>
          </w:p>
        </w:tc>
        <w:tc>
          <w:tcPr>
            <w:tcW w:w="940" w:type="dxa"/>
            <w:vAlign w:val="bottom"/>
            <w:tcBorders>
              <w:right w:val="single" w:sz="8" w:color="CCEEFF"/>
            </w:tcBorders>
            <w:gridSpan w:val="5"/>
            <w:shd w:val="clear" w:color="auto" w:fill="CCEEFF"/>
          </w:tcPr>
          <w:p>
            <w:pPr>
              <w:spacing w:after="0"/>
              <w:rPr>
                <w:sz w:val="10"/>
                <w:szCs w:val="10"/>
                <w:color w:val="auto"/>
              </w:rPr>
            </w:pPr>
          </w:p>
        </w:tc>
        <w:tc>
          <w:tcPr>
            <w:tcW w:w="940" w:type="dxa"/>
            <w:vAlign w:val="bottom"/>
            <w:tcBorders>
              <w:right w:val="single" w:sz="8" w:color="CCEEFF"/>
            </w:tcBorders>
            <w:gridSpan w:val="3"/>
            <w:shd w:val="clear" w:color="auto" w:fill="CCEEFF"/>
          </w:tcPr>
          <w:p>
            <w:pPr>
              <w:spacing w:after="0"/>
              <w:rPr>
                <w:sz w:val="10"/>
                <w:szCs w:val="10"/>
                <w:color w:val="auto"/>
              </w:rPr>
            </w:pPr>
          </w:p>
        </w:tc>
        <w:tc>
          <w:tcPr>
            <w:tcW w:w="1760" w:type="dxa"/>
            <w:vAlign w:val="bottom"/>
            <w:gridSpan w:val="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January 1,</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2021, as</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restated</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21,660</w:t>
            </w:r>
          </w:p>
        </w:tc>
        <w:tc>
          <w:tcPr>
            <w:tcW w:w="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(57,720)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(1,243)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391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(36,912)</w:t>
            </w:r>
          </w:p>
        </w:tc>
        <w:tc>
          <w:tcPr>
            <w:tcW w:w="0" w:type="dxa"/>
            <w:vAlign w:val="bottom"/>
          </w:tcPr>
          <w:p>
            <w:pPr>
              <w:spacing w:after="0"/>
              <w:rPr>
                <w:sz w:val="1"/>
                <w:szCs w:val="1"/>
                <w:color w:val="auto"/>
              </w:rPr>
            </w:pPr>
          </w:p>
        </w:tc>
      </w:tr>
      <w:tr>
        <w:trPr>
          <w:trHeight w:val="121"/>
        </w:trPr>
        <w:tc>
          <w:tcPr>
            <w:tcW w:w="3680" w:type="dxa"/>
            <w:vAlign w:val="bottom"/>
            <w:tcBorders>
              <w:right w:val="single" w:sz="8" w:color="auto"/>
            </w:tcBorders>
            <w:gridSpan w:val="18"/>
          </w:tcPr>
          <w:p>
            <w:pPr>
              <w:spacing w:after="0" w:line="121" w:lineRule="exact"/>
              <w:rPr>
                <w:sz w:val="20"/>
                <w:szCs w:val="20"/>
                <w:color w:val="auto"/>
              </w:rPr>
            </w:pPr>
            <w:r>
              <w:rPr>
                <w:rFonts w:ascii="Arial" w:cs="Arial" w:eastAsia="Arial" w:hAnsi="Arial"/>
                <w:sz w:val="13"/>
                <w:szCs w:val="13"/>
                <w:color w:val="auto"/>
              </w:rPr>
              <w:t>Share based</w:t>
            </w:r>
          </w:p>
        </w:tc>
        <w:tc>
          <w:tcPr>
            <w:tcW w:w="7560" w:type="dxa"/>
            <w:vAlign w:val="bottom"/>
            <w:gridSpan w:val="41"/>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Borders>
              <w:right w:val="single" w:sz="8" w:color="auto"/>
            </w:tcBorders>
            <w:gridSpan w:val="18"/>
          </w:tcPr>
          <w:p>
            <w:pPr>
              <w:spacing w:after="0"/>
              <w:rPr>
                <w:sz w:val="20"/>
                <w:szCs w:val="20"/>
                <w:color w:val="auto"/>
              </w:rPr>
            </w:pPr>
            <w:r>
              <w:rPr>
                <w:rFonts w:ascii="Arial" w:cs="Arial" w:eastAsia="Arial" w:hAnsi="Arial"/>
                <w:sz w:val="13"/>
                <w:szCs w:val="13"/>
                <w:color w:val="auto"/>
              </w:rPr>
              <w:t>compensation</w:t>
            </w:r>
          </w:p>
        </w:tc>
        <w:tc>
          <w:tcPr>
            <w:tcW w:w="6900" w:type="dxa"/>
            <w:vAlign w:val="bottom"/>
            <w:gridSpan w:val="39"/>
          </w:tcPr>
          <w:p>
            <w:pPr>
              <w:jc w:val="right"/>
              <w:ind w:right="6900"/>
              <w:spacing w:after="0"/>
              <w:rPr>
                <w:sz w:val="20"/>
                <w:szCs w:val="20"/>
                <w:color w:val="auto"/>
              </w:rPr>
            </w:pPr>
            <w:r>
              <w:rPr>
                <w:rFonts w:ascii="Arial" w:cs="Arial" w:eastAsia="Arial" w:hAnsi="Arial"/>
                <w:sz w:val="13"/>
                <w:szCs w:val="13"/>
                <w:color w:val="auto"/>
              </w:rPr>
              <w:t>797</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797</w:t>
            </w:r>
          </w:p>
        </w:tc>
        <w:tc>
          <w:tcPr>
            <w:tcW w:w="0" w:type="dxa"/>
            <w:vAlign w:val="bottom"/>
          </w:tcPr>
          <w:p>
            <w:pPr>
              <w:spacing w:after="0"/>
              <w:rPr>
                <w:sz w:val="1"/>
                <w:szCs w:val="1"/>
                <w:color w:val="auto"/>
              </w:rPr>
            </w:pPr>
          </w:p>
        </w:tc>
      </w:tr>
      <w:tr>
        <w:trPr>
          <w:trHeight w:val="121"/>
        </w:trPr>
        <w:tc>
          <w:tcPr>
            <w:tcW w:w="2260" w:type="dxa"/>
            <w:vAlign w:val="bottom"/>
            <w:tcBorders>
              <w:right w:val="single" w:sz="8" w:color="CCEEFF"/>
            </w:tcBorders>
            <w:gridSpan w:val="11"/>
            <w:shd w:val="clear" w:color="auto" w:fill="CCEEFF"/>
          </w:tcPr>
          <w:p>
            <w:pPr>
              <w:spacing w:after="0" w:line="121" w:lineRule="exact"/>
              <w:rPr>
                <w:sz w:val="20"/>
                <w:szCs w:val="20"/>
                <w:color w:val="auto"/>
              </w:rPr>
            </w:pPr>
            <w:r>
              <w:rPr>
                <w:rFonts w:ascii="Arial" w:cs="Arial" w:eastAsia="Arial" w:hAnsi="Arial"/>
                <w:sz w:val="13"/>
                <w:szCs w:val="13"/>
                <w:color w:val="auto"/>
              </w:rPr>
              <w:t>Issue of</w:t>
            </w:r>
          </w:p>
        </w:tc>
        <w:tc>
          <w:tcPr>
            <w:tcW w:w="860" w:type="dxa"/>
            <w:vAlign w:val="bottom"/>
            <w:tcBorders>
              <w:right w:val="single" w:sz="8" w:color="CCEEFF"/>
            </w:tcBorders>
            <w:gridSpan w:val="5"/>
            <w:shd w:val="clear" w:color="auto" w:fill="CCEEFF"/>
          </w:tcPr>
          <w:p>
            <w:pPr>
              <w:spacing w:after="0"/>
              <w:rPr>
                <w:sz w:val="10"/>
                <w:szCs w:val="10"/>
                <w:color w:val="auto"/>
              </w:rPr>
            </w:pPr>
          </w:p>
        </w:tc>
        <w:tc>
          <w:tcPr>
            <w:tcW w:w="560" w:type="dxa"/>
            <w:vAlign w:val="bottom"/>
            <w:tcBorders>
              <w:right w:val="single" w:sz="8" w:color="auto"/>
            </w:tcBorders>
            <w:gridSpan w:val="2"/>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140" w:type="dxa"/>
            <w:vAlign w:val="bottom"/>
            <w:tcBorders>
              <w:right w:val="single" w:sz="8" w:color="CCEEFF"/>
            </w:tcBorders>
            <w:gridSpan w:val="14"/>
            <w:shd w:val="clear" w:color="auto" w:fill="CCEEFF"/>
          </w:tcPr>
          <w:p>
            <w:pPr>
              <w:spacing w:after="0"/>
              <w:rPr>
                <w:sz w:val="10"/>
                <w:szCs w:val="10"/>
                <w:color w:val="auto"/>
              </w:rPr>
            </w:pPr>
          </w:p>
        </w:tc>
        <w:tc>
          <w:tcPr>
            <w:tcW w:w="1500" w:type="dxa"/>
            <w:vAlign w:val="bottom"/>
            <w:tcBorders>
              <w:right w:val="single" w:sz="8" w:color="CCEEFF"/>
            </w:tcBorders>
            <w:gridSpan w:val="10"/>
            <w:shd w:val="clear" w:color="auto" w:fill="CCEEFF"/>
          </w:tcPr>
          <w:p>
            <w:pPr>
              <w:spacing w:after="0"/>
              <w:rPr>
                <w:sz w:val="10"/>
                <w:szCs w:val="10"/>
                <w:color w:val="auto"/>
              </w:rPr>
            </w:pPr>
          </w:p>
        </w:tc>
        <w:tc>
          <w:tcPr>
            <w:tcW w:w="940" w:type="dxa"/>
            <w:vAlign w:val="bottom"/>
            <w:tcBorders>
              <w:right w:val="single" w:sz="8" w:color="CCEEFF"/>
            </w:tcBorders>
            <w:gridSpan w:val="5"/>
            <w:shd w:val="clear" w:color="auto" w:fill="CCEEFF"/>
          </w:tcPr>
          <w:p>
            <w:pPr>
              <w:spacing w:after="0"/>
              <w:rPr>
                <w:sz w:val="10"/>
                <w:szCs w:val="10"/>
                <w:color w:val="auto"/>
              </w:rPr>
            </w:pPr>
          </w:p>
        </w:tc>
        <w:tc>
          <w:tcPr>
            <w:tcW w:w="940" w:type="dxa"/>
            <w:vAlign w:val="bottom"/>
            <w:tcBorders>
              <w:right w:val="single" w:sz="8" w:color="CCEEFF"/>
            </w:tcBorders>
            <w:gridSpan w:val="3"/>
            <w:shd w:val="clear" w:color="auto" w:fill="CCEEFF"/>
          </w:tcPr>
          <w:p>
            <w:pPr>
              <w:spacing w:after="0"/>
              <w:rPr>
                <w:sz w:val="10"/>
                <w:szCs w:val="10"/>
                <w:color w:val="auto"/>
              </w:rPr>
            </w:pPr>
          </w:p>
        </w:tc>
        <w:tc>
          <w:tcPr>
            <w:tcW w:w="1760" w:type="dxa"/>
            <w:vAlign w:val="bottom"/>
            <w:gridSpan w:val="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color w:val="auto"/>
              </w:rPr>
              <w:t>Series B</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color w:val="auto"/>
              </w:rPr>
              <w:t>shares, net of</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color w:val="auto"/>
              </w:rPr>
              <w:t>issuance</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28,957</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121,837</w:t>
            </w:r>
          </w:p>
        </w:tc>
        <w:tc>
          <w:tcPr>
            <w:tcW w:w="2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680" w:type="dxa"/>
            <w:vAlign w:val="bottom"/>
            <w:tcBorders>
              <w:right w:val="single" w:sz="8" w:color="auto"/>
            </w:tcBorders>
            <w:gridSpan w:val="18"/>
          </w:tcPr>
          <w:p>
            <w:pPr>
              <w:spacing w:after="0" w:line="121" w:lineRule="exact"/>
              <w:rPr>
                <w:sz w:val="20"/>
                <w:szCs w:val="20"/>
                <w:color w:val="auto"/>
              </w:rPr>
            </w:pPr>
            <w:r>
              <w:rPr>
                <w:rFonts w:ascii="Arial" w:cs="Arial" w:eastAsia="Arial" w:hAnsi="Arial"/>
                <w:sz w:val="13"/>
                <w:szCs w:val="13"/>
                <w:color w:val="auto"/>
              </w:rPr>
              <w:t>Series B</w:t>
            </w:r>
          </w:p>
        </w:tc>
        <w:tc>
          <w:tcPr>
            <w:tcW w:w="7560" w:type="dxa"/>
            <w:vAlign w:val="bottom"/>
            <w:gridSpan w:val="41"/>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80" w:type="dxa"/>
            <w:vAlign w:val="bottom"/>
            <w:tcBorders>
              <w:right w:val="single" w:sz="8" w:color="auto"/>
            </w:tcBorders>
            <w:gridSpan w:val="18"/>
          </w:tcPr>
          <w:p>
            <w:pPr>
              <w:spacing w:after="0" w:line="135" w:lineRule="exact"/>
              <w:rPr>
                <w:sz w:val="20"/>
                <w:szCs w:val="20"/>
                <w:color w:val="auto"/>
              </w:rPr>
            </w:pPr>
            <w:r>
              <w:rPr>
                <w:rFonts w:ascii="Arial" w:cs="Arial" w:eastAsia="Arial" w:hAnsi="Arial"/>
                <w:sz w:val="13"/>
                <w:szCs w:val="13"/>
                <w:color w:val="auto"/>
              </w:rPr>
              <w:t>Shares issued</w:t>
            </w:r>
          </w:p>
        </w:tc>
        <w:tc>
          <w:tcPr>
            <w:tcW w:w="7560" w:type="dxa"/>
            <w:vAlign w:val="bottom"/>
            <w:gridSpan w:val="41"/>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Borders>
              <w:right w:val="single" w:sz="8" w:color="auto"/>
            </w:tcBorders>
            <w:gridSpan w:val="18"/>
          </w:tcPr>
          <w:p>
            <w:pPr>
              <w:spacing w:after="0" w:line="135" w:lineRule="exact"/>
              <w:rPr>
                <w:sz w:val="20"/>
                <w:szCs w:val="20"/>
                <w:color w:val="auto"/>
              </w:rPr>
            </w:pPr>
            <w:r>
              <w:rPr>
                <w:rFonts w:ascii="Arial" w:cs="Arial" w:eastAsia="Arial" w:hAnsi="Arial"/>
                <w:sz w:val="13"/>
                <w:szCs w:val="13"/>
                <w:color w:val="auto"/>
              </w:rPr>
              <w:t>on</w:t>
            </w:r>
          </w:p>
        </w:tc>
        <w:tc>
          <w:tcPr>
            <w:tcW w:w="7560" w:type="dxa"/>
            <w:vAlign w:val="bottom"/>
            <w:gridSpan w:val="41"/>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Borders>
              <w:right w:val="single" w:sz="8" w:color="auto"/>
            </w:tcBorders>
            <w:gridSpan w:val="18"/>
          </w:tcPr>
          <w:p>
            <w:pPr>
              <w:spacing w:after="0" w:line="135" w:lineRule="exact"/>
              <w:rPr>
                <w:sz w:val="20"/>
                <w:szCs w:val="20"/>
                <w:color w:val="auto"/>
              </w:rPr>
            </w:pPr>
            <w:r>
              <w:rPr>
                <w:rFonts w:ascii="Arial" w:cs="Arial" w:eastAsia="Arial" w:hAnsi="Arial"/>
                <w:sz w:val="13"/>
                <w:szCs w:val="13"/>
                <w:color w:val="auto"/>
              </w:rPr>
              <w:t>conversion of</w:t>
            </w:r>
          </w:p>
        </w:tc>
        <w:tc>
          <w:tcPr>
            <w:tcW w:w="7560" w:type="dxa"/>
            <w:vAlign w:val="bottom"/>
            <w:gridSpan w:val="41"/>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Borders>
              <w:right w:val="single" w:sz="8" w:color="auto"/>
            </w:tcBorders>
            <w:gridSpan w:val="18"/>
          </w:tcPr>
          <w:p>
            <w:pPr>
              <w:spacing w:after="0" w:line="135" w:lineRule="exact"/>
              <w:rPr>
                <w:sz w:val="20"/>
                <w:szCs w:val="20"/>
                <w:color w:val="auto"/>
              </w:rPr>
            </w:pPr>
            <w:r>
              <w:rPr>
                <w:rFonts w:ascii="Arial" w:cs="Arial" w:eastAsia="Arial" w:hAnsi="Arial"/>
                <w:sz w:val="13"/>
                <w:szCs w:val="13"/>
                <w:color w:val="auto"/>
              </w:rPr>
              <w:t>convertible</w:t>
            </w:r>
          </w:p>
        </w:tc>
        <w:tc>
          <w:tcPr>
            <w:tcW w:w="7560" w:type="dxa"/>
            <w:vAlign w:val="bottom"/>
            <w:gridSpan w:val="4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gridSpan w:val="2"/>
          </w:tcPr>
          <w:p>
            <w:pPr>
              <w:spacing w:after="0"/>
              <w:rPr>
                <w:sz w:val="20"/>
                <w:szCs w:val="20"/>
                <w:color w:val="auto"/>
              </w:rPr>
            </w:pPr>
            <w:r>
              <w:rPr>
                <w:rFonts w:ascii="Arial" w:cs="Arial" w:eastAsia="Arial" w:hAnsi="Arial"/>
                <w:sz w:val="13"/>
                <w:szCs w:val="13"/>
                <w:color w:val="auto"/>
              </w:rPr>
              <w:t>notes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12,421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53,721</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260" w:type="dxa"/>
            <w:vAlign w:val="bottom"/>
            <w:tcBorders>
              <w:right w:val="single" w:sz="8" w:color="CCEEFF"/>
            </w:tcBorders>
            <w:gridSpan w:val="11"/>
            <w:shd w:val="clear" w:color="auto" w:fill="CCEEFF"/>
          </w:tcPr>
          <w:p>
            <w:pPr>
              <w:spacing w:after="0" w:line="121" w:lineRule="exact"/>
              <w:rPr>
                <w:sz w:val="20"/>
                <w:szCs w:val="20"/>
                <w:color w:val="auto"/>
              </w:rPr>
            </w:pPr>
            <w:r>
              <w:rPr>
                <w:rFonts w:ascii="Arial" w:cs="Arial" w:eastAsia="Arial" w:hAnsi="Arial"/>
                <w:sz w:val="13"/>
                <w:szCs w:val="13"/>
                <w:color w:val="auto"/>
              </w:rPr>
              <w:t>Issue of</w:t>
            </w:r>
          </w:p>
        </w:tc>
        <w:tc>
          <w:tcPr>
            <w:tcW w:w="860" w:type="dxa"/>
            <w:vAlign w:val="bottom"/>
            <w:tcBorders>
              <w:right w:val="single" w:sz="8" w:color="CCEEFF"/>
            </w:tcBorders>
            <w:gridSpan w:val="5"/>
            <w:shd w:val="clear" w:color="auto" w:fill="CCEEFF"/>
          </w:tcPr>
          <w:p>
            <w:pPr>
              <w:spacing w:after="0"/>
              <w:rPr>
                <w:sz w:val="10"/>
                <w:szCs w:val="10"/>
                <w:color w:val="auto"/>
              </w:rPr>
            </w:pPr>
          </w:p>
        </w:tc>
        <w:tc>
          <w:tcPr>
            <w:tcW w:w="560" w:type="dxa"/>
            <w:vAlign w:val="bottom"/>
            <w:tcBorders>
              <w:right w:val="single" w:sz="8" w:color="auto"/>
            </w:tcBorders>
            <w:gridSpan w:val="2"/>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140" w:type="dxa"/>
            <w:vAlign w:val="bottom"/>
            <w:tcBorders>
              <w:right w:val="single" w:sz="8" w:color="CCEEFF"/>
            </w:tcBorders>
            <w:gridSpan w:val="14"/>
            <w:shd w:val="clear" w:color="auto" w:fill="CCEEFF"/>
          </w:tcPr>
          <w:p>
            <w:pPr>
              <w:spacing w:after="0"/>
              <w:rPr>
                <w:sz w:val="10"/>
                <w:szCs w:val="10"/>
                <w:color w:val="auto"/>
              </w:rPr>
            </w:pPr>
          </w:p>
        </w:tc>
        <w:tc>
          <w:tcPr>
            <w:tcW w:w="1500" w:type="dxa"/>
            <w:vAlign w:val="bottom"/>
            <w:tcBorders>
              <w:right w:val="single" w:sz="8" w:color="CCEEFF"/>
            </w:tcBorders>
            <w:gridSpan w:val="10"/>
            <w:shd w:val="clear" w:color="auto" w:fill="CCEEFF"/>
          </w:tcPr>
          <w:p>
            <w:pPr>
              <w:spacing w:after="0"/>
              <w:rPr>
                <w:sz w:val="10"/>
                <w:szCs w:val="10"/>
                <w:color w:val="auto"/>
              </w:rPr>
            </w:pPr>
          </w:p>
        </w:tc>
        <w:tc>
          <w:tcPr>
            <w:tcW w:w="940" w:type="dxa"/>
            <w:vAlign w:val="bottom"/>
            <w:tcBorders>
              <w:right w:val="single" w:sz="8" w:color="CCEEFF"/>
            </w:tcBorders>
            <w:gridSpan w:val="5"/>
            <w:shd w:val="clear" w:color="auto" w:fill="CCEEFF"/>
          </w:tcPr>
          <w:p>
            <w:pPr>
              <w:spacing w:after="0"/>
              <w:rPr>
                <w:sz w:val="10"/>
                <w:szCs w:val="10"/>
                <w:color w:val="auto"/>
              </w:rPr>
            </w:pPr>
          </w:p>
        </w:tc>
        <w:tc>
          <w:tcPr>
            <w:tcW w:w="940" w:type="dxa"/>
            <w:vAlign w:val="bottom"/>
            <w:tcBorders>
              <w:right w:val="single" w:sz="8" w:color="CCEEFF"/>
            </w:tcBorders>
            <w:gridSpan w:val="3"/>
            <w:shd w:val="clear" w:color="auto" w:fill="CCEEFF"/>
          </w:tcPr>
          <w:p>
            <w:pPr>
              <w:spacing w:after="0"/>
              <w:rPr>
                <w:sz w:val="10"/>
                <w:szCs w:val="10"/>
                <w:color w:val="auto"/>
              </w:rPr>
            </w:pPr>
          </w:p>
        </w:tc>
        <w:tc>
          <w:tcPr>
            <w:tcW w:w="1760" w:type="dxa"/>
            <w:vAlign w:val="bottom"/>
            <w:gridSpan w:val="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color w:val="auto"/>
              </w:rPr>
              <w:t>Deferred A</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(57)</w:t>
            </w:r>
          </w:p>
        </w:tc>
        <w:tc>
          <w:tcPr>
            <w:tcW w:w="2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63,443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86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21"/>
        </w:trPr>
        <w:tc>
          <w:tcPr>
            <w:tcW w:w="3680" w:type="dxa"/>
            <w:vAlign w:val="bottom"/>
            <w:tcBorders>
              <w:right w:val="single" w:sz="8" w:color="auto"/>
            </w:tcBorders>
            <w:gridSpan w:val="18"/>
          </w:tcPr>
          <w:p>
            <w:pPr>
              <w:spacing w:after="0" w:line="121" w:lineRule="exact"/>
              <w:rPr>
                <w:sz w:val="20"/>
                <w:szCs w:val="20"/>
                <w:color w:val="auto"/>
              </w:rPr>
            </w:pPr>
            <w:r>
              <w:rPr>
                <w:rFonts w:ascii="Arial" w:cs="Arial" w:eastAsia="Arial" w:hAnsi="Arial"/>
                <w:sz w:val="13"/>
                <w:szCs w:val="13"/>
                <w:color w:val="auto"/>
              </w:rPr>
              <w:t>Issue of</w:t>
            </w:r>
          </w:p>
        </w:tc>
        <w:tc>
          <w:tcPr>
            <w:tcW w:w="7560" w:type="dxa"/>
            <w:vAlign w:val="bottom"/>
            <w:gridSpan w:val="41"/>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80" w:type="dxa"/>
            <w:vAlign w:val="bottom"/>
            <w:tcBorders>
              <w:right w:val="single" w:sz="8" w:color="auto"/>
            </w:tcBorders>
            <w:gridSpan w:val="18"/>
          </w:tcPr>
          <w:p>
            <w:pPr>
              <w:spacing w:after="0" w:line="135" w:lineRule="exact"/>
              <w:rPr>
                <w:sz w:val="20"/>
                <w:szCs w:val="20"/>
                <w:color w:val="auto"/>
              </w:rPr>
            </w:pPr>
            <w:r>
              <w:rPr>
                <w:rFonts w:ascii="Arial" w:cs="Arial" w:eastAsia="Arial" w:hAnsi="Arial"/>
                <w:sz w:val="13"/>
                <w:szCs w:val="13"/>
                <w:color w:val="auto"/>
              </w:rPr>
              <w:t>ordinary</w:t>
            </w:r>
          </w:p>
        </w:tc>
        <w:tc>
          <w:tcPr>
            <w:tcW w:w="1380" w:type="dxa"/>
            <w:vAlign w:val="bottom"/>
            <w:gridSpan w:val="6"/>
          </w:tcPr>
          <w:p>
            <w:pPr>
              <w:spacing w:after="0"/>
              <w:rPr>
                <w:sz w:val="11"/>
                <w:szCs w:val="11"/>
                <w:color w:val="auto"/>
              </w:rPr>
            </w:pP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w:t>
            </w:r>
          </w:p>
        </w:tc>
        <w:tc>
          <w:tcPr>
            <w:tcW w:w="6080" w:type="dxa"/>
            <w:vAlign w:val="bottom"/>
            <w:gridSpan w:val="3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gridSpan w:val="2"/>
          </w:tcPr>
          <w:p>
            <w:pPr>
              <w:spacing w:after="0"/>
              <w:rPr>
                <w:sz w:val="20"/>
                <w:szCs w:val="20"/>
                <w:color w:val="auto"/>
              </w:rPr>
            </w:pPr>
            <w:r>
              <w:rPr>
                <w:rFonts w:ascii="Arial" w:cs="Arial" w:eastAsia="Arial" w:hAnsi="Arial"/>
                <w:sz w:val="13"/>
                <w:szCs w:val="13"/>
                <w:color w:val="auto"/>
              </w:rPr>
              <w:t>shares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w w:val="80"/>
              </w:rPr>
              <w:t>263,886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260" w:type="dxa"/>
            <w:vAlign w:val="bottom"/>
            <w:tcBorders>
              <w:right w:val="single" w:sz="8" w:color="CCEEFF"/>
            </w:tcBorders>
            <w:gridSpan w:val="11"/>
            <w:shd w:val="clear" w:color="auto" w:fill="CCEEFF"/>
          </w:tcPr>
          <w:p>
            <w:pPr>
              <w:spacing w:after="0" w:line="121" w:lineRule="exact"/>
              <w:rPr>
                <w:sz w:val="20"/>
                <w:szCs w:val="20"/>
                <w:color w:val="auto"/>
              </w:rPr>
            </w:pPr>
            <w:r>
              <w:rPr>
                <w:rFonts w:ascii="Arial" w:cs="Arial" w:eastAsia="Arial" w:hAnsi="Arial"/>
                <w:sz w:val="13"/>
                <w:szCs w:val="13"/>
                <w:color w:val="auto"/>
              </w:rPr>
              <w:t>Foreign</w:t>
            </w:r>
          </w:p>
        </w:tc>
        <w:tc>
          <w:tcPr>
            <w:tcW w:w="860" w:type="dxa"/>
            <w:vAlign w:val="bottom"/>
            <w:tcBorders>
              <w:right w:val="single" w:sz="8" w:color="CCEEFF"/>
            </w:tcBorders>
            <w:gridSpan w:val="5"/>
            <w:shd w:val="clear" w:color="auto" w:fill="CCEEFF"/>
          </w:tcPr>
          <w:p>
            <w:pPr>
              <w:spacing w:after="0"/>
              <w:rPr>
                <w:sz w:val="10"/>
                <w:szCs w:val="10"/>
                <w:color w:val="auto"/>
              </w:rPr>
            </w:pPr>
          </w:p>
        </w:tc>
        <w:tc>
          <w:tcPr>
            <w:tcW w:w="560" w:type="dxa"/>
            <w:vAlign w:val="bottom"/>
            <w:tcBorders>
              <w:right w:val="single" w:sz="8" w:color="auto"/>
            </w:tcBorders>
            <w:gridSpan w:val="2"/>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140" w:type="dxa"/>
            <w:vAlign w:val="bottom"/>
            <w:tcBorders>
              <w:right w:val="single" w:sz="8" w:color="CCEEFF"/>
            </w:tcBorders>
            <w:gridSpan w:val="14"/>
            <w:shd w:val="clear" w:color="auto" w:fill="CCEEFF"/>
          </w:tcPr>
          <w:p>
            <w:pPr>
              <w:spacing w:after="0"/>
              <w:rPr>
                <w:sz w:val="10"/>
                <w:szCs w:val="10"/>
                <w:color w:val="auto"/>
              </w:rPr>
            </w:pPr>
          </w:p>
        </w:tc>
        <w:tc>
          <w:tcPr>
            <w:tcW w:w="1500" w:type="dxa"/>
            <w:vAlign w:val="bottom"/>
            <w:tcBorders>
              <w:right w:val="single" w:sz="8" w:color="CCEEFF"/>
            </w:tcBorders>
            <w:gridSpan w:val="10"/>
            <w:shd w:val="clear" w:color="auto" w:fill="CCEEFF"/>
          </w:tcPr>
          <w:p>
            <w:pPr>
              <w:spacing w:after="0"/>
              <w:rPr>
                <w:sz w:val="10"/>
                <w:szCs w:val="10"/>
                <w:color w:val="auto"/>
              </w:rPr>
            </w:pPr>
          </w:p>
        </w:tc>
        <w:tc>
          <w:tcPr>
            <w:tcW w:w="940" w:type="dxa"/>
            <w:vAlign w:val="bottom"/>
            <w:tcBorders>
              <w:right w:val="single" w:sz="8" w:color="CCEEFF"/>
            </w:tcBorders>
            <w:gridSpan w:val="5"/>
            <w:shd w:val="clear" w:color="auto" w:fill="CCEEFF"/>
          </w:tcPr>
          <w:p>
            <w:pPr>
              <w:spacing w:after="0"/>
              <w:rPr>
                <w:sz w:val="10"/>
                <w:szCs w:val="10"/>
                <w:color w:val="auto"/>
              </w:rPr>
            </w:pPr>
          </w:p>
        </w:tc>
        <w:tc>
          <w:tcPr>
            <w:tcW w:w="940" w:type="dxa"/>
            <w:vAlign w:val="bottom"/>
            <w:tcBorders>
              <w:right w:val="single" w:sz="8" w:color="CCEEFF"/>
            </w:tcBorders>
            <w:gridSpan w:val="3"/>
            <w:shd w:val="clear" w:color="auto" w:fill="CCEEFF"/>
          </w:tcPr>
          <w:p>
            <w:pPr>
              <w:spacing w:after="0"/>
              <w:rPr>
                <w:sz w:val="10"/>
                <w:szCs w:val="10"/>
                <w:color w:val="auto"/>
              </w:rPr>
            </w:pPr>
          </w:p>
        </w:tc>
        <w:tc>
          <w:tcPr>
            <w:tcW w:w="1760" w:type="dxa"/>
            <w:vAlign w:val="bottom"/>
            <w:gridSpan w:val="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color w:val="auto"/>
              </w:rPr>
              <w:t>currency</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color w:val="auto"/>
              </w:rPr>
              <w:t>translation</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adjustments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(1,420)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(1,416)</w:t>
            </w:r>
          </w:p>
        </w:tc>
        <w:tc>
          <w:tcPr>
            <w:tcW w:w="0" w:type="dxa"/>
            <w:vAlign w:val="bottom"/>
          </w:tcPr>
          <w:p>
            <w:pPr>
              <w:spacing w:after="0"/>
              <w:rPr>
                <w:sz w:val="1"/>
                <w:szCs w:val="1"/>
                <w:color w:val="auto"/>
              </w:rPr>
            </w:pPr>
          </w:p>
        </w:tc>
      </w:tr>
      <w:tr>
        <w:trPr>
          <w:trHeight w:val="148"/>
        </w:trPr>
        <w:tc>
          <w:tcPr>
            <w:tcW w:w="92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(15,268)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(118)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(15,386)</w:t>
            </w:r>
          </w:p>
        </w:tc>
        <w:tc>
          <w:tcPr>
            <w:tcW w:w="0" w:type="dxa"/>
            <w:vAlign w:val="bottom"/>
          </w:tcPr>
          <w:p>
            <w:pPr>
              <w:spacing w:after="0"/>
              <w:rPr>
                <w:sz w:val="1"/>
                <w:szCs w:val="1"/>
                <w:color w:val="auto"/>
              </w:rPr>
            </w:pPr>
          </w:p>
        </w:tc>
      </w:tr>
      <w:tr>
        <w:trPr>
          <w:trHeight w:val="97"/>
        </w:trPr>
        <w:tc>
          <w:tcPr>
            <w:tcW w:w="76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0"/>
                <w:szCs w:val="10"/>
                <w:b w:val="1"/>
                <w:bCs w:val="1"/>
                <w:color w:val="auto"/>
              </w:rPr>
              <w:t>Balance,</w:t>
            </w:r>
          </w:p>
        </w:tc>
        <w:tc>
          <w:tcPr>
            <w:tcW w:w="560" w:type="dxa"/>
            <w:vAlign w:val="bottom"/>
            <w:tcBorders>
              <w:top w:val="single" w:sz="8" w:color="auto"/>
            </w:tcBorders>
            <w:gridSpan w:val="3"/>
            <w:shd w:val="clear" w:color="auto" w:fill="CCEEFF"/>
          </w:tcPr>
          <w:p>
            <w:pPr>
              <w:spacing w:after="0"/>
              <w:rPr>
                <w:sz w:val="8"/>
                <w:szCs w:val="8"/>
                <w:color w:val="auto"/>
              </w:rPr>
            </w:pPr>
          </w:p>
        </w:tc>
        <w:tc>
          <w:tcPr>
            <w:tcW w:w="180" w:type="dxa"/>
            <w:vAlign w:val="bottom"/>
            <w:tcBorders>
              <w:top w:val="single" w:sz="8" w:color="CCEEFF"/>
            </w:tcBorders>
            <w:gridSpan w:val="3"/>
            <w:shd w:val="clear" w:color="auto" w:fill="CCEEFF"/>
          </w:tcPr>
          <w:p>
            <w:pPr>
              <w:spacing w:after="0"/>
              <w:rPr>
                <w:sz w:val="8"/>
                <w:szCs w:val="8"/>
                <w:color w:val="auto"/>
              </w:rPr>
            </w:pPr>
          </w:p>
        </w:tc>
        <w:tc>
          <w:tcPr>
            <w:tcW w:w="580" w:type="dxa"/>
            <w:vAlign w:val="bottom"/>
            <w:tcBorders>
              <w:top w:val="single" w:sz="8" w:color="auto"/>
            </w:tcBorders>
            <w:gridSpan w:val="3"/>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40" w:type="dxa"/>
            <w:vAlign w:val="bottom"/>
            <w:tcBorders>
              <w:top w:val="single" w:sz="8" w:color="auto"/>
            </w:tcBorders>
            <w:gridSpan w:val="2"/>
            <w:shd w:val="clear" w:color="auto" w:fill="CCEEFF"/>
          </w:tcPr>
          <w:p>
            <w:pPr>
              <w:spacing w:after="0"/>
              <w:rPr>
                <w:sz w:val="8"/>
                <w:szCs w:val="8"/>
                <w:color w:val="auto"/>
              </w:rPr>
            </w:pPr>
          </w:p>
        </w:tc>
        <w:tc>
          <w:tcPr>
            <w:tcW w:w="320" w:type="dxa"/>
            <w:vAlign w:val="bottom"/>
            <w:tcBorders>
              <w:top w:val="single" w:sz="8" w:color="CCEEFF"/>
              <w:right w:val="single" w:sz="8" w:color="CCEEFF"/>
            </w:tcBorders>
            <w:gridSpan w:val="3"/>
            <w:shd w:val="clear" w:color="auto" w:fill="CCEEFF"/>
          </w:tcPr>
          <w:p>
            <w:pPr>
              <w:spacing w:after="0"/>
              <w:rPr>
                <w:sz w:val="8"/>
                <w:szCs w:val="8"/>
                <w:color w:val="auto"/>
              </w:rPr>
            </w:pPr>
          </w:p>
        </w:tc>
        <w:tc>
          <w:tcPr>
            <w:tcW w:w="560" w:type="dxa"/>
            <w:vAlign w:val="bottom"/>
            <w:tcBorders>
              <w:top w:val="single" w:sz="8" w:color="auto"/>
              <w:right w:val="single" w:sz="8" w:color="auto"/>
            </w:tcBorders>
            <w:gridSpan w:val="2"/>
            <w:shd w:val="clear" w:color="auto" w:fill="CCEEFF"/>
          </w:tcPr>
          <w:p>
            <w:pPr>
              <w:spacing w:after="0"/>
              <w:rPr>
                <w:sz w:val="8"/>
                <w:szCs w:val="8"/>
                <w:color w:val="auto"/>
              </w:rPr>
            </w:pPr>
          </w:p>
        </w:tc>
        <w:tc>
          <w:tcPr>
            <w:tcW w:w="280" w:type="dxa"/>
            <w:vAlign w:val="bottom"/>
            <w:tcBorders>
              <w:top w:val="single" w:sz="8" w:color="CCEEFF"/>
              <w:right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620" w:type="dxa"/>
            <w:vAlign w:val="bottom"/>
            <w:tcBorders>
              <w:top w:val="single" w:sz="8" w:color="auto"/>
            </w:tcBorders>
            <w:gridSpan w:val="3"/>
            <w:shd w:val="clear" w:color="auto" w:fill="CCEEFF"/>
          </w:tcPr>
          <w:p>
            <w:pPr>
              <w:spacing w:after="0"/>
              <w:rPr>
                <w:sz w:val="8"/>
                <w:szCs w:val="8"/>
                <w:color w:val="auto"/>
              </w:rPr>
            </w:pPr>
          </w:p>
        </w:tc>
        <w:tc>
          <w:tcPr>
            <w:tcW w:w="160" w:type="dxa"/>
            <w:vAlign w:val="bottom"/>
            <w:tcBorders>
              <w:top w:val="single" w:sz="8" w:color="CCEEFF"/>
            </w:tcBorders>
            <w:gridSpan w:val="3"/>
            <w:shd w:val="clear" w:color="auto" w:fill="CCEEFF"/>
          </w:tcPr>
          <w:p>
            <w:pPr>
              <w:spacing w:after="0"/>
              <w:rPr>
                <w:sz w:val="8"/>
                <w:szCs w:val="8"/>
                <w:color w:val="auto"/>
              </w:rPr>
            </w:pPr>
          </w:p>
        </w:tc>
        <w:tc>
          <w:tcPr>
            <w:tcW w:w="560" w:type="dxa"/>
            <w:vAlign w:val="bottom"/>
            <w:tcBorders>
              <w:top w:val="single" w:sz="8" w:color="auto"/>
            </w:tcBorders>
            <w:gridSpan w:val="2"/>
            <w:shd w:val="clear" w:color="auto" w:fill="CCEEFF"/>
          </w:tcPr>
          <w:p>
            <w:pPr>
              <w:spacing w:after="0"/>
              <w:rPr>
                <w:sz w:val="8"/>
                <w:szCs w:val="8"/>
                <w:color w:val="auto"/>
              </w:rPr>
            </w:pPr>
          </w:p>
        </w:tc>
        <w:tc>
          <w:tcPr>
            <w:tcW w:w="240" w:type="dxa"/>
            <w:vAlign w:val="bottom"/>
            <w:tcBorders>
              <w:top w:val="single" w:sz="8" w:color="CCEEFF"/>
              <w:right w:val="single" w:sz="8" w:color="CCEEFF"/>
            </w:tcBorders>
            <w:gridSpan w:val="3"/>
            <w:shd w:val="clear" w:color="auto" w:fill="CCEEFF"/>
          </w:tcPr>
          <w:p>
            <w:pPr>
              <w:spacing w:after="0"/>
              <w:rPr>
                <w:sz w:val="8"/>
                <w:szCs w:val="8"/>
                <w:color w:val="auto"/>
              </w:rPr>
            </w:pPr>
          </w:p>
        </w:tc>
        <w:tc>
          <w:tcPr>
            <w:tcW w:w="500" w:type="dxa"/>
            <w:vAlign w:val="bottom"/>
            <w:tcBorders>
              <w:top w:val="single" w:sz="8" w:color="auto"/>
            </w:tcBorders>
            <w:gridSpan w:val="2"/>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640" w:type="dxa"/>
            <w:vAlign w:val="bottom"/>
            <w:tcBorders>
              <w:top w:val="single" w:sz="8" w:color="auto"/>
            </w:tcBorders>
            <w:gridSpan w:val="3"/>
            <w:shd w:val="clear" w:color="auto" w:fill="CCEEFF"/>
          </w:tcPr>
          <w:p>
            <w:pPr>
              <w:spacing w:after="0"/>
              <w:rPr>
                <w:sz w:val="8"/>
                <w:szCs w:val="8"/>
                <w:color w:val="auto"/>
              </w:rPr>
            </w:pPr>
          </w:p>
        </w:tc>
        <w:tc>
          <w:tcPr>
            <w:tcW w:w="200" w:type="dxa"/>
            <w:vAlign w:val="bottom"/>
            <w:tcBorders>
              <w:top w:val="single" w:sz="8" w:color="CCEEFF"/>
              <w:right w:val="single" w:sz="8" w:color="CCEEFF"/>
            </w:tcBorders>
            <w:gridSpan w:val="3"/>
            <w:shd w:val="clear" w:color="auto" w:fill="CCEEFF"/>
          </w:tcPr>
          <w:p>
            <w:pPr>
              <w:spacing w:after="0"/>
              <w:rPr>
                <w:sz w:val="8"/>
                <w:szCs w:val="8"/>
                <w:color w:val="auto"/>
              </w:rPr>
            </w:pPr>
          </w:p>
        </w:tc>
        <w:tc>
          <w:tcPr>
            <w:tcW w:w="660" w:type="dxa"/>
            <w:vAlign w:val="bottom"/>
            <w:tcBorders>
              <w:top w:val="single" w:sz="8" w:color="auto"/>
            </w:tcBorders>
            <w:gridSpan w:val="2"/>
            <w:shd w:val="clear" w:color="auto" w:fill="CCEEFF"/>
          </w:tcPr>
          <w:p>
            <w:pPr>
              <w:spacing w:after="0"/>
              <w:rPr>
                <w:sz w:val="8"/>
                <w:szCs w:val="8"/>
                <w:color w:val="auto"/>
              </w:rPr>
            </w:pPr>
          </w:p>
        </w:tc>
        <w:tc>
          <w:tcPr>
            <w:tcW w:w="280" w:type="dxa"/>
            <w:vAlign w:val="bottom"/>
            <w:tcBorders>
              <w:top w:val="single" w:sz="8" w:color="CCEEFF"/>
              <w:right w:val="single" w:sz="8" w:color="CCEEFF"/>
            </w:tcBorders>
            <w:gridSpan w:val="3"/>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gridSpan w:val="2"/>
            <w:shd w:val="clear" w:color="auto" w:fill="CCEEFF"/>
          </w:tcPr>
          <w:p>
            <w:pPr>
              <w:spacing w:after="0"/>
              <w:rPr>
                <w:sz w:val="8"/>
                <w:szCs w:val="8"/>
                <w:color w:val="auto"/>
              </w:rPr>
            </w:pPr>
          </w:p>
        </w:tc>
        <w:tc>
          <w:tcPr>
            <w:tcW w:w="780" w:type="dxa"/>
            <w:vAlign w:val="bottom"/>
            <w:tcBorders>
              <w:top w:val="single" w:sz="8" w:color="auto"/>
            </w:tcBorders>
            <w:gridSpan w:val="2"/>
            <w:shd w:val="clear" w:color="auto" w:fill="CCEEFF"/>
          </w:tcPr>
          <w:p>
            <w:pPr>
              <w:spacing w:after="0"/>
              <w:rPr>
                <w:sz w:val="8"/>
                <w:szCs w:val="8"/>
                <w:color w:val="auto"/>
              </w:rPr>
            </w:pPr>
          </w:p>
        </w:tc>
        <w:tc>
          <w:tcPr>
            <w:tcW w:w="180" w:type="dxa"/>
            <w:vAlign w:val="bottom"/>
            <w:tcBorders>
              <w:top w:val="single" w:sz="8" w:color="CCEEFF"/>
            </w:tcBorders>
            <w:gridSpan w:val="3"/>
            <w:shd w:val="clear" w:color="auto" w:fill="CCEEFF"/>
          </w:tcPr>
          <w:p>
            <w:pPr>
              <w:spacing w:after="0"/>
              <w:rPr>
                <w:sz w:val="8"/>
                <w:szCs w:val="8"/>
                <w:color w:val="auto"/>
              </w:rPr>
            </w:pPr>
          </w:p>
        </w:tc>
        <w:tc>
          <w:tcPr>
            <w:tcW w:w="740" w:type="dxa"/>
            <w:vAlign w:val="bottom"/>
            <w:tcBorders>
              <w:top w:val="single" w:sz="8" w:color="auto"/>
            </w:tcBorders>
            <w:gridSpan w:val="2"/>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March 31,</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2021</w:t>
            </w: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22,065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center"/>
              <w:ind w:right="37"/>
              <w:spacing w:after="0"/>
              <w:rPr>
                <w:sz w:val="20"/>
                <w:szCs w:val="20"/>
                <w:color w:val="auto"/>
              </w:rPr>
            </w:pPr>
            <w:r>
              <w:rPr>
                <w:rFonts w:ascii="Arial" w:cs="Arial" w:eastAsia="Arial" w:hAnsi="Arial"/>
                <w:sz w:val="13"/>
                <w:szCs w:val="13"/>
                <w:b w:val="1"/>
                <w:bCs w:val="1"/>
                <w:color w:val="auto"/>
                <w:w w:val="82"/>
              </w:rPr>
              <w:t>$</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33,736</w:t>
            </w:r>
          </w:p>
        </w:tc>
        <w:tc>
          <w:tcPr>
            <w:tcW w:w="18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41,378</w:t>
            </w:r>
          </w:p>
        </w:tc>
        <w:tc>
          <w:tcPr>
            <w:tcW w:w="2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3"/>
              </w:rPr>
              <w:t>175,501</w:t>
            </w:r>
          </w:p>
        </w:tc>
        <w:tc>
          <w:tcPr>
            <w:tcW w:w="28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71"/>
              </w:rPr>
              <w:t>8,224,344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center"/>
              <w:ind w:right="17"/>
              <w:spacing w:after="0"/>
              <w:rPr>
                <w:sz w:val="20"/>
                <w:szCs w:val="20"/>
                <w:color w:val="auto"/>
              </w:rPr>
            </w:pPr>
            <w:r>
              <w:rPr>
                <w:rFonts w:ascii="Arial" w:cs="Arial" w:eastAsia="Arial" w:hAnsi="Arial"/>
                <w:sz w:val="13"/>
                <w:szCs w:val="13"/>
                <w:b w:val="1"/>
                <w:bCs w:val="1"/>
                <w:color w:val="auto"/>
                <w:w w:val="82"/>
              </w:rPr>
              <w:t>$</w:t>
            </w:r>
          </w:p>
        </w:tc>
        <w:tc>
          <w:tcPr>
            <w:tcW w:w="4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63,443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82"/>
              </w:rPr>
              <w:t>86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22,457</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1"/>
                <w:szCs w:val="11"/>
                <w:b w:val="1"/>
                <w:bCs w:val="1"/>
                <w:color w:val="auto"/>
              </w:rPr>
              <w:t>(72,988</w:t>
            </w:r>
            <w:r>
              <w:rPr>
                <w:rFonts w:ascii="Arial" w:cs="Arial" w:eastAsia="Arial" w:hAnsi="Arial"/>
                <w:sz w:val="20"/>
                <w:szCs w:val="20"/>
                <w:b w:val="1"/>
                <w:bCs w:val="1"/>
                <w:color w:val="auto"/>
                <w:vertAlign w:val="superscript"/>
              </w:rPr>
              <w:t>)</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CCEEFF"/>
            </w:tcBorders>
            <w:gridSpan w:val="3"/>
            <w:shd w:val="clear" w:color="auto" w:fill="CCEEFF"/>
          </w:tcPr>
          <w:p>
            <w:pPr>
              <w:jc w:val="right"/>
              <w:ind w:right="160"/>
              <w:spacing w:after="0" w:line="181" w:lineRule="exact"/>
              <w:rPr>
                <w:sz w:val="20"/>
                <w:szCs w:val="20"/>
                <w:color w:val="auto"/>
              </w:rPr>
            </w:pPr>
            <w:r>
              <w:rPr>
                <w:rFonts w:ascii="Arial" w:cs="Arial" w:eastAsia="Arial" w:hAnsi="Arial"/>
                <w:sz w:val="11"/>
                <w:szCs w:val="11"/>
                <w:b w:val="1"/>
                <w:bCs w:val="1"/>
                <w:color w:val="auto"/>
              </w:rPr>
              <w:t>(2,663</w:t>
            </w:r>
            <w:r>
              <w:rPr>
                <w:rFonts w:ascii="Arial" w:cs="Arial" w:eastAsia="Arial" w:hAnsi="Arial"/>
                <w:sz w:val="20"/>
                <w:szCs w:val="20"/>
                <w:b w:val="1"/>
                <w:bCs w:val="1"/>
                <w:color w:val="auto"/>
                <w:vertAlign w:val="superscript"/>
              </w:rPr>
              <w:t>)</w:t>
            </w:r>
          </w:p>
        </w:tc>
        <w:tc>
          <w:tcPr>
            <w:tcW w:w="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277</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1"/>
                <w:szCs w:val="11"/>
                <w:b w:val="1"/>
                <w:bCs w:val="1"/>
                <w:color w:val="auto"/>
              </w:rPr>
              <w:t>(52,831</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CCEEFF"/>
              <w:right w:val="single" w:sz="8" w:color="auto"/>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right w:val="single" w:sz="8" w:color="auto"/>
            </w:tcBorders>
            <w:gridSpan w:val="2"/>
          </w:tcPr>
          <w:p>
            <w:pPr>
              <w:spacing w:after="0" w:line="20" w:lineRule="exact"/>
              <w:rPr>
                <w:sz w:val="1"/>
                <w:szCs w:val="1"/>
                <w:color w:val="auto"/>
              </w:rPr>
            </w:pPr>
          </w:p>
        </w:tc>
        <w:tc>
          <w:tcPr>
            <w:tcW w:w="50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gridSpan w:val="2"/>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8"/>
          </w:tcPr>
          <w:p>
            <w:pPr>
              <w:jc w:val="right"/>
              <w:ind w:right="460"/>
              <w:spacing w:after="0"/>
              <w:rPr>
                <w:sz w:val="20"/>
                <w:szCs w:val="20"/>
                <w:color w:val="auto"/>
              </w:rPr>
            </w:pPr>
            <w:r>
              <w:rPr>
                <w:rFonts w:ascii="Arial" w:cs="Arial" w:eastAsia="Arial" w:hAnsi="Arial"/>
                <w:sz w:val="13"/>
                <w:szCs w:val="13"/>
                <w:b w:val="1"/>
                <w:bCs w:val="1"/>
                <w:color w:val="auto"/>
                <w:w w:val="87"/>
              </w:rPr>
              <w:t>Three months ended March 31, 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gridSpan w:val="7"/>
          </w:tcPr>
          <w:p>
            <w:pPr>
              <w:jc w:val="center"/>
              <w:ind w:right="460"/>
              <w:spacing w:after="0" w:line="110" w:lineRule="exact"/>
              <w:rPr>
                <w:sz w:val="20"/>
                <w:szCs w:val="20"/>
                <w:color w:val="auto"/>
              </w:rPr>
            </w:pPr>
            <w:r>
              <w:rPr>
                <w:rFonts w:ascii="Arial" w:cs="Arial" w:eastAsia="Arial" w:hAnsi="Arial"/>
                <w:sz w:val="12"/>
                <w:szCs w:val="12"/>
                <w:b w:val="1"/>
                <w:bCs w:val="1"/>
                <w:color w:val="auto"/>
                <w:w w:val="91"/>
              </w:rPr>
              <w:t>Series A</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4"/>
          </w:tcPr>
          <w:p>
            <w:pPr>
              <w:jc w:val="center"/>
              <w:ind w:right="400"/>
              <w:spacing w:after="0" w:line="110" w:lineRule="exact"/>
              <w:rPr>
                <w:sz w:val="20"/>
                <w:szCs w:val="20"/>
                <w:color w:val="auto"/>
              </w:rPr>
            </w:pPr>
            <w:r>
              <w:rPr>
                <w:rFonts w:ascii="Arial" w:cs="Arial" w:eastAsia="Arial" w:hAnsi="Arial"/>
                <w:sz w:val="12"/>
                <w:szCs w:val="12"/>
                <w:b w:val="1"/>
                <w:bCs w:val="1"/>
                <w:color w:val="auto"/>
                <w:w w:val="91"/>
              </w:rPr>
              <w:t>Series B</w:t>
            </w:r>
          </w:p>
        </w:tc>
        <w:tc>
          <w:tcPr>
            <w:tcW w:w="28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8"/>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00" w:type="dxa"/>
            <w:vAlign w:val="bottom"/>
          </w:tcPr>
          <w:p>
            <w:pPr>
              <w:spacing w:after="0"/>
              <w:rPr>
                <w:sz w:val="11"/>
                <w:szCs w:val="11"/>
                <w:color w:val="auto"/>
              </w:rPr>
            </w:pPr>
          </w:p>
        </w:tc>
        <w:tc>
          <w:tcPr>
            <w:tcW w:w="132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86"/>
              </w:rPr>
              <w:t>Redeemable</w:t>
            </w:r>
          </w:p>
        </w:tc>
        <w:tc>
          <w:tcPr>
            <w:tcW w:w="28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9"/>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Convertible Preferred</w:t>
            </w:r>
          </w:p>
        </w:tc>
        <w:tc>
          <w:tcPr>
            <w:tcW w:w="100" w:type="dxa"/>
            <w:vAlign w:val="bottom"/>
          </w:tcPr>
          <w:p>
            <w:pPr>
              <w:spacing w:after="0"/>
              <w:rPr>
                <w:sz w:val="11"/>
                <w:szCs w:val="11"/>
                <w:color w:val="auto"/>
              </w:rPr>
            </w:pPr>
          </w:p>
        </w:tc>
        <w:tc>
          <w:tcPr>
            <w:tcW w:w="132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90"/>
              </w:rPr>
              <w:t>Convertible Preferred</w:t>
            </w:r>
          </w:p>
        </w:tc>
        <w:tc>
          <w:tcPr>
            <w:tcW w:w="28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7"/>
          </w:tcPr>
          <w:p>
            <w:pPr>
              <w:jc w:val="center"/>
              <w:ind w:right="46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82"/>
              </w:rPr>
              <w:t>Shares</w:t>
            </w:r>
          </w:p>
        </w:tc>
        <w:tc>
          <w:tcPr>
            <w:tcW w:w="280" w:type="dxa"/>
            <w:vAlign w:val="bottom"/>
            <w:tcBorders>
              <w:right w:val="single" w:sz="8" w:color="auto"/>
            </w:tcBorders>
          </w:tcPr>
          <w:p>
            <w:pPr>
              <w:spacing w:after="0"/>
              <w:rPr>
                <w:sz w:val="13"/>
                <w:szCs w:val="13"/>
                <w:color w:val="auto"/>
              </w:rPr>
            </w:pPr>
          </w:p>
        </w:tc>
        <w:tc>
          <w:tcPr>
            <w:tcW w:w="1100" w:type="dxa"/>
            <w:vAlign w:val="bottom"/>
            <w:gridSpan w:val="5"/>
          </w:tcPr>
          <w:p>
            <w:pPr>
              <w:jc w:val="center"/>
              <w:ind w:left="19"/>
              <w:spacing w:after="0"/>
              <w:rPr>
                <w:sz w:val="20"/>
                <w:szCs w:val="20"/>
                <w:color w:val="auto"/>
              </w:rPr>
            </w:pPr>
            <w:r>
              <w:rPr>
                <w:rFonts w:ascii="Arial" w:cs="Arial" w:eastAsia="Arial" w:hAnsi="Arial"/>
                <w:sz w:val="13"/>
                <w:szCs w:val="13"/>
                <w:b w:val="1"/>
                <w:bCs w:val="1"/>
                <w:color w:val="auto"/>
                <w:w w:val="88"/>
              </w:rPr>
              <w:t>Ordinary Shares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8"/>
          </w:tcPr>
          <w:p>
            <w:pPr>
              <w:jc w:val="right"/>
              <w:ind w:right="240"/>
              <w:spacing w:after="0"/>
              <w:rPr>
                <w:sz w:val="20"/>
                <w:szCs w:val="20"/>
                <w:color w:val="auto"/>
              </w:rPr>
            </w:pPr>
            <w:r>
              <w:rPr>
                <w:rFonts w:ascii="Arial" w:cs="Arial" w:eastAsia="Arial" w:hAnsi="Arial"/>
                <w:sz w:val="13"/>
                <w:szCs w:val="13"/>
                <w:b w:val="1"/>
                <w:bCs w:val="1"/>
                <w:color w:val="auto"/>
                <w:w w:val="98"/>
              </w:rPr>
              <w:t>Deferred A Shares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77"/>
              </w:rPr>
              <w:t>Comprehensive</w:t>
            </w:r>
          </w:p>
        </w:tc>
        <w:tc>
          <w:tcPr>
            <w:tcW w:w="9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84"/>
              </w:rPr>
              <w:t>Noncontrolling</w:t>
            </w:r>
          </w:p>
        </w:tc>
        <w:tc>
          <w:tcPr>
            <w:tcW w:w="860" w:type="dxa"/>
            <w:vAlign w:val="bottom"/>
            <w:gridSpan w:val="4"/>
          </w:tcPr>
          <w:p>
            <w:pPr>
              <w:ind w:left="60"/>
              <w:spacing w:after="0"/>
              <w:rPr>
                <w:sz w:val="20"/>
                <w:szCs w:val="20"/>
                <w:color w:val="auto"/>
              </w:rPr>
            </w:pPr>
            <w:r>
              <w:rPr>
                <w:rFonts w:ascii="Arial" w:cs="Arial" w:eastAsia="Arial" w:hAnsi="Arial"/>
                <w:sz w:val="13"/>
                <w:szCs w:val="13"/>
                <w:b w:val="1"/>
                <w:bCs w:val="1"/>
                <w:color w:val="auto"/>
                <w:w w:val="89"/>
              </w:rPr>
              <w:t>Shareholders’</w:t>
            </w: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3"/>
                <w:szCs w:val="13"/>
                <w:b w:val="1"/>
                <w:bCs w:val="1"/>
                <w:color w:val="auto"/>
                <w:w w:val="82"/>
              </w:rPr>
              <w:t>Shares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Amount</w:t>
            </w:r>
          </w:p>
        </w:tc>
        <w:tc>
          <w:tcPr>
            <w:tcW w:w="28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3"/>
                <w:szCs w:val="13"/>
                <w:b w:val="1"/>
                <w:bCs w:val="1"/>
                <w:color w:val="auto"/>
                <w:w w:val="92"/>
              </w:rPr>
              <w:t>Shares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120"/>
              <w:spacing w:after="0" w:line="142" w:lineRule="exact"/>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60"/>
              <w:spacing w:after="0" w:line="142"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2"/>
                <w:szCs w:val="12"/>
                <w:color w:val="auto"/>
              </w:rPr>
            </w:pPr>
          </w:p>
        </w:tc>
        <w:tc>
          <w:tcPr>
            <w:tcW w:w="940" w:type="dxa"/>
            <w:vAlign w:val="bottom"/>
            <w:gridSpan w:val="3"/>
          </w:tcPr>
          <w:p>
            <w:pPr>
              <w:jc w:val="center"/>
              <w:ind w:right="240"/>
              <w:spacing w:after="0" w:line="142" w:lineRule="exact"/>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2"/>
                <w:szCs w:val="12"/>
                <w:color w:val="auto"/>
              </w:rPr>
            </w:pPr>
          </w:p>
        </w:tc>
        <w:tc>
          <w:tcPr>
            <w:tcW w:w="780" w:type="dxa"/>
            <w:vAlign w:val="bottom"/>
            <w:gridSpan w:val="3"/>
          </w:tcPr>
          <w:p>
            <w:pPr>
              <w:jc w:val="right"/>
              <w:ind w:right="300"/>
              <w:spacing w:after="0" w:line="142" w:lineRule="exact"/>
              <w:rPr>
                <w:sz w:val="20"/>
                <w:szCs w:val="20"/>
                <w:color w:val="auto"/>
              </w:rPr>
            </w:pPr>
            <w:r>
              <w:rPr>
                <w:rFonts w:ascii="Arial" w:cs="Arial" w:eastAsia="Arial" w:hAnsi="Arial"/>
                <w:sz w:val="13"/>
                <w:szCs w:val="13"/>
                <w:b w:val="1"/>
                <w:bCs w:val="1"/>
                <w:color w:val="auto"/>
                <w:w w:val="97"/>
              </w:rPr>
              <w:t>Interest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97"/>
        </w:trPr>
        <w:tc>
          <w:tcPr>
            <w:tcW w:w="920" w:type="dxa"/>
            <w:vAlign w:val="bottom"/>
            <w:tcBorders>
              <w:top w:val="single" w:sz="8" w:color="CCEEFF"/>
            </w:tcBorders>
            <w:gridSpan w:val="2"/>
            <w:shd w:val="clear" w:color="auto" w:fill="CCEEFF"/>
          </w:tcPr>
          <w:p>
            <w:pPr>
              <w:spacing w:after="0" w:line="97" w:lineRule="exact"/>
              <w:rPr>
                <w:sz w:val="20"/>
                <w:szCs w:val="20"/>
                <w:color w:val="auto"/>
              </w:rPr>
            </w:pPr>
            <w:r>
              <w:rPr>
                <w:rFonts w:ascii="Arial" w:cs="Arial" w:eastAsia="Arial" w:hAnsi="Arial"/>
                <w:sz w:val="10"/>
                <w:szCs w:val="10"/>
                <w:b w:val="1"/>
                <w:bCs w:val="1"/>
                <w:color w:val="auto"/>
              </w:rPr>
              <w:t>Balance,</w:t>
            </w:r>
          </w:p>
        </w:tc>
        <w:tc>
          <w:tcPr>
            <w:tcW w:w="540" w:type="dxa"/>
            <w:vAlign w:val="bottom"/>
            <w:tcBorders>
              <w:top w:val="single" w:sz="8" w:color="auto"/>
            </w:tcBorders>
            <w:gridSpan w:val="3"/>
            <w:shd w:val="clear" w:color="auto" w:fill="CCEEFF"/>
          </w:tcPr>
          <w:p>
            <w:pPr>
              <w:spacing w:after="0"/>
              <w:rPr>
                <w:sz w:val="8"/>
                <w:szCs w:val="8"/>
                <w:color w:val="auto"/>
              </w:rPr>
            </w:pPr>
          </w:p>
        </w:tc>
        <w:tc>
          <w:tcPr>
            <w:tcW w:w="200" w:type="dxa"/>
            <w:vAlign w:val="bottom"/>
            <w:tcBorders>
              <w:top w:val="single" w:sz="8" w:color="CCEEFF"/>
            </w:tcBorders>
            <w:gridSpan w:val="3"/>
            <w:shd w:val="clear" w:color="auto" w:fill="CCEEFF"/>
          </w:tcPr>
          <w:p>
            <w:pPr>
              <w:spacing w:after="0"/>
              <w:rPr>
                <w:sz w:val="8"/>
                <w:szCs w:val="8"/>
                <w:color w:val="auto"/>
              </w:rPr>
            </w:pPr>
          </w:p>
        </w:tc>
        <w:tc>
          <w:tcPr>
            <w:tcW w:w="600" w:type="dxa"/>
            <w:vAlign w:val="bottom"/>
            <w:tcBorders>
              <w:top w:val="single" w:sz="8" w:color="auto"/>
              <w:right w:val="single" w:sz="8" w:color="CCEEFF"/>
            </w:tcBorders>
            <w:gridSpan w:val="3"/>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gridSpan w:val="3"/>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right w:val="single" w:sz="8" w:color="CCEEFF"/>
            </w:tcBorders>
            <w:gridSpan w:val="2"/>
            <w:shd w:val="clear" w:color="auto" w:fill="CCEEFF"/>
          </w:tcPr>
          <w:p>
            <w:pPr>
              <w:spacing w:after="0"/>
              <w:rPr>
                <w:sz w:val="8"/>
                <w:szCs w:val="8"/>
                <w:color w:val="auto"/>
              </w:rPr>
            </w:pPr>
          </w:p>
        </w:tc>
        <w:tc>
          <w:tcPr>
            <w:tcW w:w="280" w:type="dxa"/>
            <w:vAlign w:val="bottom"/>
            <w:tcBorders>
              <w:top w:val="single" w:sz="8" w:color="auto"/>
              <w:right w:val="single" w:sz="8" w:color="auto"/>
            </w:tcBorders>
            <w:shd w:val="clear" w:color="auto" w:fill="CCEEFF"/>
          </w:tcPr>
          <w:p>
            <w:pPr>
              <w:spacing w:after="0"/>
              <w:rPr>
                <w:sz w:val="8"/>
                <w:szCs w:val="8"/>
                <w:color w:val="auto"/>
              </w:rPr>
            </w:pPr>
          </w:p>
        </w:tc>
        <w:tc>
          <w:tcPr>
            <w:tcW w:w="540" w:type="dxa"/>
            <w:vAlign w:val="bottom"/>
            <w:tcBorders>
              <w:top w:val="single" w:sz="8" w:color="auto"/>
            </w:tcBorders>
            <w:gridSpan w:val="2"/>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560" w:type="dxa"/>
            <w:vAlign w:val="bottom"/>
            <w:tcBorders>
              <w:top w:val="single" w:sz="8" w:color="auto"/>
            </w:tcBorders>
            <w:gridSpan w:val="4"/>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540" w:type="dxa"/>
            <w:vAlign w:val="bottom"/>
            <w:tcBorders>
              <w:top w:val="single" w:sz="8" w:color="auto"/>
            </w:tcBorders>
            <w:gridSpan w:val="2"/>
            <w:shd w:val="clear" w:color="auto" w:fill="CCEEFF"/>
          </w:tcPr>
          <w:p>
            <w:pPr>
              <w:spacing w:after="0"/>
              <w:rPr>
                <w:sz w:val="8"/>
                <w:szCs w:val="8"/>
                <w:color w:val="auto"/>
              </w:rPr>
            </w:pPr>
          </w:p>
        </w:tc>
        <w:tc>
          <w:tcPr>
            <w:tcW w:w="180" w:type="dxa"/>
            <w:vAlign w:val="bottom"/>
            <w:tcBorders>
              <w:top w:val="single" w:sz="8" w:color="CCEEFF"/>
              <w:right w:val="single" w:sz="8" w:color="CCEEFF"/>
            </w:tcBorders>
            <w:gridSpan w:val="2"/>
            <w:shd w:val="clear" w:color="auto" w:fill="CCEEFF"/>
          </w:tcPr>
          <w:p>
            <w:pPr>
              <w:spacing w:after="0"/>
              <w:rPr>
                <w:sz w:val="8"/>
                <w:szCs w:val="8"/>
                <w:color w:val="auto"/>
              </w:rPr>
            </w:pPr>
          </w:p>
        </w:tc>
        <w:tc>
          <w:tcPr>
            <w:tcW w:w="560" w:type="dxa"/>
            <w:vAlign w:val="bottom"/>
            <w:tcBorders>
              <w:top w:val="single" w:sz="8" w:color="auto"/>
            </w:tcBorders>
            <w:gridSpan w:val="3"/>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620" w:type="dxa"/>
            <w:vAlign w:val="bottom"/>
            <w:tcBorders>
              <w:top w:val="single" w:sz="8" w:color="auto"/>
            </w:tcBorders>
            <w:gridSpan w:val="3"/>
            <w:shd w:val="clear" w:color="auto" w:fill="CCEEFF"/>
          </w:tcPr>
          <w:p>
            <w:pPr>
              <w:spacing w:after="0"/>
              <w:rPr>
                <w:sz w:val="8"/>
                <w:szCs w:val="8"/>
                <w:color w:val="auto"/>
              </w:rPr>
            </w:pPr>
          </w:p>
        </w:tc>
        <w:tc>
          <w:tcPr>
            <w:tcW w:w="160" w:type="dxa"/>
            <w:vAlign w:val="bottom"/>
            <w:tcBorders>
              <w:top w:val="single" w:sz="8" w:color="CCEEFF"/>
              <w:right w:val="single" w:sz="8" w:color="CCEEFF"/>
            </w:tcBorders>
            <w:gridSpan w:val="2"/>
            <w:shd w:val="clear" w:color="auto" w:fill="CCEEFF"/>
          </w:tcPr>
          <w:p>
            <w:pPr>
              <w:spacing w:after="0"/>
              <w:rPr>
                <w:sz w:val="8"/>
                <w:szCs w:val="8"/>
                <w:color w:val="auto"/>
              </w:rPr>
            </w:pPr>
          </w:p>
        </w:tc>
        <w:tc>
          <w:tcPr>
            <w:tcW w:w="720" w:type="dxa"/>
            <w:vAlign w:val="bottom"/>
            <w:tcBorders>
              <w:top w:val="single" w:sz="8" w:color="auto"/>
            </w:tcBorders>
            <w:gridSpan w:val="3"/>
            <w:shd w:val="clear" w:color="auto" w:fill="CCEEFF"/>
          </w:tcPr>
          <w:p>
            <w:pPr>
              <w:spacing w:after="0"/>
              <w:rPr>
                <w:sz w:val="8"/>
                <w:szCs w:val="8"/>
                <w:color w:val="auto"/>
              </w:rPr>
            </w:pPr>
          </w:p>
        </w:tc>
        <w:tc>
          <w:tcPr>
            <w:tcW w:w="220" w:type="dxa"/>
            <w:vAlign w:val="bottom"/>
            <w:tcBorders>
              <w:top w:val="single" w:sz="8" w:color="CCEEFF"/>
              <w:right w:val="single" w:sz="8" w:color="CCEEFF"/>
            </w:tcBorders>
            <w:gridSpan w:val="2"/>
            <w:shd w:val="clear" w:color="auto" w:fill="CCEEFF"/>
          </w:tcPr>
          <w:p>
            <w:pPr>
              <w:spacing w:after="0"/>
              <w:rPr>
                <w:sz w:val="8"/>
                <w:szCs w:val="8"/>
                <w:color w:val="auto"/>
              </w:rPr>
            </w:pPr>
          </w:p>
        </w:tc>
        <w:tc>
          <w:tcPr>
            <w:tcW w:w="760" w:type="dxa"/>
            <w:vAlign w:val="bottom"/>
            <w:tcBorders>
              <w:top w:val="single" w:sz="8" w:color="auto"/>
            </w:tcBorders>
            <w:gridSpan w:val="2"/>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800" w:type="dxa"/>
            <w:vAlign w:val="bottom"/>
            <w:tcBorders>
              <w:top w:val="single" w:sz="8" w:color="auto"/>
            </w:tcBorders>
            <w:gridSpan w:val="3"/>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740" w:type="dxa"/>
            <w:vAlign w:val="bottom"/>
            <w:tcBorders>
              <w:top w:val="single" w:sz="8" w:color="auto"/>
            </w:tcBorders>
            <w:gridSpan w:val="2"/>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January 1,</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2020, as</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previously</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right w:val="single" w:sz="8" w:color="auto"/>
            </w:tcBorders>
            <w:vMerge w:val="restart"/>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91"/>
              </w:rPr>
              <w:t>-</w:t>
            </w: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reported</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22,065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33,765</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ind w:right="339"/>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right w:val="single" w:sz="8" w:color="CCEEFF"/>
            </w:tcBorders>
            <w:shd w:val="clear" w:color="auto" w:fill="CCEEFF"/>
          </w:tcPr>
          <w:p>
            <w:pPr>
              <w:spacing w:after="0"/>
              <w:rPr>
                <w:sz w:val="13"/>
                <w:szCs w:val="13"/>
                <w:color w:val="auto"/>
              </w:rPr>
            </w:pPr>
          </w:p>
        </w:tc>
        <w:tc>
          <w:tcPr>
            <w:tcW w:w="280" w:type="dxa"/>
            <w:vAlign w:val="bottom"/>
            <w:tcBorders>
              <w:right w:val="single" w:sz="8" w:color="auto"/>
            </w:tcBorders>
            <w:vMerge w:val="continue"/>
            <w:shd w:val="clear" w:color="auto" w:fill="CCEEFF"/>
          </w:tcPr>
          <w:p>
            <w:pPr>
              <w:spacing w:after="0"/>
              <w:rPr>
                <w:sz w:val="13"/>
                <w:szCs w:val="13"/>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89"/>
              </w:rPr>
              <w:t>7,276,332</w:t>
            </w:r>
          </w:p>
        </w:tc>
        <w:tc>
          <w:tcPr>
            <w:tcW w:w="540" w:type="dxa"/>
            <w:vAlign w:val="bottom"/>
            <w:gridSpan w:val="2"/>
            <w:shd w:val="clear" w:color="auto" w:fill="CCEEFF"/>
          </w:tcPr>
          <w:p>
            <w:pPr>
              <w:jc w:val="right"/>
              <w:ind w:right="277"/>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1"/>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1"/>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15,906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(37,885)</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(467)</w:t>
            </w:r>
          </w:p>
        </w:tc>
        <w:tc>
          <w:tcPr>
            <w:tcW w:w="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367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(22,079)</w:t>
            </w:r>
          </w:p>
        </w:tc>
        <w:tc>
          <w:tcPr>
            <w:tcW w:w="0" w:type="dxa"/>
            <w:vAlign w:val="bottom"/>
          </w:tcPr>
          <w:p>
            <w:pPr>
              <w:spacing w:after="0"/>
              <w:rPr>
                <w:sz w:val="1"/>
                <w:szCs w:val="1"/>
                <w:color w:val="auto"/>
              </w:rPr>
            </w:pPr>
          </w:p>
        </w:tc>
      </w:tr>
      <w:tr>
        <w:trPr>
          <w:trHeight w:val="121"/>
        </w:trPr>
        <w:tc>
          <w:tcPr>
            <w:tcW w:w="3960" w:type="dxa"/>
            <w:vAlign w:val="bottom"/>
            <w:tcBorders>
              <w:right w:val="single" w:sz="8" w:color="auto"/>
            </w:tcBorders>
            <w:gridSpan w:val="19"/>
          </w:tcPr>
          <w:p>
            <w:pPr>
              <w:spacing w:after="0" w:line="121" w:lineRule="exact"/>
              <w:rPr>
                <w:sz w:val="20"/>
                <w:szCs w:val="20"/>
                <w:color w:val="auto"/>
              </w:rPr>
            </w:pPr>
            <w:r>
              <w:rPr>
                <w:rFonts w:ascii="Arial" w:cs="Arial" w:eastAsia="Arial" w:hAnsi="Arial"/>
                <w:sz w:val="13"/>
                <w:szCs w:val="13"/>
                <w:color w:val="auto"/>
              </w:rPr>
              <w:t>Share based</w:t>
            </w:r>
          </w:p>
        </w:tc>
        <w:tc>
          <w:tcPr>
            <w:tcW w:w="728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tcBorders>
              <w:right w:val="single" w:sz="8" w:color="auto"/>
            </w:tcBorders>
            <w:gridSpan w:val="19"/>
          </w:tcPr>
          <w:p>
            <w:pPr>
              <w:ind w:left="180"/>
              <w:spacing w:after="0" w:line="135" w:lineRule="exact"/>
              <w:rPr>
                <w:sz w:val="20"/>
                <w:szCs w:val="20"/>
                <w:color w:val="auto"/>
              </w:rPr>
            </w:pPr>
            <w:r>
              <w:rPr>
                <w:rFonts w:ascii="Arial" w:cs="Arial" w:eastAsia="Arial" w:hAnsi="Arial"/>
                <w:sz w:val="13"/>
                <w:szCs w:val="13"/>
                <w:color w:val="auto"/>
                <w:w w:val="88"/>
              </w:rPr>
              <w:t>compensation</w:t>
            </w:r>
          </w:p>
        </w:tc>
        <w:tc>
          <w:tcPr>
            <w:tcW w:w="7280" w:type="dxa"/>
            <w:vAlign w:val="bottom"/>
            <w:gridSpan w:val="4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gridSpan w:val="2"/>
          </w:tcPr>
          <w:p>
            <w:pPr>
              <w:ind w:left="180"/>
              <w:spacing w:after="0" w:line="135" w:lineRule="exact"/>
              <w:rPr>
                <w:sz w:val="20"/>
                <w:szCs w:val="20"/>
                <w:color w:val="auto"/>
              </w:rPr>
            </w:pPr>
            <w:r>
              <w:rPr>
                <w:rFonts w:ascii="Arial" w:cs="Arial" w:eastAsia="Arial" w:hAnsi="Arial"/>
                <w:sz w:val="13"/>
                <w:szCs w:val="13"/>
                <w:color w:val="auto"/>
                <w:w w:val="93"/>
              </w:rPr>
              <w:t>- restatement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2,129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restart"/>
          </w:tcPr>
          <w:p>
            <w:pPr>
              <w:jc w:val="right"/>
              <w:ind w:right="40"/>
              <w:spacing w:after="0"/>
              <w:rPr>
                <w:sz w:val="20"/>
                <w:szCs w:val="20"/>
                <w:color w:val="auto"/>
              </w:rPr>
            </w:pPr>
            <w:r>
              <w:rPr>
                <w:rFonts w:ascii="Arial" w:cs="Arial" w:eastAsia="Arial" w:hAnsi="Arial"/>
                <w:sz w:val="13"/>
                <w:szCs w:val="13"/>
                <w:b w:val="1"/>
                <w:bCs w:val="1"/>
                <w:color w:val="auto"/>
              </w:rPr>
              <w:t>(2,129 )</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9"/>
        </w:trPr>
        <w:tc>
          <w:tcPr>
            <w:tcW w:w="920" w:type="dxa"/>
            <w:vAlign w:val="bottom"/>
            <w:gridSpan w:val="2"/>
          </w:tcPr>
          <w:p>
            <w:pPr>
              <w:ind w:left="180"/>
              <w:spacing w:after="0"/>
              <w:rPr>
                <w:sz w:val="20"/>
                <w:szCs w:val="20"/>
                <w:color w:val="auto"/>
              </w:rPr>
            </w:pPr>
            <w:r>
              <w:rPr>
                <w:rFonts w:ascii="Arial" w:cs="Arial" w:eastAsia="Arial" w:hAnsi="Arial"/>
                <w:sz w:val="13"/>
                <w:szCs w:val="13"/>
                <w:color w:val="auto"/>
              </w:rPr>
              <w:t>(see note 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60" w:type="dxa"/>
            <w:vAlign w:val="bottom"/>
            <w:tcBorders>
              <w:right w:val="single" w:sz="8" w:color="CCEEFF"/>
            </w:tcBorders>
            <w:gridSpan w:val="11"/>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Balance,</w:t>
            </w:r>
          </w:p>
        </w:tc>
        <w:tc>
          <w:tcPr>
            <w:tcW w:w="860" w:type="dxa"/>
            <w:vAlign w:val="bottom"/>
            <w:tcBorders>
              <w:right w:val="single" w:sz="8" w:color="CCEEFF"/>
            </w:tcBorders>
            <w:gridSpan w:val="5"/>
            <w:shd w:val="clear" w:color="auto" w:fill="CCEEFF"/>
          </w:tcPr>
          <w:p>
            <w:pPr>
              <w:spacing w:after="0"/>
              <w:rPr>
                <w:sz w:val="10"/>
                <w:szCs w:val="10"/>
                <w:color w:val="auto"/>
              </w:rPr>
            </w:pPr>
          </w:p>
        </w:tc>
        <w:tc>
          <w:tcPr>
            <w:tcW w:w="560" w:type="dxa"/>
            <w:vAlign w:val="bottom"/>
            <w:tcBorders>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2140" w:type="dxa"/>
            <w:vAlign w:val="bottom"/>
            <w:tcBorders>
              <w:right w:val="single" w:sz="8" w:color="CCEEFF"/>
            </w:tcBorders>
            <w:gridSpan w:val="14"/>
            <w:shd w:val="clear" w:color="auto" w:fill="CCEEFF"/>
          </w:tcPr>
          <w:p>
            <w:pPr>
              <w:spacing w:after="0"/>
              <w:rPr>
                <w:sz w:val="10"/>
                <w:szCs w:val="10"/>
                <w:color w:val="auto"/>
              </w:rPr>
            </w:pPr>
          </w:p>
        </w:tc>
        <w:tc>
          <w:tcPr>
            <w:tcW w:w="1500" w:type="dxa"/>
            <w:vAlign w:val="bottom"/>
            <w:tcBorders>
              <w:right w:val="single" w:sz="8" w:color="CCEEFF"/>
            </w:tcBorders>
            <w:gridSpan w:val="10"/>
            <w:shd w:val="clear" w:color="auto" w:fill="CCEEFF"/>
          </w:tcPr>
          <w:p>
            <w:pPr>
              <w:spacing w:after="0"/>
              <w:rPr>
                <w:sz w:val="10"/>
                <w:szCs w:val="10"/>
                <w:color w:val="auto"/>
              </w:rPr>
            </w:pPr>
          </w:p>
        </w:tc>
        <w:tc>
          <w:tcPr>
            <w:tcW w:w="940" w:type="dxa"/>
            <w:vAlign w:val="bottom"/>
            <w:tcBorders>
              <w:right w:val="single" w:sz="8" w:color="CCEEFF"/>
            </w:tcBorders>
            <w:gridSpan w:val="5"/>
            <w:shd w:val="clear" w:color="auto" w:fill="CCEEFF"/>
          </w:tcPr>
          <w:p>
            <w:pPr>
              <w:spacing w:after="0"/>
              <w:rPr>
                <w:sz w:val="10"/>
                <w:szCs w:val="10"/>
                <w:color w:val="auto"/>
              </w:rPr>
            </w:pPr>
          </w:p>
        </w:tc>
        <w:tc>
          <w:tcPr>
            <w:tcW w:w="940" w:type="dxa"/>
            <w:vAlign w:val="bottom"/>
            <w:tcBorders>
              <w:right w:val="single" w:sz="8" w:color="CCEEFF"/>
            </w:tcBorders>
            <w:gridSpan w:val="3"/>
            <w:shd w:val="clear" w:color="auto" w:fill="CCEEFF"/>
          </w:tcPr>
          <w:p>
            <w:pPr>
              <w:spacing w:after="0"/>
              <w:rPr>
                <w:sz w:val="10"/>
                <w:szCs w:val="10"/>
                <w:color w:val="auto"/>
              </w:rPr>
            </w:pPr>
          </w:p>
        </w:tc>
        <w:tc>
          <w:tcPr>
            <w:tcW w:w="1760" w:type="dxa"/>
            <w:vAlign w:val="bottom"/>
            <w:gridSpan w:val="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January 1,</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2020, as</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restated</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18,035</w:t>
            </w: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(40,014)</w:t>
            </w:r>
          </w:p>
        </w:tc>
        <w:tc>
          <w:tcPr>
            <w:tcW w:w="14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(467)</w:t>
            </w: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367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(22,079)</w:t>
            </w:r>
          </w:p>
        </w:tc>
        <w:tc>
          <w:tcPr>
            <w:tcW w:w="0" w:type="dxa"/>
            <w:vAlign w:val="bottom"/>
          </w:tcPr>
          <w:p>
            <w:pPr>
              <w:spacing w:after="0"/>
              <w:rPr>
                <w:sz w:val="1"/>
                <w:szCs w:val="1"/>
                <w:color w:val="auto"/>
              </w:rPr>
            </w:pPr>
          </w:p>
        </w:tc>
      </w:tr>
      <w:tr>
        <w:trPr>
          <w:trHeight w:val="121"/>
        </w:trPr>
        <w:tc>
          <w:tcPr>
            <w:tcW w:w="3960" w:type="dxa"/>
            <w:vAlign w:val="bottom"/>
            <w:tcBorders>
              <w:right w:val="single" w:sz="8" w:color="auto"/>
            </w:tcBorders>
            <w:gridSpan w:val="19"/>
          </w:tcPr>
          <w:p>
            <w:pPr>
              <w:spacing w:after="0" w:line="121" w:lineRule="exact"/>
              <w:rPr>
                <w:sz w:val="20"/>
                <w:szCs w:val="20"/>
                <w:color w:val="auto"/>
              </w:rPr>
            </w:pPr>
            <w:r>
              <w:rPr>
                <w:rFonts w:ascii="Arial" w:cs="Arial" w:eastAsia="Arial" w:hAnsi="Arial"/>
                <w:sz w:val="13"/>
                <w:szCs w:val="13"/>
                <w:color w:val="auto"/>
              </w:rPr>
              <w:t>Share based</w:t>
            </w:r>
          </w:p>
        </w:tc>
        <w:tc>
          <w:tcPr>
            <w:tcW w:w="728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gridSpan w:val="2"/>
          </w:tcPr>
          <w:p>
            <w:pPr>
              <w:spacing w:after="0"/>
              <w:rPr>
                <w:sz w:val="20"/>
                <w:szCs w:val="20"/>
                <w:color w:val="auto"/>
              </w:rPr>
            </w:pPr>
            <w:r>
              <w:rPr>
                <w:rFonts w:ascii="Arial" w:cs="Arial" w:eastAsia="Arial" w:hAnsi="Arial"/>
                <w:sz w:val="13"/>
                <w:szCs w:val="13"/>
                <w:color w:val="auto"/>
              </w:rPr>
              <w:t>compensation</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856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21"/>
        </w:trPr>
        <w:tc>
          <w:tcPr>
            <w:tcW w:w="2260" w:type="dxa"/>
            <w:vAlign w:val="bottom"/>
            <w:tcBorders>
              <w:right w:val="single" w:sz="8" w:color="CCEEFF"/>
            </w:tcBorders>
            <w:gridSpan w:val="11"/>
            <w:shd w:val="clear" w:color="auto" w:fill="CCEEFF"/>
          </w:tcPr>
          <w:p>
            <w:pPr>
              <w:spacing w:after="0" w:line="121" w:lineRule="exact"/>
              <w:rPr>
                <w:sz w:val="20"/>
                <w:szCs w:val="20"/>
                <w:color w:val="auto"/>
              </w:rPr>
            </w:pPr>
            <w:r>
              <w:rPr>
                <w:rFonts w:ascii="Arial" w:cs="Arial" w:eastAsia="Arial" w:hAnsi="Arial"/>
                <w:sz w:val="13"/>
                <w:szCs w:val="13"/>
                <w:color w:val="auto"/>
                <w:w w:val="93"/>
              </w:rPr>
              <w:t>Issue of ordinary</w:t>
            </w:r>
          </w:p>
        </w:tc>
        <w:tc>
          <w:tcPr>
            <w:tcW w:w="860" w:type="dxa"/>
            <w:vAlign w:val="bottom"/>
            <w:tcBorders>
              <w:right w:val="single" w:sz="8" w:color="CCEEFF"/>
            </w:tcBorders>
            <w:gridSpan w:val="5"/>
            <w:shd w:val="clear" w:color="auto" w:fill="CCEEFF"/>
          </w:tcPr>
          <w:p>
            <w:pPr>
              <w:spacing w:after="0"/>
              <w:rPr>
                <w:sz w:val="10"/>
                <w:szCs w:val="10"/>
                <w:color w:val="auto"/>
              </w:rPr>
            </w:pPr>
          </w:p>
        </w:tc>
        <w:tc>
          <w:tcPr>
            <w:tcW w:w="560" w:type="dxa"/>
            <w:vAlign w:val="bottom"/>
            <w:tcBorders>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2140" w:type="dxa"/>
            <w:vAlign w:val="bottom"/>
            <w:tcBorders>
              <w:right w:val="single" w:sz="8" w:color="CCEEFF"/>
            </w:tcBorders>
            <w:gridSpan w:val="14"/>
            <w:shd w:val="clear" w:color="auto" w:fill="CCEEFF"/>
          </w:tcPr>
          <w:p>
            <w:pPr>
              <w:spacing w:after="0"/>
              <w:rPr>
                <w:sz w:val="10"/>
                <w:szCs w:val="10"/>
                <w:color w:val="auto"/>
              </w:rPr>
            </w:pPr>
          </w:p>
        </w:tc>
        <w:tc>
          <w:tcPr>
            <w:tcW w:w="1500" w:type="dxa"/>
            <w:vAlign w:val="bottom"/>
            <w:tcBorders>
              <w:right w:val="single" w:sz="8" w:color="CCEEFF"/>
            </w:tcBorders>
            <w:gridSpan w:val="10"/>
            <w:shd w:val="clear" w:color="auto" w:fill="CCEEFF"/>
          </w:tcPr>
          <w:p>
            <w:pPr>
              <w:spacing w:after="0"/>
              <w:rPr>
                <w:sz w:val="10"/>
                <w:szCs w:val="10"/>
                <w:color w:val="auto"/>
              </w:rPr>
            </w:pPr>
          </w:p>
        </w:tc>
        <w:tc>
          <w:tcPr>
            <w:tcW w:w="940" w:type="dxa"/>
            <w:vAlign w:val="bottom"/>
            <w:tcBorders>
              <w:right w:val="single" w:sz="8" w:color="CCEEFF"/>
            </w:tcBorders>
            <w:gridSpan w:val="5"/>
            <w:shd w:val="clear" w:color="auto" w:fill="CCEEFF"/>
          </w:tcPr>
          <w:p>
            <w:pPr>
              <w:spacing w:after="0"/>
              <w:rPr>
                <w:sz w:val="10"/>
                <w:szCs w:val="10"/>
                <w:color w:val="auto"/>
              </w:rPr>
            </w:pPr>
          </w:p>
        </w:tc>
        <w:tc>
          <w:tcPr>
            <w:tcW w:w="940" w:type="dxa"/>
            <w:vAlign w:val="bottom"/>
            <w:tcBorders>
              <w:right w:val="single" w:sz="8" w:color="CCEEFF"/>
            </w:tcBorders>
            <w:gridSpan w:val="3"/>
            <w:shd w:val="clear" w:color="auto" w:fill="CCEEFF"/>
          </w:tcPr>
          <w:p>
            <w:pPr>
              <w:spacing w:after="0"/>
              <w:rPr>
                <w:sz w:val="10"/>
                <w:szCs w:val="10"/>
                <w:color w:val="auto"/>
              </w:rPr>
            </w:pPr>
          </w:p>
        </w:tc>
        <w:tc>
          <w:tcPr>
            <w:tcW w:w="1760" w:type="dxa"/>
            <w:vAlign w:val="bottom"/>
            <w:gridSpan w:val="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479,568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960" w:type="dxa"/>
            <w:vAlign w:val="bottom"/>
            <w:tcBorders>
              <w:right w:val="single" w:sz="8" w:color="auto"/>
            </w:tcBorders>
            <w:gridSpan w:val="19"/>
          </w:tcPr>
          <w:p>
            <w:pPr>
              <w:spacing w:after="0" w:line="121" w:lineRule="exact"/>
              <w:rPr>
                <w:sz w:val="20"/>
                <w:szCs w:val="20"/>
                <w:color w:val="auto"/>
              </w:rPr>
            </w:pPr>
            <w:r>
              <w:rPr>
                <w:rFonts w:ascii="Arial" w:cs="Arial" w:eastAsia="Arial" w:hAnsi="Arial"/>
                <w:sz w:val="13"/>
                <w:szCs w:val="13"/>
                <w:color w:val="auto"/>
              </w:rPr>
              <w:t>Exercise of</w:t>
            </w:r>
          </w:p>
        </w:tc>
        <w:tc>
          <w:tcPr>
            <w:tcW w:w="728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gridSpan w:val="2"/>
          </w:tcPr>
          <w:p>
            <w:pPr>
              <w:spacing w:after="0"/>
              <w:rPr>
                <w:sz w:val="20"/>
                <w:szCs w:val="20"/>
                <w:color w:val="auto"/>
              </w:rPr>
            </w:pPr>
            <w:r>
              <w:rPr>
                <w:rFonts w:ascii="Arial" w:cs="Arial" w:eastAsia="Arial" w:hAnsi="Arial"/>
                <w:sz w:val="13"/>
                <w:szCs w:val="13"/>
                <w:color w:val="auto"/>
              </w:rPr>
              <w:t>stock options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3"/>
                <w:szCs w:val="13"/>
                <w:color w:val="auto"/>
              </w:rPr>
              <w:t>148,938</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260" w:type="dxa"/>
            <w:vAlign w:val="bottom"/>
            <w:tcBorders>
              <w:right w:val="single" w:sz="8" w:color="CCEEFF"/>
            </w:tcBorders>
            <w:gridSpan w:val="11"/>
            <w:shd w:val="clear" w:color="auto" w:fill="CCEEFF"/>
          </w:tcPr>
          <w:p>
            <w:pPr>
              <w:spacing w:after="0" w:line="121" w:lineRule="exact"/>
              <w:rPr>
                <w:sz w:val="20"/>
                <w:szCs w:val="20"/>
                <w:color w:val="auto"/>
              </w:rPr>
            </w:pPr>
            <w:r>
              <w:rPr>
                <w:rFonts w:ascii="Arial" w:cs="Arial" w:eastAsia="Arial" w:hAnsi="Arial"/>
                <w:sz w:val="13"/>
                <w:szCs w:val="13"/>
                <w:color w:val="auto"/>
                <w:w w:val="92"/>
              </w:rPr>
              <w:t>Foreign currency</w:t>
            </w:r>
          </w:p>
        </w:tc>
        <w:tc>
          <w:tcPr>
            <w:tcW w:w="860" w:type="dxa"/>
            <w:vAlign w:val="bottom"/>
            <w:tcBorders>
              <w:right w:val="single" w:sz="8" w:color="CCEEFF"/>
            </w:tcBorders>
            <w:gridSpan w:val="5"/>
            <w:shd w:val="clear" w:color="auto" w:fill="CCEEFF"/>
          </w:tcPr>
          <w:p>
            <w:pPr>
              <w:spacing w:after="0"/>
              <w:rPr>
                <w:sz w:val="10"/>
                <w:szCs w:val="10"/>
                <w:color w:val="auto"/>
              </w:rPr>
            </w:pPr>
          </w:p>
        </w:tc>
        <w:tc>
          <w:tcPr>
            <w:tcW w:w="560" w:type="dxa"/>
            <w:vAlign w:val="bottom"/>
            <w:tcBorders>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2140" w:type="dxa"/>
            <w:vAlign w:val="bottom"/>
            <w:tcBorders>
              <w:right w:val="single" w:sz="8" w:color="CCEEFF"/>
            </w:tcBorders>
            <w:gridSpan w:val="14"/>
            <w:shd w:val="clear" w:color="auto" w:fill="CCEEFF"/>
          </w:tcPr>
          <w:p>
            <w:pPr>
              <w:spacing w:after="0"/>
              <w:rPr>
                <w:sz w:val="10"/>
                <w:szCs w:val="10"/>
                <w:color w:val="auto"/>
              </w:rPr>
            </w:pPr>
          </w:p>
        </w:tc>
        <w:tc>
          <w:tcPr>
            <w:tcW w:w="1500" w:type="dxa"/>
            <w:vAlign w:val="bottom"/>
            <w:tcBorders>
              <w:right w:val="single" w:sz="8" w:color="CCEEFF"/>
            </w:tcBorders>
            <w:gridSpan w:val="10"/>
            <w:shd w:val="clear" w:color="auto" w:fill="CCEEFF"/>
          </w:tcPr>
          <w:p>
            <w:pPr>
              <w:spacing w:after="0"/>
              <w:rPr>
                <w:sz w:val="10"/>
                <w:szCs w:val="10"/>
                <w:color w:val="auto"/>
              </w:rPr>
            </w:pPr>
          </w:p>
        </w:tc>
        <w:tc>
          <w:tcPr>
            <w:tcW w:w="940" w:type="dxa"/>
            <w:vAlign w:val="bottom"/>
            <w:tcBorders>
              <w:right w:val="single" w:sz="8" w:color="CCEEFF"/>
            </w:tcBorders>
            <w:gridSpan w:val="5"/>
            <w:shd w:val="clear" w:color="auto" w:fill="CCEEFF"/>
          </w:tcPr>
          <w:p>
            <w:pPr>
              <w:spacing w:after="0"/>
              <w:rPr>
                <w:sz w:val="10"/>
                <w:szCs w:val="10"/>
                <w:color w:val="auto"/>
              </w:rPr>
            </w:pPr>
          </w:p>
        </w:tc>
        <w:tc>
          <w:tcPr>
            <w:tcW w:w="940" w:type="dxa"/>
            <w:vAlign w:val="bottom"/>
            <w:tcBorders>
              <w:right w:val="single" w:sz="8" w:color="CCEEFF"/>
            </w:tcBorders>
            <w:gridSpan w:val="3"/>
            <w:shd w:val="clear" w:color="auto" w:fill="CCEEFF"/>
          </w:tcPr>
          <w:p>
            <w:pPr>
              <w:spacing w:after="0"/>
              <w:rPr>
                <w:sz w:val="10"/>
                <w:szCs w:val="10"/>
                <w:color w:val="auto"/>
              </w:rPr>
            </w:pPr>
          </w:p>
        </w:tc>
        <w:tc>
          <w:tcPr>
            <w:tcW w:w="1760" w:type="dxa"/>
            <w:vAlign w:val="bottom"/>
            <w:gridSpan w:val="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Borders>
              <w:right w:val="single" w:sz="8" w:color="CCEEFF"/>
            </w:tcBorders>
            <w:gridSpan w:val="11"/>
            <w:shd w:val="clear" w:color="auto" w:fill="CCEEFF"/>
          </w:tcPr>
          <w:p>
            <w:pPr>
              <w:spacing w:after="0" w:line="135" w:lineRule="exact"/>
              <w:rPr>
                <w:sz w:val="20"/>
                <w:szCs w:val="20"/>
                <w:color w:val="auto"/>
              </w:rPr>
            </w:pPr>
            <w:r>
              <w:rPr>
                <w:rFonts w:ascii="Arial" w:cs="Arial" w:eastAsia="Arial" w:hAnsi="Arial"/>
                <w:sz w:val="13"/>
                <w:szCs w:val="13"/>
                <w:color w:val="auto"/>
              </w:rPr>
              <w:t>translation</w:t>
            </w:r>
          </w:p>
        </w:tc>
        <w:tc>
          <w:tcPr>
            <w:tcW w:w="860" w:type="dxa"/>
            <w:vAlign w:val="bottom"/>
            <w:tcBorders>
              <w:right w:val="single" w:sz="8" w:color="CCEEFF"/>
            </w:tcBorders>
            <w:gridSpan w:val="5"/>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2140" w:type="dxa"/>
            <w:vAlign w:val="bottom"/>
            <w:tcBorders>
              <w:right w:val="single" w:sz="8" w:color="CCEEFF"/>
            </w:tcBorders>
            <w:gridSpan w:val="14"/>
            <w:shd w:val="clear" w:color="auto" w:fill="CCEEFF"/>
          </w:tcPr>
          <w:p>
            <w:pPr>
              <w:spacing w:after="0"/>
              <w:rPr>
                <w:sz w:val="11"/>
                <w:szCs w:val="11"/>
                <w:color w:val="auto"/>
              </w:rPr>
            </w:pPr>
          </w:p>
        </w:tc>
        <w:tc>
          <w:tcPr>
            <w:tcW w:w="1500" w:type="dxa"/>
            <w:vAlign w:val="bottom"/>
            <w:tcBorders>
              <w:right w:val="single" w:sz="8" w:color="CCEEFF"/>
            </w:tcBorders>
            <w:gridSpan w:val="10"/>
            <w:shd w:val="clear" w:color="auto" w:fill="CCEEFF"/>
          </w:tcPr>
          <w:p>
            <w:pPr>
              <w:spacing w:after="0"/>
              <w:rPr>
                <w:sz w:val="11"/>
                <w:szCs w:val="11"/>
                <w:color w:val="auto"/>
              </w:rPr>
            </w:pPr>
          </w:p>
        </w:tc>
        <w:tc>
          <w:tcPr>
            <w:tcW w:w="940" w:type="dxa"/>
            <w:vAlign w:val="bottom"/>
            <w:tcBorders>
              <w:right w:val="single" w:sz="8" w:color="CCEEFF"/>
            </w:tcBorders>
            <w:gridSpan w:val="5"/>
            <w:shd w:val="clear" w:color="auto" w:fill="CCEEFF"/>
          </w:tcPr>
          <w:p>
            <w:pPr>
              <w:spacing w:after="0"/>
              <w:rPr>
                <w:sz w:val="11"/>
                <w:szCs w:val="11"/>
                <w:color w:val="auto"/>
              </w:rPr>
            </w:pPr>
          </w:p>
        </w:tc>
        <w:tc>
          <w:tcPr>
            <w:tcW w:w="940" w:type="dxa"/>
            <w:vAlign w:val="bottom"/>
            <w:tcBorders>
              <w:right w:val="single" w:sz="8" w:color="CCEEFF"/>
            </w:tcBorders>
            <w:gridSpan w:val="3"/>
            <w:shd w:val="clear" w:color="auto" w:fill="CCEEFF"/>
          </w:tcPr>
          <w:p>
            <w:pPr>
              <w:spacing w:after="0"/>
              <w:rPr>
                <w:sz w:val="11"/>
                <w:szCs w:val="11"/>
                <w:color w:val="auto"/>
              </w:rPr>
            </w:pPr>
          </w:p>
        </w:tc>
        <w:tc>
          <w:tcPr>
            <w:tcW w:w="1760" w:type="dxa"/>
            <w:vAlign w:val="bottom"/>
            <w:gridSpan w:val="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adjustments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9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(666)</w:t>
            </w: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48"/>
        </w:trPr>
        <w:tc>
          <w:tcPr>
            <w:tcW w:w="92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(3,821)</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(130)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(3,951)</w:t>
            </w:r>
          </w:p>
        </w:tc>
        <w:tc>
          <w:tcPr>
            <w:tcW w:w="0" w:type="dxa"/>
            <w:vAlign w:val="bottom"/>
          </w:tcPr>
          <w:p>
            <w:pPr>
              <w:spacing w:after="0"/>
              <w:rPr>
                <w:sz w:val="1"/>
                <w:szCs w:val="1"/>
                <w:color w:val="auto"/>
              </w:rPr>
            </w:pPr>
          </w:p>
        </w:tc>
      </w:tr>
      <w:tr>
        <w:trPr>
          <w:trHeight w:val="97"/>
        </w:trPr>
        <w:tc>
          <w:tcPr>
            <w:tcW w:w="1000" w:type="dxa"/>
            <w:vAlign w:val="bottom"/>
            <w:tcBorders>
              <w:top w:val="single" w:sz="8" w:color="CCEEFF"/>
            </w:tcBorders>
            <w:gridSpan w:val="3"/>
            <w:shd w:val="clear" w:color="auto" w:fill="CCEEFF"/>
          </w:tcPr>
          <w:p>
            <w:pPr>
              <w:spacing w:after="0" w:line="97" w:lineRule="exact"/>
              <w:rPr>
                <w:sz w:val="20"/>
                <w:szCs w:val="20"/>
                <w:color w:val="auto"/>
              </w:rPr>
            </w:pPr>
            <w:r>
              <w:rPr>
                <w:rFonts w:ascii="Arial" w:cs="Arial" w:eastAsia="Arial" w:hAnsi="Arial"/>
                <w:sz w:val="10"/>
                <w:szCs w:val="10"/>
                <w:b w:val="1"/>
                <w:bCs w:val="1"/>
                <w:color w:val="auto"/>
              </w:rPr>
              <w:t>Balance, March</w:t>
            </w:r>
          </w:p>
        </w:tc>
        <w:tc>
          <w:tcPr>
            <w:tcW w:w="460" w:type="dxa"/>
            <w:vAlign w:val="bottom"/>
            <w:tcBorders>
              <w:top w:val="single" w:sz="8" w:color="auto"/>
            </w:tcBorders>
            <w:gridSpan w:val="2"/>
            <w:shd w:val="clear" w:color="auto" w:fill="CCEEFF"/>
          </w:tcPr>
          <w:p>
            <w:pPr>
              <w:spacing w:after="0"/>
              <w:rPr>
                <w:sz w:val="8"/>
                <w:szCs w:val="8"/>
                <w:color w:val="auto"/>
              </w:rPr>
            </w:pPr>
          </w:p>
        </w:tc>
        <w:tc>
          <w:tcPr>
            <w:tcW w:w="200" w:type="dxa"/>
            <w:vAlign w:val="bottom"/>
            <w:tcBorders>
              <w:top w:val="single" w:sz="8" w:color="CCEEFF"/>
            </w:tcBorders>
            <w:gridSpan w:val="3"/>
            <w:shd w:val="clear" w:color="auto" w:fill="CCEEFF"/>
          </w:tcPr>
          <w:p>
            <w:pPr>
              <w:spacing w:after="0"/>
              <w:rPr>
                <w:sz w:val="8"/>
                <w:szCs w:val="8"/>
                <w:color w:val="auto"/>
              </w:rPr>
            </w:pPr>
          </w:p>
        </w:tc>
        <w:tc>
          <w:tcPr>
            <w:tcW w:w="600" w:type="dxa"/>
            <w:vAlign w:val="bottom"/>
            <w:tcBorders>
              <w:top w:val="single" w:sz="8" w:color="auto"/>
              <w:right w:val="single" w:sz="8" w:color="CCEEFF"/>
            </w:tcBorders>
            <w:gridSpan w:val="3"/>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gridSpan w:val="3"/>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right w:val="single" w:sz="8" w:color="CCEEFF"/>
            </w:tcBorders>
            <w:gridSpan w:val="2"/>
            <w:shd w:val="clear" w:color="auto" w:fill="CCEEFF"/>
          </w:tcPr>
          <w:p>
            <w:pPr>
              <w:spacing w:after="0"/>
              <w:rPr>
                <w:sz w:val="8"/>
                <w:szCs w:val="8"/>
                <w:color w:val="auto"/>
              </w:rPr>
            </w:pPr>
          </w:p>
        </w:tc>
        <w:tc>
          <w:tcPr>
            <w:tcW w:w="280" w:type="dxa"/>
            <w:vAlign w:val="bottom"/>
            <w:tcBorders>
              <w:top w:val="single" w:sz="8" w:color="auto"/>
              <w:right w:val="single" w:sz="8" w:color="auto"/>
            </w:tcBorders>
            <w:shd w:val="clear" w:color="auto" w:fill="CCEEFF"/>
          </w:tcPr>
          <w:p>
            <w:pPr>
              <w:spacing w:after="0"/>
              <w:rPr>
                <w:sz w:val="8"/>
                <w:szCs w:val="8"/>
                <w:color w:val="auto"/>
              </w:rPr>
            </w:pPr>
          </w:p>
        </w:tc>
        <w:tc>
          <w:tcPr>
            <w:tcW w:w="540" w:type="dxa"/>
            <w:vAlign w:val="bottom"/>
            <w:tcBorders>
              <w:top w:val="single" w:sz="8" w:color="auto"/>
            </w:tcBorders>
            <w:gridSpan w:val="2"/>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560" w:type="dxa"/>
            <w:vAlign w:val="bottom"/>
            <w:tcBorders>
              <w:top w:val="single" w:sz="8" w:color="auto"/>
            </w:tcBorders>
            <w:gridSpan w:val="4"/>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540" w:type="dxa"/>
            <w:vAlign w:val="bottom"/>
            <w:tcBorders>
              <w:top w:val="single" w:sz="8" w:color="auto"/>
            </w:tcBorders>
            <w:gridSpan w:val="2"/>
            <w:shd w:val="clear" w:color="auto" w:fill="CCEEFF"/>
          </w:tcPr>
          <w:p>
            <w:pPr>
              <w:spacing w:after="0"/>
              <w:rPr>
                <w:sz w:val="8"/>
                <w:szCs w:val="8"/>
                <w:color w:val="auto"/>
              </w:rPr>
            </w:pPr>
          </w:p>
        </w:tc>
        <w:tc>
          <w:tcPr>
            <w:tcW w:w="180" w:type="dxa"/>
            <w:vAlign w:val="bottom"/>
            <w:tcBorders>
              <w:top w:val="single" w:sz="8" w:color="CCEEFF"/>
              <w:right w:val="single" w:sz="8" w:color="CCEEFF"/>
            </w:tcBorders>
            <w:gridSpan w:val="2"/>
            <w:shd w:val="clear" w:color="auto" w:fill="CCEEFF"/>
          </w:tcPr>
          <w:p>
            <w:pPr>
              <w:spacing w:after="0"/>
              <w:rPr>
                <w:sz w:val="8"/>
                <w:szCs w:val="8"/>
                <w:color w:val="auto"/>
              </w:rPr>
            </w:pPr>
          </w:p>
        </w:tc>
        <w:tc>
          <w:tcPr>
            <w:tcW w:w="560" w:type="dxa"/>
            <w:vAlign w:val="bottom"/>
            <w:tcBorders>
              <w:top w:val="single" w:sz="8" w:color="auto"/>
            </w:tcBorders>
            <w:gridSpan w:val="3"/>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620" w:type="dxa"/>
            <w:vAlign w:val="bottom"/>
            <w:tcBorders>
              <w:top w:val="single" w:sz="8" w:color="auto"/>
            </w:tcBorders>
            <w:gridSpan w:val="3"/>
            <w:shd w:val="clear" w:color="auto" w:fill="CCEEFF"/>
          </w:tcPr>
          <w:p>
            <w:pPr>
              <w:spacing w:after="0"/>
              <w:rPr>
                <w:sz w:val="8"/>
                <w:szCs w:val="8"/>
                <w:color w:val="auto"/>
              </w:rPr>
            </w:pPr>
          </w:p>
        </w:tc>
        <w:tc>
          <w:tcPr>
            <w:tcW w:w="160" w:type="dxa"/>
            <w:vAlign w:val="bottom"/>
            <w:tcBorders>
              <w:top w:val="single" w:sz="8" w:color="CCEEFF"/>
              <w:right w:val="single" w:sz="8" w:color="CCEEFF"/>
            </w:tcBorders>
            <w:gridSpan w:val="2"/>
            <w:shd w:val="clear" w:color="auto" w:fill="CCEEFF"/>
          </w:tcPr>
          <w:p>
            <w:pPr>
              <w:spacing w:after="0"/>
              <w:rPr>
                <w:sz w:val="8"/>
                <w:szCs w:val="8"/>
                <w:color w:val="auto"/>
              </w:rPr>
            </w:pPr>
          </w:p>
        </w:tc>
        <w:tc>
          <w:tcPr>
            <w:tcW w:w="720" w:type="dxa"/>
            <w:vAlign w:val="bottom"/>
            <w:tcBorders>
              <w:top w:val="single" w:sz="8" w:color="auto"/>
            </w:tcBorders>
            <w:gridSpan w:val="3"/>
            <w:shd w:val="clear" w:color="auto" w:fill="CCEEFF"/>
          </w:tcPr>
          <w:p>
            <w:pPr>
              <w:spacing w:after="0"/>
              <w:rPr>
                <w:sz w:val="8"/>
                <w:szCs w:val="8"/>
                <w:color w:val="auto"/>
              </w:rPr>
            </w:pPr>
          </w:p>
        </w:tc>
        <w:tc>
          <w:tcPr>
            <w:tcW w:w="220" w:type="dxa"/>
            <w:vAlign w:val="bottom"/>
            <w:tcBorders>
              <w:top w:val="single" w:sz="8" w:color="CCEEFF"/>
              <w:right w:val="single" w:sz="8" w:color="CCEEFF"/>
            </w:tcBorders>
            <w:gridSpan w:val="2"/>
            <w:shd w:val="clear" w:color="auto" w:fill="CCEEFF"/>
          </w:tcPr>
          <w:p>
            <w:pPr>
              <w:spacing w:after="0"/>
              <w:rPr>
                <w:sz w:val="8"/>
                <w:szCs w:val="8"/>
                <w:color w:val="auto"/>
              </w:rPr>
            </w:pPr>
          </w:p>
        </w:tc>
        <w:tc>
          <w:tcPr>
            <w:tcW w:w="760" w:type="dxa"/>
            <w:vAlign w:val="bottom"/>
            <w:tcBorders>
              <w:top w:val="single" w:sz="8" w:color="auto"/>
            </w:tcBorders>
            <w:gridSpan w:val="2"/>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800" w:type="dxa"/>
            <w:vAlign w:val="bottom"/>
            <w:tcBorders>
              <w:top w:val="single" w:sz="8" w:color="auto"/>
            </w:tcBorders>
            <w:gridSpan w:val="3"/>
            <w:shd w:val="clear" w:color="auto" w:fill="CCEEFF"/>
          </w:tcPr>
          <w:p>
            <w:pPr>
              <w:spacing w:after="0"/>
              <w:rPr>
                <w:sz w:val="8"/>
                <w:szCs w:val="8"/>
                <w:color w:val="auto"/>
              </w:rPr>
            </w:pPr>
          </w:p>
        </w:tc>
        <w:tc>
          <w:tcPr>
            <w:tcW w:w="160" w:type="dxa"/>
            <w:vAlign w:val="bottom"/>
            <w:tcBorders>
              <w:top w:val="single" w:sz="8" w:color="CCEEFF"/>
            </w:tcBorders>
            <w:gridSpan w:val="2"/>
            <w:shd w:val="clear" w:color="auto" w:fill="CCEEFF"/>
          </w:tcPr>
          <w:p>
            <w:pPr>
              <w:spacing w:after="0"/>
              <w:rPr>
                <w:sz w:val="8"/>
                <w:szCs w:val="8"/>
                <w:color w:val="auto"/>
              </w:rPr>
            </w:pPr>
          </w:p>
        </w:tc>
        <w:tc>
          <w:tcPr>
            <w:tcW w:w="740" w:type="dxa"/>
            <w:vAlign w:val="bottom"/>
            <w:tcBorders>
              <w:top w:val="single" w:sz="8" w:color="auto"/>
            </w:tcBorders>
            <w:gridSpan w:val="2"/>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31, 2020</w:t>
            </w:r>
          </w:p>
        </w:tc>
        <w:tc>
          <w:tcPr>
            <w:tcW w:w="16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22,065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33,765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ind w:right="339"/>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right w:val="single" w:sz="8" w:color="CCEEFF"/>
            </w:tcBorders>
            <w:shd w:val="clear" w:color="auto" w:fill="CCEEFF"/>
          </w:tcPr>
          <w:p>
            <w:pPr>
              <w:spacing w:after="0"/>
              <w:rPr>
                <w:sz w:val="15"/>
                <w:szCs w:val="15"/>
                <w:color w:val="auto"/>
              </w:rPr>
            </w:pPr>
          </w:p>
        </w:tc>
        <w:tc>
          <w:tcPr>
            <w:tcW w:w="280" w:type="dxa"/>
            <w:vAlign w:val="bottom"/>
            <w:tcBorders>
              <w:right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91"/>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89"/>
              </w:rPr>
              <w:t>7,904,838</w:t>
            </w:r>
          </w:p>
        </w:tc>
        <w:tc>
          <w:tcPr>
            <w:tcW w:w="540" w:type="dxa"/>
            <w:vAlign w:val="bottom"/>
            <w:gridSpan w:val="2"/>
            <w:shd w:val="clear" w:color="auto" w:fill="CCEEFF"/>
          </w:tcPr>
          <w:p>
            <w:pPr>
              <w:jc w:val="right"/>
              <w:ind w:right="277"/>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1"/>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1"/>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18,891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3"/>
            <w:shd w:val="clear" w:color="auto" w:fill="CCEEFF"/>
          </w:tcPr>
          <w:p>
            <w:pPr>
              <w:jc w:val="right"/>
              <w:ind w:right="40"/>
              <w:spacing w:after="0" w:line="181" w:lineRule="exact"/>
              <w:rPr>
                <w:sz w:val="20"/>
                <w:szCs w:val="20"/>
                <w:color w:val="auto"/>
              </w:rPr>
            </w:pPr>
            <w:r>
              <w:rPr>
                <w:rFonts w:ascii="Arial" w:cs="Arial" w:eastAsia="Arial" w:hAnsi="Arial"/>
                <w:sz w:val="11"/>
                <w:szCs w:val="11"/>
                <w:b w:val="1"/>
                <w:bCs w:val="1"/>
                <w:color w:val="auto"/>
              </w:rPr>
              <w:t>(43,835</w:t>
            </w:r>
            <w:r>
              <w:rPr>
                <w:rFonts w:ascii="Arial" w:cs="Arial" w:eastAsia="Arial" w:hAnsi="Arial"/>
                <w:sz w:val="20"/>
                <w:szCs w:val="20"/>
                <w:b w:val="1"/>
                <w:bCs w:val="1"/>
                <w:color w:val="auto"/>
                <w:vertAlign w:val="superscript"/>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CCEEFF"/>
            </w:tcBorders>
            <w:gridSpan w:val="3"/>
            <w:shd w:val="clear" w:color="auto" w:fill="CCEEFF"/>
          </w:tcPr>
          <w:p>
            <w:pPr>
              <w:jc w:val="right"/>
              <w:ind w:right="120"/>
              <w:spacing w:after="0" w:line="181" w:lineRule="exact"/>
              <w:rPr>
                <w:sz w:val="20"/>
                <w:szCs w:val="20"/>
                <w:color w:val="auto"/>
              </w:rPr>
            </w:pPr>
            <w:r>
              <w:rPr>
                <w:rFonts w:ascii="Arial" w:cs="Arial" w:eastAsia="Arial" w:hAnsi="Arial"/>
                <w:sz w:val="11"/>
                <w:szCs w:val="11"/>
                <w:b w:val="1"/>
                <w:bCs w:val="1"/>
                <w:color w:val="auto"/>
              </w:rPr>
              <w:t>(1,133</w:t>
            </w:r>
            <w:r>
              <w:rPr>
                <w:rFonts w:ascii="Arial" w:cs="Arial" w:eastAsia="Arial" w:hAnsi="Arial"/>
                <w:sz w:val="20"/>
                <w:szCs w:val="20"/>
                <w:b w:val="1"/>
                <w:bCs w:val="1"/>
                <w:color w:val="auto"/>
                <w:vertAlign w:val="superscript"/>
              </w:rPr>
              <w:t>)</w:t>
            </w:r>
          </w:p>
        </w:tc>
        <w:tc>
          <w:tcPr>
            <w:tcW w:w="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1"/>
                <w:szCs w:val="11"/>
                <w:b w:val="1"/>
                <w:bCs w:val="1"/>
                <w:color w:val="auto"/>
              </w:rPr>
              <w:t>(25,857</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CEEFF"/>
            </w:tcBorders>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5"/>
              </w:rPr>
              <w:t>March 31, 2021</w:t>
            </w: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March 31, 2020</w:t>
            </w:r>
          </w:p>
        </w:tc>
        <w:tc>
          <w:tcPr>
            <w:tcW w:w="100" w:type="dxa"/>
            <w:vAlign w:val="bottom"/>
          </w:tcPr>
          <w:p>
            <w:pPr>
              <w:spacing w:after="0"/>
              <w:rPr>
                <w:sz w:val="18"/>
                <w:szCs w:val="18"/>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(15,386)</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(3,951)</w:t>
            </w:r>
          </w:p>
        </w:tc>
      </w:tr>
      <w:tr>
        <w:trPr>
          <w:trHeight w:val="216"/>
        </w:trPr>
        <w:tc>
          <w:tcPr>
            <w:tcW w:w="7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Share based compensation</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r>
      <w:tr>
        <w:trPr>
          <w:trHeight w:val="21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Lease liability</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valuation gain on embedded derivatives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Unrealized foreign exchange gain on convertible loan notes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 on convertible loan notes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Deferred tax benefit</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conversion of convertible loan notes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r>
      <w:tr>
        <w:trPr>
          <w:trHeight w:val="216"/>
        </w:trPr>
        <w:tc>
          <w:tcPr>
            <w:tcW w:w="70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7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 incentives receivable</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w:t>
            </w:r>
          </w:p>
        </w:tc>
      </w:tr>
      <w:tr>
        <w:trPr>
          <w:trHeight w:val="216"/>
        </w:trPr>
        <w:tc>
          <w:tcPr>
            <w:tcW w:w="70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(1,154)</w:t>
            </w:r>
          </w:p>
        </w:tc>
      </w:tr>
      <w:tr>
        <w:trPr>
          <w:trHeight w:val="216"/>
        </w:trPr>
        <w:tc>
          <w:tcPr>
            <w:tcW w:w="7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r>
      <w:tr>
        <w:trPr>
          <w:trHeight w:val="216"/>
        </w:trPr>
        <w:tc>
          <w:tcPr>
            <w:tcW w:w="70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09"/>
        </w:trPr>
        <w:tc>
          <w:tcPr>
            <w:tcW w:w="7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09"/>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8"/>
                <w:szCs w:val="18"/>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Issue of shares and exercise of stock options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public offering costs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Transaction costs for Series B shares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(3,402)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issue of Series B shares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125,239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121,815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112,669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(4,998)</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43,266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11,432</w:t>
            </w:r>
          </w:p>
        </w:tc>
      </w:tr>
      <w:tr>
        <w:trPr>
          <w:trHeight w:val="250"/>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the period</w:t>
            </w:r>
          </w:p>
        </w:tc>
        <w:tc>
          <w:tcPr>
            <w:tcW w:w="14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155,935</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6,435</w:t>
            </w:r>
          </w:p>
        </w:tc>
        <w:tc>
          <w:tcPr>
            <w:tcW w:w="100" w:type="dxa"/>
            <w:vAlign w:val="bottom"/>
            <w:tcBorders>
              <w:bottom w:val="single" w:sz="8" w:color="CCEEFF"/>
            </w:tcBorders>
          </w:tcPr>
          <w:p>
            <w:pPr>
              <w:spacing w:after="0"/>
              <w:rPr>
                <w:sz w:val="21"/>
                <w:szCs w:val="21"/>
                <w:color w:val="auto"/>
              </w:rPr>
            </w:pPr>
          </w:p>
        </w:tc>
      </w:tr>
      <w:tr>
        <w:trPr>
          <w:trHeight w:val="196"/>
        </w:trPr>
        <w:tc>
          <w:tcPr>
            <w:tcW w:w="70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Supplemental cash flow disclosures: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1,844</w:t>
            </w: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Capital expenditures included in accounts payable</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Issue of deferred A shares</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 of Series B shares</w:t>
            </w:r>
          </w:p>
        </w:tc>
        <w:tc>
          <w:tcPr>
            <w:tcW w:w="1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53,721</w:t>
            </w: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229" w:lineRule="exact"/>
        <w:rPr>
          <w:rFonts w:ascii="Arial" w:cs="Arial" w:eastAsia="Arial" w:hAnsi="Arial"/>
          <w:sz w:val="18"/>
          <w:szCs w:val="18"/>
          <w:b w:val="1"/>
          <w:bCs w:val="1"/>
          <w:color w:val="auto"/>
        </w:rPr>
      </w:pPr>
    </w:p>
    <w:p>
      <w:pPr>
        <w:ind w:left="340" w:right="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Vaccitech plc (Vaccitech) is a public limited company incorporated pursuant to the laws of England and Wales in March 2021. Vaccitech is engaged in the discovery and development of novel immunotherapeutics and vaccines for the treatment and prevention of infectious disease and cancer. Vaccitech is headquartered in Oxford, United Kingdom. Vaccitech and its five direct and indirect subsidiaries, Vaccitech (UK) Limited, Vaccitech Australia Pty Limited, Vaccitech Oncology Limited (“VOLT”), Vaccitech USA Inc. and Vaccitech Italia S.R.L, are collectively referred to as the “Company”.</w:t>
      </w:r>
    </w:p>
    <w:p>
      <w:pPr>
        <w:spacing w:after="0" w:line="157" w:lineRule="exact"/>
        <w:rPr>
          <w:rFonts w:ascii="Arial" w:cs="Arial" w:eastAsia="Arial" w:hAnsi="Arial"/>
          <w:sz w:val="18"/>
          <w:szCs w:val="18"/>
          <w:b w:val="1"/>
          <w:bCs w:val="1"/>
          <w:color w:val="auto"/>
        </w:rPr>
      </w:pPr>
    </w:p>
    <w:p>
      <w:pPr>
        <w:ind w:left="340" w:right="2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connection with the initial public offering of American Depositary Shares (“ADSs”), in March 2021, Vaccitech completed a corporate reorganization wherein the shareholders of Vaccitech (UK) Limited (formerly Vaccitech Limited) exchanged each of their ordinary shares, Series A Shares and Series B Shares of the Company for the same quantity of ordinary shares, series A shares (“Vaccitech plc Series A Shares”) and series B shares (“Vaccitech plc Series B Shares”) in Vaccitech plc (resulting in the shareholders of the Company holding the same percentage and class of shares in Vaccitech plc (formerly Vaccitech Rx Limited) as they had in Vaccitech (UK) Limited (formerly Vaccitech Limited). The group reorganization under common control constitutes a change in reporting entity and has been given retrospective effect reflecting the net assets of Vaccitech (UK) Limited (formerly Vaccitech Limited) and its subsidiaries and Vaccitech plc at their historical carrying amounts. As a result of the reorganization these interim condensed consolidated financial statements have been presented for all periods as if Vaccitech plc was the holding company of the group.</w:t>
      </w:r>
    </w:p>
    <w:p>
      <w:pPr>
        <w:spacing w:after="0" w:line="180" w:lineRule="exact"/>
        <w:rPr>
          <w:rFonts w:ascii="Arial" w:cs="Arial" w:eastAsia="Arial" w:hAnsi="Arial"/>
          <w:sz w:val="18"/>
          <w:szCs w:val="18"/>
          <w:b w:val="1"/>
          <w:bCs w:val="1"/>
          <w:color w:val="auto"/>
        </w:rPr>
      </w:pPr>
    </w:p>
    <w:p>
      <w:pPr>
        <w:ind w:left="3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operates in an environment of rapid technological change and substantial competition from pharmaceutical and biotechnology companies. The Company is subject to risks common to companies in the biopharmaceutical industry in similar stage of its life cycle including, but not limited to, the need to obtain adequate additional funding, possible failure of preclinical testing or clinical trials, the need to obtain marketing approval for its vaccine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spacing w:after="0" w:line="16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225" w:lineRule="exact"/>
        <w:rPr>
          <w:rFonts w:ascii="Arial" w:cs="Arial" w:eastAsia="Arial" w:hAnsi="Arial"/>
          <w:sz w:val="18"/>
          <w:szCs w:val="18"/>
          <w:b w:val="1"/>
          <w:bCs w:val="1"/>
          <w:color w:val="auto"/>
        </w:rPr>
      </w:pPr>
    </w:p>
    <w:p>
      <w:pPr>
        <w:ind w:left="340" w:right="12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Company’s unaudited condensed consolidated financial statements have been prepared in conformity with accounting principles generally accepted in the United States of America (“GAAP”) and pursuant to the rules and regulations of the Securities and Exchange Commission for interim financial statements. Certain information and footnote disclosures normally included in financial statements prepared in accordance with GAAP have been condensed or omitted pursuant to such rules and regulations. The accompanying condensed consolidated financial statements include the accounts of the Company and its wholly owned subsidiary. All intercompany accounts and transactions have been eliminated in consolidation.</w:t>
      </w:r>
    </w:p>
    <w:p>
      <w:pPr>
        <w:spacing w:after="0" w:line="161" w:lineRule="exact"/>
        <w:rPr>
          <w:rFonts w:ascii="Arial" w:cs="Arial" w:eastAsia="Arial" w:hAnsi="Arial"/>
          <w:sz w:val="18"/>
          <w:szCs w:val="18"/>
          <w:b w:val="1"/>
          <w:bCs w:val="1"/>
          <w:color w:val="auto"/>
        </w:rPr>
      </w:pPr>
    </w:p>
    <w:p>
      <w:pPr>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Certain notes or other information that are normally required by U.S. GAAP have been omitted if they substantially duplicate the disclosures contained in the Company’s annual audited consolidated financial statements. Accordingly, the unaudited condensed consolidated financial statements should be read in connection with the Company’s audited financial statements and related notes as of and for the year ended December 31, 2020.</w:t>
      </w:r>
    </w:p>
    <w:p>
      <w:pPr>
        <w:spacing w:after="0" w:line="148" w:lineRule="exact"/>
        <w:rPr>
          <w:rFonts w:ascii="Arial" w:cs="Arial" w:eastAsia="Arial" w:hAnsi="Arial"/>
          <w:sz w:val="18"/>
          <w:szCs w:val="18"/>
          <w:b w:val="1"/>
          <w:bCs w:val="1"/>
          <w:color w:val="auto"/>
        </w:rPr>
      </w:pPr>
    </w:p>
    <w:p>
      <w:pPr>
        <w:jc w:val="both"/>
        <w:ind w:left="340" w:right="1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On May 4, 2021, the Company effected a 309-for-1 stock split of ordinary shares. Each resultant ordinary share from the stock split was redesignated as one ordinary share and one deferred C share. Accordingly, all ordinary share and per share amounts for all periods presented in the accompanying condensed consolidated financial statements and notes thereto have been retroactively adjusted, where applicable, to reflect the stock split.</w:t>
      </w:r>
    </w:p>
    <w:p>
      <w:pPr>
        <w:spacing w:after="0" w:line="148" w:lineRule="exact"/>
        <w:rPr>
          <w:rFonts w:ascii="Arial" w:cs="Arial" w:eastAsia="Arial" w:hAnsi="Arial"/>
          <w:sz w:val="18"/>
          <w:szCs w:val="18"/>
          <w:b w:val="1"/>
          <w:bCs w:val="1"/>
          <w:color w:val="auto"/>
        </w:rPr>
      </w:pPr>
    </w:p>
    <w:p>
      <w:pPr>
        <w:ind w:left="340" w:right="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condensed consolidated balance sheet and statement of changes in redeemable convertible preferred shares and shareholders’ deficit include the correction of an error related to the Company’s consolidated financial statements for the period ended December 31, 2019. The error related to the omission of share-based compensation expense totaling $2,129 thousand in the period ended December 31, 2019. The correction of this error has been recorded as an adjustment to previously reported additional paid-in-capital and accumulated deficit as of January 1, 2020 and consequently as of December 31, 2020. There is no impact on net loss or cash flows, and no material impact on financial position for the periods presented.</w:t>
      </w:r>
    </w:p>
    <w:p>
      <w:pPr>
        <w:spacing w:after="0" w:line="161" w:lineRule="exact"/>
        <w:rPr>
          <w:rFonts w:ascii="Arial" w:cs="Arial" w:eastAsia="Arial" w:hAnsi="Arial"/>
          <w:sz w:val="18"/>
          <w:szCs w:val="18"/>
          <w:b w:val="1"/>
          <w:bCs w:val="1"/>
          <w:color w:val="auto"/>
        </w:rPr>
      </w:pPr>
    </w:p>
    <w:p>
      <w:pPr>
        <w:ind w:left="34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accompanying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spacing w:after="0" w:line="12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Unaudited Condensed Financial Information</w:t>
      </w:r>
    </w:p>
    <w:p>
      <w:pPr>
        <w:spacing w:after="0" w:line="225" w:lineRule="exact"/>
        <w:rPr>
          <w:rFonts w:ascii="Arial" w:cs="Arial" w:eastAsia="Arial" w:hAnsi="Arial"/>
          <w:sz w:val="18"/>
          <w:szCs w:val="18"/>
          <w:b w:val="1"/>
          <w:bCs w:val="1"/>
          <w:color w:val="auto"/>
        </w:rPr>
      </w:pPr>
    </w:p>
    <w:p>
      <w:pPr>
        <w:ind w:left="34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accompanying Condensed Consolidated Balance Sheet as of March 31, 2021, the Condensed Consolidated Statements of Income for the three months ended March 31, 2021 and 2020 and the Condensed Consolidated Statements of Cash Flows for the three months ended March 31, 2021 and 2020 are unaudited. These unaudited condensed consolidated financial statements have been prepared on the same basis as the audited annual consolidated financial statements. In our opinion, the unaudited condensed consolidated financial statements include all adjustments of a normal recurring nature necessary for the fair presentation of our financial position as of March 31, 2021, our results of operations for the three months ended March 31, 2021 and 2020, and our cash flows for the three months ended March 31, 2021 and 2020. The results of operations for the three ended March 31, 2021 are not necessarily indicative of the results to be expected for the year ending December 31, 2021, any other interim periods.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686"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34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Company are set forth in Note 2 to the consolidated financial statements as of and for the year ended December 31, 2020 except as discussed below related to newly adopted accounting pronouncements.</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p>
    <w:p>
      <w:pPr>
        <w:spacing w:after="0" w:line="225" w:lineRule="exact"/>
        <w:rPr>
          <w:rFonts w:ascii="Arial" w:cs="Arial" w:eastAsia="Arial" w:hAnsi="Arial"/>
          <w:sz w:val="18"/>
          <w:szCs w:val="18"/>
          <w:b w:val="1"/>
          <w:bCs w:val="1"/>
          <w:color w:val="auto"/>
        </w:rPr>
      </w:pPr>
    </w:p>
    <w:p>
      <w:pPr>
        <w:ind w:left="34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92" w:lineRule="exact"/>
        <w:rPr>
          <w:rFonts w:ascii="Arial" w:cs="Arial" w:eastAsia="Arial" w:hAnsi="Arial"/>
          <w:sz w:val="18"/>
          <w:szCs w:val="18"/>
          <w:b w:val="1"/>
          <w:bCs w:val="1"/>
          <w:color w:val="auto"/>
        </w:rPr>
      </w:pPr>
    </w:p>
    <w:p>
      <w:pPr>
        <w:ind w:left="340" w:right="2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We have experienced and expect to continue to experience disruptions as a result of the COVID-19 pandemic that could severely impact the Company’s clinical and pre-clinical development timelines for the Company’s clinical and pre-clinical programs. Estimates and assumptions about future events and their effects cannot be determined with certainty and therefore require the exercise of judgment. As of the date of issuance of these condensed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spacing w:after="0" w:line="16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rFonts w:ascii="Arial" w:cs="Arial" w:eastAsia="Arial" w:hAnsi="Arial"/>
          <w:sz w:val="18"/>
          <w:szCs w:val="18"/>
          <w:b w:val="1"/>
          <w:bCs w:val="1"/>
          <w:color w:val="auto"/>
        </w:rPr>
      </w:pPr>
    </w:p>
    <w:p>
      <w:pPr>
        <w:ind w:left="34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177" w:lineRule="exact"/>
        <w:rPr>
          <w:rFonts w:ascii="Arial" w:cs="Arial" w:eastAsia="Arial" w:hAnsi="Arial"/>
          <w:sz w:val="18"/>
          <w:szCs w:val="18"/>
          <w:b w:val="1"/>
          <w:bCs w:val="1"/>
          <w:color w:val="auto"/>
        </w:rPr>
      </w:pPr>
    </w:p>
    <w:p>
      <w:pPr>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adopted ASU No. 2018-15, Intangibles-Goodwill and Other-Internal-Use Software (Subtopic 350-40): Customer’s Accounting for Implementation Costs Incurred in a Cloud Computing Arrangement That Is a Service Contract (“ASU 2018-15”) on January 1, 2021. The new standard did not have an impact on the Company’s financial position and results of operations.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rFonts w:ascii="Arial" w:cs="Arial" w:eastAsia="Arial" w:hAnsi="Arial"/>
          <w:sz w:val="18"/>
          <w:szCs w:val="18"/>
          <w:b w:val="1"/>
          <w:bCs w:val="1"/>
          <w:color w:val="auto"/>
        </w:rPr>
      </w:pPr>
    </w:p>
    <w:p>
      <w:pPr>
        <w:ind w:left="340" w:right="5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Because the Company has reported a net loss attributable to ordinary shareholders for the period presented, basic and diluted net loss per share attributable to ordinary shareholders are the same for the period presented. All Series A &amp; Series B shares and stock options have been excluded from the computation of diluted weighted-average shares outstanding because such securities would have an antidilutive impact.</w:t>
      </w:r>
    </w:p>
    <w:p>
      <w:pPr>
        <w:spacing w:after="0" w:line="148" w:lineRule="exact"/>
        <w:rPr>
          <w:rFonts w:ascii="Arial" w:cs="Arial" w:eastAsia="Arial" w:hAnsi="Arial"/>
          <w:sz w:val="18"/>
          <w:szCs w:val="18"/>
          <w:b w:val="1"/>
          <w:bCs w:val="1"/>
          <w:color w:val="auto"/>
        </w:rPr>
      </w:pPr>
    </w:p>
    <w:p>
      <w:pPr>
        <w:ind w:left="3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for the 3 months ended March 31, 2021 and 2020 (in thousands, except number of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w w:val="91"/>
              </w:rPr>
              <w:t>Three months ended March 31,</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Numerator:</w:t>
            </w:r>
          </w:p>
        </w:tc>
        <w:tc>
          <w:tcPr>
            <w:tcW w:w="13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180"/>
              <w:spacing w:after="0"/>
              <w:rPr>
                <w:sz w:val="20"/>
                <w:szCs w:val="20"/>
                <w:color w:val="auto"/>
              </w:rPr>
            </w:pPr>
            <w:r>
              <w:rPr>
                <w:rFonts w:ascii="Arial" w:cs="Arial" w:eastAsia="Arial" w:hAnsi="Arial"/>
                <w:sz w:val="18"/>
                <w:szCs w:val="18"/>
                <w:color w:val="auto"/>
              </w:rPr>
              <w:t>Net loss attributable to noncontrolling interest</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attributable to Vaccitech shareholders</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ordinary shares outstanding, basic and diluted</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8,057,216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7,816,681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Net loss per share attributable to ordinary shareholders, basic and diluted</w:t>
            </w:r>
          </w:p>
        </w:tc>
        <w:tc>
          <w:tcPr>
            <w:tcW w:w="13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(1.90</w:t>
            </w: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980"/>
        <w:spacing w:after="0" w:line="277" w:lineRule="auto"/>
        <w:rPr>
          <w:sz w:val="20"/>
          <w:szCs w:val="20"/>
          <w:color w:val="auto"/>
        </w:rPr>
      </w:pPr>
      <w:r>
        <w:rPr>
          <w:rFonts w:ascii="Arial" w:cs="Arial" w:eastAsia="Arial" w:hAnsi="Arial"/>
          <w:sz w:val="18"/>
          <w:szCs w:val="18"/>
          <w:color w:val="auto"/>
        </w:rPr>
        <w:t>Potential ordinary shares issuable upon conversion or exercise of Series A &amp; Series B Shares and stock options that are excluded from the computation of diluted weighted-average shares outstanding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4"/>
          </w:tcPr>
          <w:p>
            <w:pPr>
              <w:ind w:left="14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09"/>
        </w:trPr>
        <w:tc>
          <w:tcPr>
            <w:tcW w:w="84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Series A shares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6,818,085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6,818,085</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Series B shares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12,785,802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1,895,097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1,244,961</w:t>
            </w: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Prepaid and other current assets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2021</w:t>
            </w:r>
          </w:p>
        </w:tc>
        <w:tc>
          <w:tcPr>
            <w:tcW w:w="1720" w:type="dxa"/>
            <w:vAlign w:val="bottom"/>
            <w:gridSpan w:val="4"/>
          </w:tcPr>
          <w:p>
            <w:pPr>
              <w:ind w:left="160"/>
              <w:spacing w:after="0"/>
              <w:rPr>
                <w:sz w:val="20"/>
                <w:szCs w:val="20"/>
                <w:color w:val="auto"/>
              </w:rPr>
            </w:pPr>
            <w:r>
              <w:rPr>
                <w:rFonts w:ascii="Arial" w:cs="Arial" w:eastAsia="Arial" w:hAnsi="Arial"/>
                <w:sz w:val="18"/>
                <w:szCs w:val="18"/>
                <w:b w:val="1"/>
                <w:bCs w:val="1"/>
                <w:color w:val="auto"/>
                <w:w w:val="94"/>
              </w:rPr>
              <w:t>December 31, 2020</w:t>
            </w: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 and accrued income</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Value Added Tax receivable</w:t>
            </w:r>
          </w:p>
        </w:tc>
        <w:tc>
          <w:tcPr>
            <w:tcW w:w="4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Others</w:t>
            </w:r>
          </w:p>
        </w:tc>
        <w:tc>
          <w:tcPr>
            <w:tcW w:w="4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0"/>
        </w:trPr>
        <w:tc>
          <w:tcPr>
            <w:tcW w:w="8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780"/>
        <w:spacing w:after="0" w:line="342" w:lineRule="auto"/>
        <w:rPr>
          <w:sz w:val="20"/>
          <w:szCs w:val="20"/>
          <w:color w:val="auto"/>
        </w:rPr>
      </w:pPr>
      <w:r>
        <w:rPr>
          <w:rFonts w:ascii="Arial" w:cs="Arial" w:eastAsia="Arial" w:hAnsi="Arial"/>
          <w:sz w:val="16"/>
          <w:szCs w:val="16"/>
          <w:color w:val="auto"/>
        </w:rPr>
        <w:t>Deferred offering costs consist of legal, accounting and other expenses incurred through the balance sheet date that are directly related to the Initial Public Offering. These costs will be charged to shareholders’ deficit in the period of completion of the Initial Public Offering.</w:t>
      </w:r>
    </w:p>
    <w:p>
      <w:pPr>
        <w:spacing w:after="0" w:line="12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2021</w:t>
            </w:r>
          </w:p>
        </w:tc>
        <w:tc>
          <w:tcPr>
            <w:tcW w:w="1720" w:type="dxa"/>
            <w:vAlign w:val="bottom"/>
            <w:gridSpan w:val="4"/>
          </w:tcPr>
          <w:p>
            <w:pPr>
              <w:ind w:left="160"/>
              <w:spacing w:after="0"/>
              <w:rPr>
                <w:sz w:val="20"/>
                <w:szCs w:val="20"/>
                <w:color w:val="auto"/>
              </w:rPr>
            </w:pPr>
            <w:r>
              <w:rPr>
                <w:rFonts w:ascii="Arial" w:cs="Arial" w:eastAsia="Arial" w:hAnsi="Arial"/>
                <w:sz w:val="18"/>
                <w:szCs w:val="18"/>
                <w:b w:val="1"/>
                <w:bCs w:val="1"/>
                <w:color w:val="auto"/>
                <w:w w:val="94"/>
              </w:rPr>
              <w:t>December 31, 2020</w:t>
            </w: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manufacturing and clinical expenses</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Accrued board of director compensation</w:t>
            </w:r>
          </w:p>
        </w:tc>
        <w:tc>
          <w:tcPr>
            <w:tcW w:w="4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Accrued bonus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Accrued payroll and employee benefits</w:t>
            </w:r>
          </w:p>
        </w:tc>
        <w:tc>
          <w:tcPr>
            <w:tcW w:w="4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Accrued other</w:t>
            </w:r>
          </w:p>
        </w:tc>
        <w:tc>
          <w:tcPr>
            <w:tcW w:w="4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r>
      <w:tr>
        <w:trPr>
          <w:trHeight w:val="209"/>
        </w:trPr>
        <w:tc>
          <w:tcPr>
            <w:tcW w:w="8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VACCITECH PLC.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Series B shares</w:t>
      </w:r>
    </w:p>
    <w:p>
      <w:pPr>
        <w:spacing w:after="0" w:line="229" w:lineRule="exact"/>
        <w:rPr>
          <w:rFonts w:ascii="Arial" w:cs="Arial" w:eastAsia="Arial" w:hAnsi="Arial"/>
          <w:sz w:val="18"/>
          <w:szCs w:val="18"/>
          <w:b w:val="1"/>
          <w:bCs w:val="1"/>
          <w:color w:val="auto"/>
        </w:rPr>
      </w:pPr>
    </w:p>
    <w:p>
      <w:pPr>
        <w:ind w:left="34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March 15, 2021, the Company issued 28,957 Series B preferred shares (‘‘Series B Shares’’) amounting to $125,239 thousand and incurred transaction costs of $3,402 thousand. Series B shareholders have full voting rights and powers similar to the rights and powers of Series A and ordinary shareholders. Each Series B Share is convertible into 309 ordinary shares and nine deferred shares at the holders’ option at any time. Each Series B Share is automatically converted into 309 ordinary shares and nine deferred B shares and 309 deferred C shares upon a vote by a simple majority of the Series B shareholders or upon the completion of a qualified public offering at a price per share of at least 1.2 times the Series B Share issuance price (adjusted for stock splits or stock dividends) and aggregate gross proceeds of at least $100,000 thousand. Upon liquidation, dissolution, or winding up of business, Series B Shares have liquidation preference in priority to holders of Series A Shares and ordinary shares.</w:t>
      </w:r>
    </w:p>
    <w:p>
      <w:pPr>
        <w:spacing w:after="0" w:line="166" w:lineRule="exact"/>
        <w:rPr>
          <w:rFonts w:ascii="Arial" w:cs="Arial" w:eastAsia="Arial" w:hAnsi="Arial"/>
          <w:sz w:val="18"/>
          <w:szCs w:val="18"/>
          <w:b w:val="1"/>
          <w:bCs w:val="1"/>
          <w:color w:val="auto"/>
        </w:rPr>
      </w:pPr>
    </w:p>
    <w:p>
      <w:pPr>
        <w:ind w:left="34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Series B shares are classified as temporary equity in the accompanying balance sheet due to redemption rights granted to the holders, that are outside of the company’s control. Series B Shares are initially recorded at the original issuance price net of issuance costs and discounts. The carrying value is adjusted for dividends expected to be paid upon conversion, redemption or liquidation according to the Series B Share terms. Series B Shares do not have stated redemption date and they are not currently redeemable. If and when the redemption contingency becomes probable of occurring, the carrying amount will be adjusted by either accreting the carrying amount up to the maximum redemption value over the period through the earliest redemption date using the interest method or adjusting the carrying value to the maximum redemption value at the end of each reporting period until redeemed.</w:t>
      </w:r>
    </w:p>
    <w:p>
      <w:pPr>
        <w:spacing w:after="0" w:line="190"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loan notes</w:t>
      </w:r>
    </w:p>
    <w:p>
      <w:pPr>
        <w:spacing w:after="0" w:line="229" w:lineRule="exact"/>
        <w:rPr>
          <w:rFonts w:ascii="Arial" w:cs="Arial" w:eastAsia="Arial" w:hAnsi="Arial"/>
          <w:sz w:val="18"/>
          <w:szCs w:val="18"/>
          <w:b w:val="1"/>
          <w:bCs w:val="1"/>
          <w:color w:val="auto"/>
        </w:rPr>
      </w:pPr>
    </w:p>
    <w:p>
      <w:pPr>
        <w:ind w:left="340" w:right="3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recognized interest expense of $2,650 thousand and a change in fair value of $5,994 thousand in relation to the conversion and redemption features embedded in the convertible loan notes in the condensed consolidated statements of operations and comprehensive loss for the period ended March 31, 2021.</w:t>
      </w:r>
    </w:p>
    <w:p>
      <w:pPr>
        <w:spacing w:after="0" w:line="183" w:lineRule="exact"/>
        <w:rPr>
          <w:rFonts w:ascii="Arial" w:cs="Arial" w:eastAsia="Arial" w:hAnsi="Arial"/>
          <w:sz w:val="18"/>
          <w:szCs w:val="18"/>
          <w:b w:val="1"/>
          <w:bCs w:val="1"/>
          <w:color w:val="auto"/>
        </w:rPr>
      </w:pPr>
    </w:p>
    <w:p>
      <w:pPr>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Series B funding on March 15, 2021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83" w:lineRule="exact"/>
        <w:rPr>
          <w:rFonts w:ascii="Arial" w:cs="Arial" w:eastAsia="Arial" w:hAnsi="Arial"/>
          <w:sz w:val="18"/>
          <w:szCs w:val="18"/>
          <w:b w:val="1"/>
          <w:bCs w:val="1"/>
          <w:color w:val="auto"/>
        </w:rPr>
      </w:pPr>
    </w:p>
    <w:p>
      <w:pPr>
        <w:ind w:left="34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conversion was accounted for as an extinguishment of the convertible loan notes. As a result, the 12,421 Series B preferred shares issued on conversion was recognized at the settlement-date fair value of the Series B shares ($53,721 thousands) and a loss of $13,789 thousand was recognized in earnings for the difference between (1) the fair value of those shares and (2) the sum of the carrying amounts of the convertible loan notes ($25,557 thousand) and the bifurcated conversion and redemption feature liability ($14,375 thousand).</w:t>
      </w:r>
    </w:p>
    <w:p>
      <w:pPr>
        <w:spacing w:after="0" w:line="167"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A Shares</w:t>
      </w:r>
    </w:p>
    <w:p>
      <w:pPr>
        <w:spacing w:after="0" w:line="229" w:lineRule="exact"/>
        <w:rPr>
          <w:rFonts w:ascii="Arial" w:cs="Arial" w:eastAsia="Arial" w:hAnsi="Arial"/>
          <w:sz w:val="18"/>
          <w:szCs w:val="18"/>
          <w:b w:val="1"/>
          <w:bCs w:val="1"/>
          <w:color w:val="auto"/>
        </w:rPr>
      </w:pPr>
    </w:p>
    <w:p>
      <w:pPr>
        <w:ind w:left="34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March 31, 2021, Vaccitech Plc subdivided each of the Series A shares and Series B shares into one share of the same class and one deferred A share with a nominal value of £1.00 per share. The deferred A shares do not have rights to dividends or to participate in profits on a return of assets on liquidation, the deferred A shares shall confer on the holders thereof an entitlement to receive out of the assets of the Company available for distribution amongst the shareholders (subject to the rights of any new class of shares with preferred rights) the amount credited as paid up on the deferred A shares held by them respectively after (but only after) payment shall have been made to the holders of the ordinary shares of the amounts paid up or credited as paid up on such shares and the sum of £1,000 thousand ($1,373 thousand) in respect of each ordinary share held by them respectively. The deferred A shares shall confer on the holders thereof no further right to participate in the assets of the Company.</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rFonts w:ascii="Arial" w:cs="Arial" w:eastAsia="Arial" w:hAnsi="Arial"/>
          <w:sz w:val="18"/>
          <w:szCs w:val="18"/>
          <w:b w:val="1"/>
          <w:bCs w:val="1"/>
          <w:color w:val="auto"/>
        </w:rPr>
      </w:pPr>
    </w:p>
    <w:p>
      <w:pPr>
        <w:ind w:left="340" w:right="2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Company’s financial instruments consist of cash and cash equivalents, accounts receivable, accounts payable, accrued expenses, and other liabilities. As of March 31, 2021, and December 31, 2020, the carrying amount of cash and cash equivalents, accounts receivable, accounts payable, accrued expenses, and other liabilities approximated their respective fair value due to the short-term nature and maturity of these instruments.</w:t>
      </w:r>
    </w:p>
    <w:p>
      <w:pPr>
        <w:spacing w:after="0" w:line="148" w:lineRule="exact"/>
        <w:rPr>
          <w:rFonts w:ascii="Arial" w:cs="Arial" w:eastAsia="Arial" w:hAnsi="Arial"/>
          <w:sz w:val="18"/>
          <w:szCs w:val="18"/>
          <w:b w:val="1"/>
          <w:bCs w:val="1"/>
          <w:color w:val="auto"/>
        </w:rPr>
      </w:pPr>
    </w:p>
    <w:p>
      <w:pPr>
        <w:ind w:left="34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the Company had an embedded derivative liability of $20,109 thousand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 The changes in the fair value of the embedded derivatives was as follows (in thousands):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691769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17690" cy="14541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 in fair value recognized in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20320</wp:posOffset>
            </wp:positionV>
            <wp:extent cx="69176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17690"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Settlement via conversion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exchange translation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69176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1769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Three months ended March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191"/>
        </w:trPr>
        <w:tc>
          <w:tcPr>
            <w:tcW w:w="260" w:type="dxa"/>
            <w:vAlign w:val="bottom"/>
          </w:tcPr>
          <w:p>
            <w:pPr>
              <w:jc w:val="right"/>
              <w:ind w:right="70"/>
              <w:spacing w:after="0" w:line="19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1" w:lineRule="exact"/>
              <w:rPr>
                <w:sz w:val="20"/>
                <w:szCs w:val="20"/>
                <w:color w:val="auto"/>
              </w:rPr>
            </w:pPr>
            <w:r>
              <w:rPr>
                <w:rFonts w:ascii="Arial" w:cs="Arial" w:eastAsia="Arial" w:hAnsi="Arial"/>
                <w:sz w:val="18"/>
                <w:szCs w:val="18"/>
                <w:color w:val="auto"/>
              </w:rPr>
              <w:t>20,109</w:t>
            </w:r>
          </w:p>
        </w:tc>
        <w:tc>
          <w:tcPr>
            <w:tcW w:w="220" w:type="dxa"/>
            <w:vAlign w:val="bottom"/>
          </w:tcPr>
          <w:p>
            <w:pPr>
              <w:spacing w:after="0"/>
              <w:rPr>
                <w:sz w:val="16"/>
                <w:szCs w:val="16"/>
                <w:color w:val="auto"/>
              </w:rPr>
            </w:pPr>
          </w:p>
        </w:tc>
        <w:tc>
          <w:tcPr>
            <w:tcW w:w="2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(5,994)</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r>
      <w:tr>
        <w:trPr>
          <w:trHeight w:val="229"/>
        </w:trPr>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(14,375)</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r>
      <w:tr>
        <w:trPr>
          <w:trHeight w:val="234"/>
        </w:trPr>
        <w:tc>
          <w:tcPr>
            <w:tcW w:w="2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r>
      <w:tr>
        <w:trPr>
          <w:trHeight w:val="223"/>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820" w:space="720"/>
            <w:col w:w="2700"/>
          </w:cols>
          <w:pgMar w:left="320" w:top="904" w:right="339" w:bottom="1440" w:gutter="0" w:footer="0" w:header="0"/>
          <w:type w:val="continuous"/>
        </w:sectPr>
      </w:pPr>
    </w:p>
    <w:p>
      <w:pPr>
        <w:spacing w:after="0" w:line="29"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color w:val="auto"/>
        </w:rPr>
        <w:t>On February 11, 2021, the Company granted 364,620 options to employees and directors with a grant date fair value of $9.14 and a weighted average exercise price of $0.00003 per share. For the three months ended March 31, 2020, the Company granted 302,820 options to employees and directors in January 2020 with a grant date fair value of $4.98 and a weighted average exercise price of $0.000036 per share.</w:t>
      </w:r>
    </w:p>
    <w:p>
      <w:pPr>
        <w:spacing w:after="0" w:line="165"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The fair value of each stock option issued to employees was estimated at the date of grant using Black-Scholes with the following weighted-average assumptions:</w:t>
      </w:r>
    </w:p>
    <w:p>
      <w:pPr>
        <w:spacing w:after="0" w:line="180"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810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125.0%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6.42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340" w:right="160"/>
        <w:spacing w:after="0" w:line="263" w:lineRule="auto"/>
        <w:rPr>
          <w:sz w:val="20"/>
          <w:szCs w:val="20"/>
          <w:color w:val="auto"/>
        </w:rPr>
      </w:pPr>
      <w:r>
        <w:rPr>
          <w:rFonts w:ascii="Arial" w:cs="Arial" w:eastAsia="Arial" w:hAnsi="Arial"/>
          <w:sz w:val="18"/>
          <w:szCs w:val="18"/>
          <w:color w:val="auto"/>
        </w:rPr>
        <w:t>At March 31, 2021 1,895,097 options with a weighted average exercise price of $0.0003 were outstanding of which 648,282 with a weighted average exercise price of $0.0003 were exercisable. At March 31, 2021, there was $5,529 thousand unrecognized compensation cost related to stock options, which is expected to be recognized over a weighted average period of 2.86 years.</w:t>
      </w:r>
    </w:p>
    <w:p>
      <w:pPr>
        <w:spacing w:after="0" w:line="184" w:lineRule="exact"/>
        <w:rPr>
          <w:sz w:val="20"/>
          <w:szCs w:val="20"/>
          <w:color w:val="auto"/>
        </w:rPr>
      </w:pPr>
    </w:p>
    <w:p>
      <w:pPr>
        <w:ind w:left="340" w:right="140"/>
        <w:spacing w:after="0" w:line="296" w:lineRule="auto"/>
        <w:rPr>
          <w:sz w:val="20"/>
          <w:szCs w:val="20"/>
          <w:color w:val="auto"/>
        </w:rPr>
      </w:pPr>
      <w:r>
        <w:rPr>
          <w:rFonts w:ascii="Arial" w:cs="Arial" w:eastAsia="Arial" w:hAnsi="Arial"/>
          <w:sz w:val="16"/>
          <w:szCs w:val="16"/>
          <w:color w:val="auto"/>
        </w:rPr>
        <w:t>During the three months ended March 31, 2021, 263,886 Restricted Stock Units (“RSUs”) were converted into ordinary shares. The RSUs granted on January 9, 2020 contains a nondiscretionary antidilution provision which entitles the grantee to additional RSUs to ensure that the aggregate RSUs granted equal 1.5% of the total fully diluted share capital of the Company. As at March 31, 2021, 264,042 RSUs were outstanding. No compensation cost has been recognized in respect of the outstanding RSUs which vest on the IPO Resolution Date as the initial public offering is not considered probable until it occurs</w:t>
      </w:r>
      <w:r>
        <w:rPr>
          <w:rFonts w:ascii="Arial" w:cs="Arial" w:eastAsia="Arial" w:hAnsi="Arial"/>
          <w:sz w:val="16"/>
          <w:szCs w:val="16"/>
          <w:color w:val="3D5588"/>
        </w:rPr>
        <w:t>.</w:t>
      </w:r>
      <w:r>
        <w:rPr>
          <w:rFonts w:ascii="Arial" w:cs="Arial" w:eastAsia="Arial" w:hAnsi="Arial"/>
          <w:sz w:val="16"/>
          <w:szCs w:val="16"/>
          <w:color w:val="auto"/>
        </w:rPr>
        <w:t xml:space="preserve"> At March 31, 2021, the unrecognized compensation cost related to these RSUs was $1,477 thousand.</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Share based compensation expense is classified in the condensed consolidated statement of operations and comprehensive loss as follows (in thousands):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270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82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319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9"/>
                <w:szCs w:val="19"/>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r>
      <w:tr>
        <w:trPr>
          <w:trHeight w:val="223"/>
        </w:trPr>
        <w:tc>
          <w:tcPr>
            <w:tcW w:w="82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797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8360" w:hanging="332"/>
        <w:spacing w:after="0" w:line="603" w:lineRule="auto"/>
        <w:tabs>
          <w:tab w:leader="none" w:pos="340"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In-License Agreements</w:t>
      </w:r>
    </w:p>
    <w:p>
      <w:pPr>
        <w:spacing w:after="0" w:line="1" w:lineRule="exact"/>
        <w:rPr>
          <w:rFonts w:ascii="Arial" w:cs="Arial" w:eastAsia="Arial" w:hAnsi="Arial"/>
          <w:sz w:val="15"/>
          <w:szCs w:val="15"/>
          <w:b w:val="1"/>
          <w:bCs w:val="1"/>
          <w:color w:val="auto"/>
        </w:rPr>
      </w:pPr>
    </w:p>
    <w:p>
      <w:pPr>
        <w:ind w:left="340" w:right="60"/>
        <w:spacing w:after="0" w:line="269" w:lineRule="auto"/>
        <w:rPr>
          <w:rFonts w:ascii="Arial" w:cs="Arial" w:eastAsia="Arial" w:hAnsi="Arial"/>
          <w:sz w:val="15"/>
          <w:szCs w:val="15"/>
          <w:b w:val="1"/>
          <w:bCs w:val="1"/>
          <w:color w:val="auto"/>
        </w:rPr>
      </w:pPr>
      <w:r>
        <w:rPr>
          <w:rFonts w:ascii="Arial" w:cs="Arial" w:eastAsia="Arial" w:hAnsi="Arial"/>
          <w:sz w:val="17"/>
          <w:szCs w:val="17"/>
          <w:color w:val="auto"/>
        </w:rPr>
        <w:t>The Company is party to a number of licensing agreements most of which are with related parties.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HPV, HBV and MERS.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any material payments under these license agreements during the periods ended March 31, 2021 and March 31, 2020.</w:t>
      </w:r>
    </w:p>
    <w:p>
      <w:pPr>
        <w:spacing w:after="0" w:line="178" w:lineRule="exact"/>
        <w:rPr>
          <w:rFonts w:ascii="Arial" w:cs="Arial" w:eastAsia="Arial" w:hAnsi="Arial"/>
          <w:sz w:val="15"/>
          <w:szCs w:val="15"/>
          <w:b w:val="1"/>
          <w:bCs w:val="1"/>
          <w:color w:val="auto"/>
        </w:rPr>
      </w:pPr>
    </w:p>
    <w:p>
      <w:pPr>
        <w:ind w:left="34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300" w:right="160"/>
        <w:spacing w:after="0" w:line="263" w:lineRule="auto"/>
        <w:rPr>
          <w:sz w:val="20"/>
          <w:szCs w:val="20"/>
          <w:color w:val="auto"/>
        </w:rPr>
      </w:pPr>
      <w:r>
        <w:rPr>
          <w:rFonts w:ascii="Arial" w:cs="Arial" w:eastAsia="Arial" w:hAnsi="Arial"/>
          <w:sz w:val="18"/>
          <w:szCs w:val="18"/>
          <w:color w:val="auto"/>
        </w:rPr>
        <w:t>The Company leases an office and laboratory space from a related party in Oxford, England under an operating lease with a contractual term expiring in 2028. The lease does not contain renewal terms. Variable payments include amounts due to the lessor for additional services and cost reimbursements.</w:t>
      </w:r>
    </w:p>
    <w:p>
      <w:pPr>
        <w:spacing w:after="0" w:line="184" w:lineRule="exact"/>
        <w:rPr>
          <w:sz w:val="20"/>
          <w:szCs w:val="20"/>
          <w:color w:val="auto"/>
        </w:rPr>
      </w:pPr>
    </w:p>
    <w:p>
      <w:pPr>
        <w:ind w:left="300" w:right="400"/>
        <w:spacing w:after="0" w:line="277" w:lineRule="auto"/>
        <w:rPr>
          <w:sz w:val="20"/>
          <w:szCs w:val="20"/>
          <w:color w:val="auto"/>
        </w:rPr>
      </w:pPr>
      <w:r>
        <w:rPr>
          <w:rFonts w:ascii="Arial" w:cs="Arial" w:eastAsia="Arial" w:hAnsi="Arial"/>
          <w:sz w:val="18"/>
          <w:szCs w:val="18"/>
          <w:color w:val="auto"/>
        </w:rPr>
        <w:t>The Company recorded a right-of-use asset and a lease liability on the effective date of the lease term. The Company’s right-of-use asset and lease liability are as follows (in thousands):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March 31,</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Lease liability, current</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noncurrent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w:t>
            </w:r>
          </w:p>
        </w:tc>
      </w:tr>
    </w:tbl>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810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bl>
    <w:p>
      <w:pPr>
        <w:spacing w:after="0" w:line="20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During the three months ended March 31, 2021, the Company recorded $92 thousand (three months ended March 31, 2020: $85 thousand) in operating lease costs (including short-term lease expense and variable lease costs).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VACCITECH PLC.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annual minimum lease payments under operating leases as of March 31, 2021 were as follows (in thousands):</w:t>
      </w: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2022</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2024</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(497)</w:t>
            </w:r>
          </w:p>
        </w:tc>
      </w:tr>
      <w:tr>
        <w:trPr>
          <w:trHeight w:val="223"/>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ind w:left="300" w:right="180"/>
        <w:spacing w:after="0" w:line="342" w:lineRule="auto"/>
        <w:rPr>
          <w:sz w:val="20"/>
          <w:szCs w:val="20"/>
          <w:color w:val="auto"/>
        </w:rPr>
      </w:pPr>
      <w:r>
        <w:rPr>
          <w:rFonts w:ascii="Arial" w:cs="Arial" w:eastAsia="Arial" w:hAnsi="Arial"/>
          <w:sz w:val="16"/>
          <w:szCs w:val="16"/>
          <w:color w:val="auto"/>
        </w:rPr>
        <w:t>The Company is a party in various contractual disputes, litigation, and potential claims arising in the ordinary course of business. The Company does not believe that the resolution of these matters will have a material adverse effect on its financial position or results of operations.</w:t>
      </w:r>
    </w:p>
    <w:p>
      <w:pPr>
        <w:spacing w:after="0" w:line="12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ind w:left="34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March 31, 2021, Company incurred expenses of $40 thousand (three months ended March 31, 2020: $50 thousand) to its shareholder, Oxford Sciences Innovation Plc, mostly related to the lease of a laboratory and office space in Oxford. At March 31, 2021, the Company owed $0 (December 31, 2020: $0) to Oxford Sciences Innovation Plc.</w:t>
      </w:r>
    </w:p>
    <w:p>
      <w:pPr>
        <w:spacing w:after="0" w:line="1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During the three months ended March 31, 2021, the Company incurred expenses of $19 thousand (three months ended March 31, 2020: $0 thousand)</w:t>
      </w:r>
    </w:p>
    <w:p>
      <w:pPr>
        <w:spacing w:after="0" w:line="46" w:lineRule="exact"/>
        <w:rPr>
          <w:rFonts w:ascii="Arial" w:cs="Arial" w:eastAsia="Arial" w:hAnsi="Arial"/>
          <w:sz w:val="18"/>
          <w:szCs w:val="18"/>
          <w:b w:val="1"/>
          <w:bCs w:val="1"/>
          <w:color w:val="auto"/>
        </w:rPr>
      </w:pPr>
    </w:p>
    <w:p>
      <w:pPr>
        <w:ind w:left="340" w:right="4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to its shareholder, the University of Oxford, related to clinical study costs. At March 31, 2021, the Company owed $0 (December 31, 2020: $300 thousand) to University of Oxford.</w:t>
      </w:r>
    </w:p>
    <w:p>
      <w:pPr>
        <w:spacing w:after="0" w:line="185" w:lineRule="exact"/>
        <w:rPr>
          <w:rFonts w:ascii="Arial" w:cs="Arial" w:eastAsia="Arial" w:hAnsi="Arial"/>
          <w:sz w:val="18"/>
          <w:szCs w:val="18"/>
          <w:b w:val="1"/>
          <w:bCs w:val="1"/>
          <w:color w:val="auto"/>
        </w:rPr>
      </w:pPr>
    </w:p>
    <w:p>
      <w:pPr>
        <w:ind w:left="340" w:right="1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During the three months ended March 31, 2021, the Company incurred expenses of $116 thousand (three months ended March 31, 2020: $ 70 thousand) for services from Oxford University Innovation Limited which is a wholly owned subsidiary of the Company's shareholder, the University of Oxford. At March 31, 2021, the Company owed $90 thousand (December 31, 2020: $25 thousand) to Oxford University Innovation Limited.</w:t>
      </w:r>
    </w:p>
    <w:p>
      <w:pPr>
        <w:spacing w:after="0" w:line="148" w:lineRule="exact"/>
        <w:rPr>
          <w:rFonts w:ascii="Arial" w:cs="Arial" w:eastAsia="Arial" w:hAnsi="Arial"/>
          <w:sz w:val="18"/>
          <w:szCs w:val="18"/>
          <w:b w:val="1"/>
          <w:bCs w:val="1"/>
          <w:color w:val="auto"/>
        </w:rPr>
      </w:pPr>
    </w:p>
    <w:p>
      <w:pPr>
        <w:ind w:left="3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March 31, 2021, the Company issued 263,886 shares to in relation to vested RSUs William Enright, Chief Executive officer and director for a price of £0.000025 per share in Vaccitech plc.</w:t>
      </w:r>
    </w:p>
    <w:p>
      <w:pPr>
        <w:spacing w:after="0" w:line="170" w:lineRule="exact"/>
        <w:rPr>
          <w:rFonts w:ascii="Arial" w:cs="Arial" w:eastAsia="Arial" w:hAnsi="Arial"/>
          <w:sz w:val="18"/>
          <w:szCs w:val="18"/>
          <w:b w:val="1"/>
          <w:bCs w:val="1"/>
          <w:color w:val="auto"/>
        </w:rPr>
      </w:pPr>
    </w:p>
    <w:p>
      <w:pPr>
        <w:ind w:left="340" w:right="4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March 31, 2021, the interest on convertible loans issued to Oxford Sciences Innovation PLC and the University of Oxford, shareholders of the Company was $429 thousand (March 31, 2020: $0). At March 31, 2021 these convertible loan notes including the embedded derivative was $0 (December 31, 2020: $7,356 thousand).</w:t>
      </w:r>
    </w:p>
    <w:p>
      <w:pPr>
        <w:spacing w:after="0" w:line="183" w:lineRule="exact"/>
        <w:rPr>
          <w:rFonts w:ascii="Arial" w:cs="Arial" w:eastAsia="Arial" w:hAnsi="Arial"/>
          <w:sz w:val="18"/>
          <w:szCs w:val="18"/>
          <w:b w:val="1"/>
          <w:bCs w:val="1"/>
          <w:color w:val="auto"/>
        </w:rPr>
      </w:pPr>
    </w:p>
    <w:p>
      <w:pPr>
        <w:jc w:val="both"/>
        <w:ind w:left="340" w:right="4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March 15, 2021 Oxford Sciences Innovation PLC subscribed to 3,468 Series B Shares in an amount of $14,999 thousand. The Company also recognized a loss of $2,125 thousand on the conversion of the convertible loan notes into 2,008 Series B Shares. At March 31, 2021 the carrying amount of these Series B Shares was $23,276 thousand (December 31, 2020: $0).</w:t>
      </w:r>
    </w:p>
    <w:p>
      <w:pPr>
        <w:spacing w:after="0" w:line="179"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340" w:right="2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April 29, 2021, the Company priced the initial public offering of its 6,500,000 American Depositary Shares (ADSs) each representing one ordinary share, nominal value £0.000025 per share, of Vaccitech plc. at a public offering price of $17.00 per ADS. Net proceeds were $102,765 thousand, after deducting underwriting discounts paid by the Company.</w:t>
      </w:r>
    </w:p>
    <w:p>
      <w:pPr>
        <w:spacing w:after="0" w:line="183"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May 4, 2021 prior to the closing of the Company’s initial public offering and pursuant to the terms of its articles of association, all of the Series A Shares and Series B Shares were converted into 19,603,887 ordinary shares and 570,987 deferred B shares. On the same date, the Company effected a 309-for-1 stock split (the “Stock Split”) of ordinary shares. Each resultant ordinary share from the Stock Split is redesignated as one ordinary share and one deferred C share in order to ensure that the nominal value of ordinary shares at the time of its initial public offering is £0.000025. Accordingly, all ordinary share and per share amounts for all periods presented in the accompanying financial statements and notes thereto have been retroactively adjusted, where applicable, to reflect the Stock Split.</w:t>
      </w:r>
    </w:p>
    <w:p>
      <w:pPr>
        <w:spacing w:after="0" w:line="192"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May 4, 2021 250,881 additional fully vested RSUs with a grant date fair value of $17.00 per share were granted in accordance with the terms of the original grant to ensure that the aggregate RSUs granted equal 1.5% of the total fully diluted share capital of the Company.</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r>
        <w:rPr>
          <w:rFonts w:ascii="Arial" w:cs="Arial" w:eastAsia="Arial" w:hAnsi="Arial"/>
          <w:sz w:val="16"/>
          <w:szCs w:val="16"/>
          <w:color w:val="auto"/>
        </w:rPr>
        <w:t>.</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financial statements and related notes for the year ended December 31, 2020 included in our final prospectus for our initial public offering filed pursuant to Rule 424(b) under the Securities Act of 1933, as amended, with the Securities and Exchange Commission, on April 30, 2021.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final prospectus for our initial public offering filed pursuant to Rule 424(b), as supplemented by our subsequent filings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We are a clinical-stage biopharmaceutical company engaged in the discovery and development of novel immunotherapeutics and vaccines for the treatment and prevention of infectious diseases and cancer. We use our proprietary platform to develop product candidates that stimulate powerful, targeted immune responses against pathogens and tumor cells. We design our product candidates to stimulate immune responses that are robust, highly specific, and are differentiated by the magnitude of the T cell populations induced, which exhibit critical functionality and durability. We are focused on applying our platform capabilities and the expertise of our team to address significant unmet medical needs in two settings—the therapeutic setting, for the treatment of chronic infectious diseases and cancer, and the prophylactic setting, for the prevention of infectious diseases, based on our platform’s ability to respond rapidly to epidemic and pandemic threats.</w:t>
      </w:r>
    </w:p>
    <w:p>
      <w:pPr>
        <w:spacing w:after="0" w:line="19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31F20"/>
        </w:rPr>
        <w:t>We have a broad pipeline of both clinical and preclinical stage therapeutic and prophylactic programs. Our current therapeutic programs include VTP-300 for the treatment of chronic hepatitis B infection, or CHB, VTP-200 for the treatment of human papilloma virus infection, or HPV, VTP-850 for the treatment of prostate cancer and VTP-600 for the treatment of non-small cell lung cancer, or NSCLC. Our current prophylactic programs include VTP-400 for the prevention of herpes zoster, or shingles, VTP-500 for the prevention of Middle East respiratory syndrome, or MERS, and VTP-950, our next-generation product candidate for the prevention of COVID-19 infection. In addition, we co-invented a COVID-19 vaccine candidate with the University of Oxford, which we assigned to Oxford University Innovation, or OUI, to facilitate the license of those rights by OUI to AstraZeneca UK Limited, or AstraZeneca. The product candidate, which we refer to as AZD1222, is now authorized for use under the name Vaxzevria in a number of countries. As of June 14, 2021, AstraZeneca has announced that AZD1222 has been granted emergency use authorization in the United Kingdom, India and Japan, among other countries. AstraZeneca has exclusive worldwide rights to develop and commercialize AZD1222.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231F20"/>
        </w:rPr>
        <w:t>On May 4, 2021, we completed our initial public offering, or IPO, pursuant to which we issued and sold 6,500,000 ADSs at a public offering price of</w:t>
      </w:r>
    </w:p>
    <w:p>
      <w:pPr>
        <w:spacing w:after="0" w:line="3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231F20"/>
        </w:rPr>
        <w:t>$17.00 per ADS, resulting in net proceeds of $102.8 million, after deducting underwriting discounts and commissions and offering expenses. Prior to our IPO, we funded our operations primarily from private placements of our ordinary and preferred shares, private placements of loan notes convertible into ordinary shares, as well as from grants and licensing agreements, research tax credit payments, investments from non-controlling interest a $2.4 million upfront payment from OUI in July 2020 in connection with the Amendment, Assignment and Revenue Share Agreement, or the OUI License Agreement Amendment, related to the licensing of the COVID-19 vaccine candidate now known as AZD1222, or Vaxzevria. We do not expect to generate revenue from any of our own product candidates until we obtain regulatory authorization for one or more of such product candidates, if at all, and commercialize our products, or we enter into out-licensing agreements with third parties. We may receive some revenue pursuant to the OUI License Agreement Amendment with OUI with respect to the AstraZeneca COVID-19 vaccine candidate AZD1222 in certain circumstances if it receives marketing approval from regulatory authorities and is sold commercially. Substantially all of our net losses have resulted from costs incurred in connection with our research and development activities and from general and administrative costs associated with our operations.</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0" w:name="page21"/>
    <w:bookmarkEnd w:id="20"/>
    <w:p>
      <w:pPr>
        <w:spacing w:after="0" w:line="255" w:lineRule="auto"/>
        <w:rPr>
          <w:sz w:val="20"/>
          <w:szCs w:val="20"/>
          <w:color w:val="auto"/>
        </w:rPr>
      </w:pPr>
      <w:r>
        <w:rPr>
          <w:rFonts w:ascii="Arial" w:cs="Arial" w:eastAsia="Arial" w:hAnsi="Arial"/>
          <w:sz w:val="18"/>
          <w:szCs w:val="18"/>
          <w:color w:val="231F20"/>
        </w:rPr>
        <w:t>We have incurred net losses each year since inception. For the three months ended March 31, 2021 and the three months ended March 31, 2020, we incurred net losses of $15.4 million and $4.0 million, respectively. As of March 31, 2021, we had an accumulated deficit of $73.0 million and we do not expect positive cash flows from operations in the foreseeable future. We expect to continue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spacing w:after="0" w:line="241" w:lineRule="exact"/>
        <w:rPr>
          <w:sz w:val="20"/>
          <w:szCs w:val="20"/>
          <w:color w:val="auto"/>
        </w:rPr>
      </w:pPr>
    </w:p>
    <w:p>
      <w:pPr>
        <w:ind w:left="920" w:hanging="345"/>
        <w:spacing w:after="0"/>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successful completion of preclinical studies and clinical trials;</w:t>
      </w:r>
    </w:p>
    <w:p>
      <w:pPr>
        <w:spacing w:after="0" w:line="117" w:lineRule="exact"/>
        <w:rPr>
          <w:rFonts w:ascii="Arial" w:cs="Arial" w:eastAsia="Arial" w:hAnsi="Arial"/>
          <w:sz w:val="18"/>
          <w:szCs w:val="18"/>
          <w:color w:val="231F20"/>
        </w:rPr>
      </w:pPr>
    </w:p>
    <w:p>
      <w:pPr>
        <w:ind w:left="920" w:hanging="345"/>
        <w:spacing w:after="0"/>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sufficiency of our financial and other resources to complete the necessary preclinical studies and clinical trials;</w:t>
      </w:r>
    </w:p>
    <w:p>
      <w:pPr>
        <w:spacing w:after="0" w:line="117" w:lineRule="exact"/>
        <w:rPr>
          <w:rFonts w:ascii="Arial" w:cs="Arial" w:eastAsia="Arial" w:hAnsi="Arial"/>
          <w:sz w:val="18"/>
          <w:szCs w:val="18"/>
          <w:color w:val="231F20"/>
        </w:rPr>
      </w:pPr>
    </w:p>
    <w:p>
      <w:pPr>
        <w:ind w:left="920" w:hanging="345"/>
        <w:spacing w:after="0"/>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acceptance of investigational new drug applications, or INDs, for our planned clinical trials or future clinical trials;</w:t>
      </w:r>
    </w:p>
    <w:p>
      <w:pPr>
        <w:spacing w:after="0" w:line="117" w:lineRule="exact"/>
        <w:rPr>
          <w:rFonts w:ascii="Arial" w:cs="Arial" w:eastAsia="Arial" w:hAnsi="Arial"/>
          <w:sz w:val="18"/>
          <w:szCs w:val="18"/>
          <w:color w:val="231F20"/>
        </w:rPr>
      </w:pPr>
    </w:p>
    <w:p>
      <w:pPr>
        <w:ind w:left="920" w:hanging="345"/>
        <w:spacing w:after="0"/>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successful enrollment and completion of clinical trials;</w:t>
      </w:r>
    </w:p>
    <w:p>
      <w:pPr>
        <w:spacing w:after="0" w:line="117" w:lineRule="exact"/>
        <w:rPr>
          <w:rFonts w:ascii="Arial" w:cs="Arial" w:eastAsia="Arial" w:hAnsi="Arial"/>
          <w:sz w:val="18"/>
          <w:szCs w:val="18"/>
          <w:color w:val="231F20"/>
        </w:rPr>
      </w:pPr>
    </w:p>
    <w:p>
      <w:pPr>
        <w:ind w:left="920" w:right="20" w:hanging="345"/>
        <w:spacing w:after="0" w:line="277" w:lineRule="auto"/>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data from our clinical program supporting approvable and commercially acceptable risk/benefit profiles for our product candidates in the intended populations;</w:t>
      </w:r>
    </w:p>
    <w:p>
      <w:pPr>
        <w:spacing w:after="0" w:line="62" w:lineRule="exact"/>
        <w:rPr>
          <w:rFonts w:ascii="Arial" w:cs="Arial" w:eastAsia="Arial" w:hAnsi="Arial"/>
          <w:sz w:val="18"/>
          <w:szCs w:val="18"/>
          <w:color w:val="231F20"/>
        </w:rPr>
      </w:pPr>
    </w:p>
    <w:p>
      <w:pPr>
        <w:ind w:left="920" w:hanging="345"/>
        <w:spacing w:after="0" w:line="277" w:lineRule="auto"/>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receipt and maintenance of necessary regulatory and marketing approvals from applicable regulatory authorities, in the light of the commercial environment then existent;</w:t>
      </w:r>
    </w:p>
    <w:p>
      <w:pPr>
        <w:spacing w:after="0" w:line="62" w:lineRule="exact"/>
        <w:rPr>
          <w:rFonts w:ascii="Arial" w:cs="Arial" w:eastAsia="Arial" w:hAnsi="Arial"/>
          <w:sz w:val="18"/>
          <w:szCs w:val="18"/>
          <w:color w:val="231F20"/>
        </w:rPr>
      </w:pPr>
    </w:p>
    <w:p>
      <w:pPr>
        <w:ind w:left="920" w:hanging="345"/>
        <w:spacing w:after="0" w:line="277" w:lineRule="auto"/>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scale-up of our manufacturing processes and formulation of our product candidates for later stages of development and commercial production;</w:t>
      </w:r>
    </w:p>
    <w:p>
      <w:pPr>
        <w:spacing w:after="0" w:line="62" w:lineRule="exact"/>
        <w:rPr>
          <w:rFonts w:ascii="Arial" w:cs="Arial" w:eastAsia="Arial" w:hAnsi="Arial"/>
          <w:sz w:val="18"/>
          <w:szCs w:val="18"/>
          <w:color w:val="231F20"/>
        </w:rPr>
      </w:pPr>
    </w:p>
    <w:p>
      <w:pPr>
        <w:ind w:left="920" w:right="20" w:hanging="345"/>
        <w:spacing w:after="0" w:line="277" w:lineRule="auto"/>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establishing either our own manufacturing capabilities or satisfactory agreements with third-party manufacturers for clinical supply for later stages of development and commercial manufacturing;</w:t>
      </w:r>
    </w:p>
    <w:p>
      <w:pPr>
        <w:spacing w:after="0" w:line="62" w:lineRule="exact"/>
        <w:rPr>
          <w:rFonts w:ascii="Arial" w:cs="Arial" w:eastAsia="Arial" w:hAnsi="Arial"/>
          <w:sz w:val="18"/>
          <w:szCs w:val="18"/>
          <w:color w:val="231F20"/>
        </w:rPr>
      </w:pPr>
    </w:p>
    <w:p>
      <w:pPr>
        <w:ind w:left="920" w:hanging="345"/>
        <w:spacing w:after="0"/>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entry into collaborations where appropriate to further the development of our product candidates;</w:t>
      </w:r>
    </w:p>
    <w:p>
      <w:pPr>
        <w:spacing w:after="0" w:line="117" w:lineRule="exact"/>
        <w:rPr>
          <w:rFonts w:ascii="Arial" w:cs="Arial" w:eastAsia="Arial" w:hAnsi="Arial"/>
          <w:sz w:val="18"/>
          <w:szCs w:val="18"/>
          <w:color w:val="231F20"/>
        </w:rPr>
      </w:pPr>
    </w:p>
    <w:p>
      <w:pPr>
        <w:ind w:left="920" w:hanging="345"/>
        <w:spacing w:after="0" w:line="277" w:lineRule="auto"/>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obtaining and maintaining intellectual property and trade secret protection or regulatory exclusivity for our product candidates as well as qualifying for, maintaining, enforcing and defending such intellectual property rights and claims;</w:t>
      </w:r>
    </w:p>
    <w:p>
      <w:pPr>
        <w:spacing w:after="0" w:line="62" w:lineRule="exact"/>
        <w:rPr>
          <w:rFonts w:ascii="Arial" w:cs="Arial" w:eastAsia="Arial" w:hAnsi="Arial"/>
          <w:sz w:val="18"/>
          <w:szCs w:val="18"/>
          <w:color w:val="231F20"/>
        </w:rPr>
      </w:pPr>
    </w:p>
    <w:p>
      <w:pPr>
        <w:ind w:left="920" w:hanging="345"/>
        <w:spacing w:after="0"/>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successfully launching or assisting with the launch of commercial sales of our product candidates following approval;</w:t>
      </w:r>
    </w:p>
    <w:p>
      <w:pPr>
        <w:spacing w:after="0" w:line="117" w:lineRule="exact"/>
        <w:rPr>
          <w:rFonts w:ascii="Arial" w:cs="Arial" w:eastAsia="Arial" w:hAnsi="Arial"/>
          <w:sz w:val="18"/>
          <w:szCs w:val="18"/>
          <w:color w:val="231F20"/>
        </w:rPr>
      </w:pPr>
    </w:p>
    <w:p>
      <w:pPr>
        <w:ind w:left="920" w:hanging="345"/>
        <w:spacing w:after="0"/>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acceptance of each product’s benefits and uses by patients, the medical community and third-party payors following approval;</w:t>
      </w:r>
    </w:p>
    <w:p>
      <w:pPr>
        <w:spacing w:after="0" w:line="117" w:lineRule="exact"/>
        <w:rPr>
          <w:rFonts w:ascii="Arial" w:cs="Arial" w:eastAsia="Arial" w:hAnsi="Arial"/>
          <w:sz w:val="18"/>
          <w:szCs w:val="18"/>
          <w:color w:val="231F20"/>
        </w:rPr>
      </w:pPr>
    </w:p>
    <w:p>
      <w:pPr>
        <w:ind w:left="920" w:hanging="345"/>
        <w:spacing w:after="0"/>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prevalence and severity of any adverse events experienced with our product candidates in development;</w:t>
      </w:r>
    </w:p>
    <w:p>
      <w:pPr>
        <w:spacing w:after="0" w:line="117" w:lineRule="exact"/>
        <w:rPr>
          <w:rFonts w:ascii="Arial" w:cs="Arial" w:eastAsia="Arial" w:hAnsi="Arial"/>
          <w:sz w:val="18"/>
          <w:szCs w:val="18"/>
          <w:color w:val="231F20"/>
        </w:rPr>
      </w:pPr>
    </w:p>
    <w:p>
      <w:pPr>
        <w:ind w:left="920" w:hanging="345"/>
        <w:spacing w:after="0"/>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establishing and maintaining a continued acceptable safety profile of the product candidates following approval;</w:t>
      </w:r>
    </w:p>
    <w:p>
      <w:pPr>
        <w:spacing w:after="0" w:line="117" w:lineRule="exact"/>
        <w:rPr>
          <w:rFonts w:ascii="Arial" w:cs="Arial" w:eastAsia="Arial" w:hAnsi="Arial"/>
          <w:sz w:val="18"/>
          <w:szCs w:val="18"/>
          <w:color w:val="231F20"/>
        </w:rPr>
      </w:pPr>
    </w:p>
    <w:p>
      <w:pPr>
        <w:ind w:left="920" w:hanging="345"/>
        <w:spacing w:after="0"/>
        <w:tabs>
          <w:tab w:leader="none" w:pos="920" w:val="left"/>
        </w:tabs>
        <w:numPr>
          <w:ilvl w:val="0"/>
          <w:numId w:val="17"/>
        </w:numPr>
        <w:rPr>
          <w:rFonts w:ascii="Arial" w:cs="Arial" w:eastAsia="Arial" w:hAnsi="Arial"/>
          <w:sz w:val="17"/>
          <w:szCs w:val="17"/>
          <w:color w:val="231F20"/>
        </w:rPr>
      </w:pPr>
      <w:r>
        <w:rPr>
          <w:rFonts w:ascii="Arial" w:cs="Arial" w:eastAsia="Arial" w:hAnsi="Arial"/>
          <w:sz w:val="17"/>
          <w:szCs w:val="17"/>
          <w:color w:val="231F20"/>
        </w:rPr>
        <w:t>obtaining and maintaining healthcare coverage and adequate reimbursement from third-party payors if necessary or desirable; and</w:t>
      </w:r>
    </w:p>
    <w:p>
      <w:pPr>
        <w:spacing w:after="0" w:line="128" w:lineRule="exact"/>
        <w:rPr>
          <w:rFonts w:ascii="Arial" w:cs="Arial" w:eastAsia="Arial" w:hAnsi="Arial"/>
          <w:sz w:val="17"/>
          <w:szCs w:val="17"/>
          <w:color w:val="231F20"/>
        </w:rPr>
      </w:pPr>
    </w:p>
    <w:p>
      <w:pPr>
        <w:ind w:left="920" w:hanging="345"/>
        <w:spacing w:after="0"/>
        <w:tabs>
          <w:tab w:leader="none" w:pos="9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effectively competing with other therapies.</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line="254" w:lineRule="auto"/>
        <w:rPr>
          <w:sz w:val="20"/>
          <w:szCs w:val="20"/>
          <w:color w:val="auto"/>
        </w:rPr>
      </w:pPr>
      <w:r>
        <w:rPr>
          <w:rFonts w:ascii="Arial" w:cs="Arial" w:eastAsia="Arial" w:hAnsi="Arial"/>
          <w:sz w:val="18"/>
          <w:szCs w:val="18"/>
          <w:color w:val="231F20"/>
        </w:rPr>
        <w:t>A change in the outcome of any of these variables with respect to the development of a product candidate could mean a significant change in the costs and/or timing associated with the development of that product candidate or could prevent continuation of that program being in the company’s interests.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might be required to expend significant additional financial resources and time on the completion of clinical development. In some circumstances, such as the emergence of a significantly more effective therapy from a competitor, it may be appropriate to discontinue a product candidate program. Including the net proceeds from our IPO, we expect that our cash balance as of March 31, 2021 will enable us to fund our operating expenses and capital requirements into 2024.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Impact of the COVID-19 Pandemic</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The spread of COVID-19, which we refer to as the COVID-19 pandemic, and the policies and regulations implemented by governments in response to the COVID-19 pandemic have had a significant impact, both directly and indirectly, on the global economy and our business and operations, including in particular the interruption of our clinical trial activities and potential interruption to our supply chain. For example, the initiation of our Phase 1/2a clinical trial for VTP-200 and our Phase 1 clinical trial for VTP-500, which are being conducted at the University of Oxford sites, was delayed and paused, respectively due to COVID-19. If the disruption due to the COVID-19 pandemic continues, our planned future preclinical and clinical development for our other product candidates could also be delayed due to government orders and site policies as a result of the pandemic.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mandated that our non-laboratory based employees, such as clinical, manufacturing, finance, administrative, quality, regulatory and program managers continue their work outside of our offices and limited the number of staff in any given research and development laboratory at any time. Our increased reliance on personnel working from home may negatively impact productivity, increase the potential risks of data privacy or security breaches, or disrupt, delay, or otherwise adversely impact our business.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We are still assessing our business plans and the impact the COVID-19 pandemic may have on our ability to advance the development of our product candidates as a result of adverse impacts on the research sites, service providers, vendors, or suppliers on whom we rely, or to raise financing to support the development of our ongoing product candidate development. No assurances can be given that this analysis will enable us to avoid part or all of any impact from the COVID-19 pandemic, including downturns in business sentiment generally or in our sector in particular. We cannot currently predict the scope and severity of any potential business shutdowns or disruptions, but if we or any of the third parties on whom we rely or with whom we conduct business were to experience shutdowns or other business disruptions, our ability to conduct our business in the manner and on the timelines presently planned could be materially and adversely impacted.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231F20"/>
        </w:rPr>
        <w:t>Components of Our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231F20"/>
        </w:rPr>
        <w:t>To date, we have not generated any revenue from product sales and do not expect to do so in the near future, if at all. Our revenue to date has been derived from a research grant from BARDA, a research, collaboration and license agreement with Enara Bio and the OUI License Agreement Amendment with OUI relating to AZD1222.</w:t>
      </w:r>
    </w:p>
    <w:p>
      <w:pPr>
        <w:spacing w:after="0" w:line="18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31F20"/>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As a direct result of the OUI License Agreement Amendment, we received a payment of $2.4 million, of which we have recognized $2.4 million as revenue during the year ended December 31, 2020.</w:t>
      </w:r>
    </w:p>
    <w:p>
      <w:pPr>
        <w:spacing w:after="0" w:line="15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231F20"/>
        </w:rPr>
        <w:t>We determined that we have no further performance obligations under the terms of the OUI License Agreement Amendment, which comprised the transfer of intellectual property rights only. Accordingly, we plan to recognize these and any future amounts as revenue when received.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Our operating expenses since inception have consisted of research and development costs and general administrative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Research and Development Expenses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Since our inception, we have focused significant resources on our research and development activities, including establishing and building on our adenovirus platform, further enhancing our in-licensed ChAdOx1, ChAdOx2 and MVA vectors, developing a new next-generation adenoviral vector, conducting preclinical studies, developing various manufacturing processes, and advancing clinical development of our programs including Phase 2 clinical trials for VTP-100, which we subsequently discontinued development of, as well as initiating the clinical trials for VTP-200 and VTP-300, and readying VTP-600 and VTP-850 for clinical trials. Research and development activities account for the major portion of our operating expenses. Research and development costs are expensed as incurred. These costs include:</w:t>
      </w:r>
    </w:p>
    <w:p>
      <w:pPr>
        <w:spacing w:after="0" w:line="192" w:lineRule="exact"/>
        <w:rPr>
          <w:sz w:val="20"/>
          <w:szCs w:val="20"/>
          <w:color w:val="auto"/>
        </w:rPr>
      </w:pPr>
    </w:p>
    <w:p>
      <w:pPr>
        <w:ind w:left="1580" w:right="920" w:hanging="344"/>
        <w:spacing w:after="0" w:line="277" w:lineRule="auto"/>
        <w:tabs>
          <w:tab w:leader="none" w:pos="15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salaries, benefits and other related costs, including share-based compensation, for personnel engaged in research and development functions;</w:t>
      </w:r>
    </w:p>
    <w:p>
      <w:pPr>
        <w:spacing w:after="0" w:line="170" w:lineRule="exact"/>
        <w:rPr>
          <w:rFonts w:ascii="Arial" w:cs="Arial" w:eastAsia="Arial" w:hAnsi="Arial"/>
          <w:sz w:val="18"/>
          <w:szCs w:val="18"/>
          <w:color w:val="231F20"/>
        </w:rPr>
      </w:pPr>
    </w:p>
    <w:p>
      <w:pPr>
        <w:jc w:val="both"/>
        <w:ind w:left="1580" w:right="920" w:hanging="344"/>
        <w:spacing w:after="0" w:line="263" w:lineRule="auto"/>
        <w:tabs>
          <w:tab w:leader="none" w:pos="15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expenses incurred in connection with the development of our programs including preclinical studies and clinical trials of our product candidates, under agreements with third parties, such as consultants, contractors, academic institutions and CROs;</w:t>
      </w:r>
    </w:p>
    <w:p>
      <w:pPr>
        <w:spacing w:after="0" w:line="183" w:lineRule="exact"/>
        <w:rPr>
          <w:rFonts w:ascii="Arial" w:cs="Arial" w:eastAsia="Arial" w:hAnsi="Arial"/>
          <w:sz w:val="18"/>
          <w:szCs w:val="18"/>
          <w:color w:val="231F20"/>
        </w:rPr>
      </w:pPr>
    </w:p>
    <w:p>
      <w:pPr>
        <w:ind w:left="1580" w:right="920" w:hanging="344"/>
        <w:spacing w:after="0" w:line="277" w:lineRule="auto"/>
        <w:tabs>
          <w:tab w:leader="none" w:pos="15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cost of manufacturing drug products for use in preclinical development and clinical trials, including under agreements with third parties, such as CMOs, consultants and contractors;</w:t>
      </w:r>
    </w:p>
    <w:p>
      <w:pPr>
        <w:spacing w:after="0" w:line="170" w:lineRule="exact"/>
        <w:rPr>
          <w:rFonts w:ascii="Arial" w:cs="Arial" w:eastAsia="Arial" w:hAnsi="Arial"/>
          <w:sz w:val="18"/>
          <w:szCs w:val="18"/>
          <w:color w:val="231F20"/>
        </w:rPr>
      </w:pPr>
    </w:p>
    <w:p>
      <w:pPr>
        <w:ind w:left="1580" w:hanging="344"/>
        <w:spacing w:after="0"/>
        <w:tabs>
          <w:tab w:leader="none" w:pos="15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laboratory costs;</w:t>
      </w:r>
    </w:p>
    <w:p>
      <w:pPr>
        <w:spacing w:after="0" w:line="225" w:lineRule="exact"/>
        <w:rPr>
          <w:rFonts w:ascii="Arial" w:cs="Arial" w:eastAsia="Arial" w:hAnsi="Arial"/>
          <w:sz w:val="18"/>
          <w:szCs w:val="18"/>
          <w:color w:val="231F20"/>
        </w:rPr>
      </w:pPr>
    </w:p>
    <w:p>
      <w:pPr>
        <w:ind w:left="1580" w:hanging="344"/>
        <w:spacing w:after="0"/>
        <w:tabs>
          <w:tab w:leader="none" w:pos="15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leased facility costs, equipment depreciation and other expenses, which include direct and allocated expenses; and</w:t>
      </w:r>
    </w:p>
    <w:p>
      <w:pPr>
        <w:spacing w:after="0" w:line="225" w:lineRule="exact"/>
        <w:rPr>
          <w:rFonts w:ascii="Arial" w:cs="Arial" w:eastAsia="Arial" w:hAnsi="Arial"/>
          <w:sz w:val="18"/>
          <w:szCs w:val="18"/>
          <w:color w:val="231F20"/>
        </w:rPr>
      </w:pPr>
    </w:p>
    <w:p>
      <w:pPr>
        <w:ind w:left="1580" w:right="920" w:hanging="344"/>
        <w:spacing w:after="0" w:line="277" w:lineRule="auto"/>
        <w:tabs>
          <w:tab w:leader="none" w:pos="15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intellectual property costs incurred in connection with filing and prosecuting patent applications as well as third-party license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 and Administrative Expenses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Our general and administrative expenses consist primarily of personnel costs in our executive, finance, business development and other administrative functions. Other general and administrative expenses include consulting fees and professional service fees for auditing, tax and legal services, rent expenses related to our offices, depreciation and other central non-research costs. We expect our general and administrative expenses to continue to increase in the future as we expand our operating activities and potentially prepare for manufacturing and/or commercialization of our current and future product candidates. These costs would normally increase as our headcount rises to allow full support for our operations as a public company, including increased expenses related to legal, accounting, regulatory and tax-related services associated with maintaining compliance with requirements of the Nasdaq Global Market and the Securities and Exchange Commission, directors’ and officers’ liability insurance premiums and investor relations activities.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231F20"/>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Change in Fair Value of Derivatives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We recognized a change in fair value in relation to the conversion and redemption features embedded in the convertible loan notes in the condensed consolidated statements of operations and comprehensive loss for the three months ended March 31, 2021. We had an embedded derivative liability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Convertible Loan Notes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231F20"/>
        </w:rPr>
        <w:t>On March 15, 2021, we issued 28,957 Series B preferred shares, or Series B Shares, amounting to $125,239 thousand. Each Series B Share is convertible into 309 ordinary shares and nine deferred shares at the holders’ option at any time. The Series B funding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31F20"/>
        </w:rPr>
        <w:t>The conversion was accounted for as an extinguishment of the convertible loan notes. As a result, the 12,421 Series B preferred shares issued on conversion was recognized at the settlement-date fair value of the Series B shares and a loss was recognized in earnings for the difference between (1) the fair value of those shares and (2) the sum of the carrying amounts of the convertible loan notes and the bifurcated conversion and redemption feature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Interest Expense</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231F20"/>
        </w:rPr>
        <w:t>Interest expense results primarily from our convertible loan notes, which carry a market rate of interest. These notes were issued between July and November 2020 and converted on March 15, 2021 into 12,421 Series B Shares with the conversion price being 0.8 times the Series B Shares issue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Research and Development Incentives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Research and development incentives contain payments we received from the United Kingdom and Australian governments related to corporation tax relief on research and development projects incentive programs in the United Kingdom and Australia. We account for such relief received as other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Use of Estimates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231F20"/>
        </w:rPr>
        <w:t>This discussion and analysis of financial condition and results of operations is based on our financial statements, which have been prepared in accordance with accounting principles generally accepted in the United States, or US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accruals for external manufacturing of clinical trial material as well as clinical study conduct, fair value of assets and liabilities, and the fair value of ordinary shares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231F20"/>
        </w:rPr>
        <w:t>While our significant accounting policies are more fully described in Note 2 to our annual consolidated financial statements for the year ended December 31, 2020 included in our prospectus on Form S-1 dated April 30, 2021, we believe that revenue recognition, accrued research and development expenses, stock based compensation and fair value are most critical to the process of making significant judgments and estimates in the preparation of our financial statements and understanding and evaluating our reported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Comparison of the Three Months Ended March 31, 2021 and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sets forth the significant components of our results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231F20"/>
                <w:w w:val="89"/>
              </w:rPr>
              <w:t>Three months</w:t>
            </w:r>
          </w:p>
        </w:tc>
        <w:tc>
          <w:tcPr>
            <w:tcW w:w="15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231F20"/>
                <w:w w:val="90"/>
              </w:rPr>
              <w:t>Three months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231F20"/>
                <w:w w:val="91"/>
              </w:rPr>
              <w:t>ended March</w:t>
            </w:r>
          </w:p>
        </w:tc>
        <w:tc>
          <w:tcPr>
            <w:tcW w:w="8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231F20"/>
                <w:w w:val="91"/>
              </w:rPr>
              <w:t>ended March</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231F20"/>
                <w:w w:val="88"/>
              </w:rPr>
              <w:t>31, 2021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231F20"/>
                <w:w w:val="88"/>
              </w:rPr>
              <w:t>31, 2020</w:t>
            </w:r>
          </w:p>
        </w:tc>
        <w:tc>
          <w:tcPr>
            <w:tcW w:w="32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231F20"/>
              </w:rPr>
              <w:t>Change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Revenue from Licenses, Grants &amp; Services Operating expenses: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215</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705</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231F20"/>
              </w:rPr>
              <w:t>Research &amp; development</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4,610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4,242</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368</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231F20"/>
              </w:rPr>
              <w:t>General and administrative</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231F20"/>
              </w:rPr>
              <w:t>1,777</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231F20"/>
              </w:rPr>
              <w:t>1,112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665</w:t>
            </w:r>
          </w:p>
        </w:tc>
      </w:tr>
      <w:tr>
        <w:trPr>
          <w:trHeight w:val="209"/>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231F20"/>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6,387</w:t>
            </w:r>
          </w:p>
        </w:tc>
        <w:tc>
          <w:tcPr>
            <w:tcW w:w="3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5,354</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1,033</w:t>
            </w:r>
          </w:p>
        </w:tc>
        <w:tc>
          <w:tcPr>
            <w:tcW w:w="10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231F20"/>
              </w:rPr>
              <w:t>Loss from operations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(4,649)</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(1,523)</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231F20"/>
              </w:rPr>
              <w:t>Other income (expense)</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231F20"/>
              </w:rPr>
              <w:t>5,994</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231F20"/>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5,994</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Unrealized exchange gain on convertible loan notes</w:t>
            </w:r>
          </w:p>
        </w:tc>
        <w:tc>
          <w:tcPr>
            <w:tcW w:w="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231F20"/>
              </w:rPr>
              <w:t>209</w:t>
            </w:r>
          </w:p>
        </w:tc>
        <w:tc>
          <w:tcPr>
            <w:tcW w:w="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231F20"/>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231F20"/>
              </w:rPr>
              <w:t>209</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convertible loan notes</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231F20"/>
              </w:rPr>
              <w:t>(13,789)</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231F20"/>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(13,789)</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231F20"/>
              </w:rPr>
              <w:t>2</w:t>
            </w:r>
          </w:p>
        </w:tc>
        <w:tc>
          <w:tcPr>
            <w:tcW w:w="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231F20"/>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231F20"/>
              </w:rPr>
              <w:t>2</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231F20"/>
              </w:rPr>
              <w:t>(2,650)</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231F20"/>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(2,650)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Research and development incentives</w:t>
            </w:r>
          </w:p>
        </w:tc>
        <w:tc>
          <w:tcPr>
            <w:tcW w:w="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231F20"/>
              </w:rPr>
              <w:t>955</w:t>
            </w:r>
          </w:p>
        </w:tc>
        <w:tc>
          <w:tcPr>
            <w:tcW w:w="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231F20"/>
              </w:rPr>
              <w:t>698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231F20"/>
              </w:rPr>
              <w:t>257</w:t>
            </w:r>
          </w:p>
        </w:tc>
      </w:tr>
      <w:tr>
        <w:trPr>
          <w:trHeight w:val="209"/>
        </w:trPr>
        <w:tc>
          <w:tcPr>
            <w:tcW w:w="6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231F20"/>
              </w:rPr>
              <w:t>Total other (expenses) income</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(9,279)</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698</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(9,977)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231F20"/>
              </w:rPr>
              <w:t>Tax benefit</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65</w:t>
            </w:r>
          </w:p>
        </w:tc>
        <w:tc>
          <w:tcPr>
            <w:tcW w:w="3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65</w:t>
            </w:r>
          </w:p>
        </w:tc>
        <w:tc>
          <w:tcPr>
            <w:tcW w:w="10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231F20"/>
              </w:rPr>
              <w:t>Net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(15,386)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(3,951)</w:t>
            </w:r>
          </w:p>
        </w:tc>
        <w:tc>
          <w:tcPr>
            <w:tcW w:w="3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(11,435)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Revenue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For the three months ended March 31, 2021, our revenue primarily consisted of $0.2 million of reimbursement of research and development expenses from BARDA. For the three months ended March 31, 2020, our revenue primarily consisted of $0.5 million of reimbursement of research and development expenses from BARDA and $0.2 million of service revenue from a research, collaboration and license agreement with Enara Bio.</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231F20"/>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summarizes our research and development expenses for the three months ended March 31, 2021 and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Three months</w:t>
            </w:r>
          </w:p>
        </w:tc>
        <w:tc>
          <w:tcPr>
            <w:tcW w:w="15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Three months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ended March</w:t>
            </w:r>
          </w:p>
        </w:tc>
        <w:tc>
          <w:tcPr>
            <w:tcW w:w="8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ended March</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31, 2021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31, 2020</w:t>
            </w:r>
          </w:p>
        </w:tc>
        <w:tc>
          <w:tcPr>
            <w:tcW w:w="32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ind w:left="660"/>
              <w:spacing w:after="0"/>
              <w:rPr>
                <w:sz w:val="20"/>
                <w:szCs w:val="20"/>
                <w:color w:val="auto"/>
              </w:rPr>
            </w:pPr>
            <w:r>
              <w:rPr>
                <w:rFonts w:ascii="Arial" w:cs="Arial" w:eastAsia="Arial" w:hAnsi="Arial"/>
                <w:sz w:val="18"/>
                <w:szCs w:val="18"/>
                <w:color w:val="auto"/>
              </w:rPr>
              <w:t>VTP-200 HPV</w:t>
            </w:r>
          </w:p>
        </w:tc>
        <w:tc>
          <w:tcPr>
            <w:tcW w:w="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836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6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VTP-300 HBV</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1,686</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r>
      <w:tr>
        <w:trPr>
          <w:trHeight w:val="216"/>
        </w:trPr>
        <w:tc>
          <w:tcPr>
            <w:tcW w:w="6760" w:type="dxa"/>
            <w:vAlign w:val="bottom"/>
          </w:tcPr>
          <w:p>
            <w:pPr>
              <w:ind w:left="660"/>
              <w:spacing w:after="0"/>
              <w:rPr>
                <w:sz w:val="20"/>
                <w:szCs w:val="20"/>
                <w:color w:val="auto"/>
              </w:rPr>
            </w:pPr>
            <w:r>
              <w:rPr>
                <w:rFonts w:ascii="Arial" w:cs="Arial" w:eastAsia="Arial" w:hAnsi="Arial"/>
                <w:sz w:val="18"/>
                <w:szCs w:val="18"/>
                <w:color w:val="auto"/>
              </w:rPr>
              <w:t>VTP-600 NSCLC</w:t>
            </w:r>
          </w:p>
        </w:tc>
        <w:tc>
          <w:tcPr>
            <w:tcW w:w="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610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r>
      <w:tr>
        <w:trPr>
          <w:trHeight w:val="216"/>
        </w:trPr>
        <w:tc>
          <w:tcPr>
            <w:tcW w:w="6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VTP-800/850 Prostate cancer</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16"/>
        </w:trPr>
        <w:tc>
          <w:tcPr>
            <w:tcW w:w="6760" w:type="dxa"/>
            <w:vAlign w:val="bottom"/>
          </w:tcPr>
          <w:p>
            <w:pPr>
              <w:ind w:left="660"/>
              <w:spacing w:after="0"/>
              <w:rPr>
                <w:sz w:val="20"/>
                <w:szCs w:val="20"/>
                <w:color w:val="auto"/>
              </w:rPr>
            </w:pPr>
            <w:r>
              <w:rPr>
                <w:rFonts w:ascii="Arial" w:cs="Arial" w:eastAsia="Arial" w:hAnsi="Arial"/>
                <w:sz w:val="18"/>
                <w:szCs w:val="18"/>
                <w:color w:val="auto"/>
              </w:rPr>
              <w:t>Other and earlier stage programs</w:t>
            </w:r>
          </w:p>
        </w:tc>
        <w:tc>
          <w:tcPr>
            <w:tcW w:w="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927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Internal research and development expenses: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660"/>
              <w:spacing w:after="0"/>
              <w:rPr>
                <w:sz w:val="20"/>
                <w:szCs w:val="20"/>
                <w:color w:val="auto"/>
              </w:rPr>
            </w:pPr>
            <w:r>
              <w:rPr>
                <w:rFonts w:ascii="Arial" w:cs="Arial" w:eastAsia="Arial" w:hAnsi="Arial"/>
                <w:sz w:val="18"/>
                <w:szCs w:val="18"/>
                <w:color w:val="auto"/>
              </w:rPr>
              <w:t>Personnel-related (including share-based compensation)</w:t>
            </w:r>
          </w:p>
        </w:tc>
        <w:tc>
          <w:tcPr>
            <w:tcW w:w="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883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6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Facility related</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6760" w:type="dxa"/>
            <w:vAlign w:val="bottom"/>
          </w:tcPr>
          <w:p>
            <w:pPr>
              <w:ind w:left="660"/>
              <w:spacing w:after="0"/>
              <w:rPr>
                <w:sz w:val="20"/>
                <w:szCs w:val="20"/>
                <w:color w:val="auto"/>
              </w:rPr>
            </w:pPr>
            <w:r>
              <w:rPr>
                <w:rFonts w:ascii="Arial" w:cs="Arial" w:eastAsia="Arial" w:hAnsi="Arial"/>
                <w:sz w:val="18"/>
                <w:szCs w:val="18"/>
                <w:color w:val="auto"/>
              </w:rPr>
              <w:t>Other internal costs</w:t>
            </w:r>
          </w:p>
        </w:tc>
        <w:tc>
          <w:tcPr>
            <w:tcW w:w="8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231F20"/>
        </w:rPr>
        <w:t>Our research and development expenses for the three months ended March 31, 2021 and for the three months ended March 31, 2020 were $4.6 million and $4.2 million, respectively. Personnel-related expenses were $1.0 million and $0.9 million, respectively, as result of the relative increase in our headcount across both the UK and US. Direct expenses for outside services and consultants and laboratory materials were $3.6 million for the three months ended March 31, 2021 and $3.2 million for the three months ended March 31, 2020 and mainly comprised of costs for clinical trials, manufacturing of clinical trial materials, as well as costs for external preclinical services and sample testing.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 and Administrative Expenses</w:t>
      </w:r>
    </w:p>
    <w:p>
      <w:pPr>
        <w:spacing w:after="0" w:line="225"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231F20"/>
        </w:rPr>
        <w:t>General and administrative expenses for the three months ended March 31, 2021 were $1.8 million, which were mainly attributable to lease costs, plus personnel expenses of $1.2 million and professional fees and consulting fees of $0.6 million. For the three months ended March 31, 2020, general and administrative expenses were $1.1 million, including personnel expenses of $0.8 million, and professional fees and consulting fees of $0.3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Change in fair value of derivatives</w:t>
      </w:r>
    </w:p>
    <w:p>
      <w:pPr>
        <w:spacing w:after="0" w:line="225"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231F20"/>
        </w:rPr>
        <w:t>For the three months ended March 31, 2021, we recognized a change in fair value of $6.0 million in relation to the conversion and redemption features embedded in the convertible loan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Loss on extinguishment of convertible loan notes</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231F20"/>
        </w:rPr>
        <w:t>For the three months ended March 31, 2021, we recognized a loss of $13.8 million related to conversion of convertible loan notes into 12,421 Series B preferred shares. The loss is a difference between (1) the fair value of those shares ($53.7 million) and (2) the sum of the carrying amounts of the convertible loan notes ($25.6 million) and the bifurcated conversion and redemption feature liability ($14.4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Interest Expense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For the three months ended March 31, 2021, interest expense was $2.7 million, which primarily relate to our convertible loan notes, which carry a market rate of interest. Interest expense was nil for the three months ended March 31, 2020.</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231F20"/>
        </w:rPr>
        <w:t>Research and Development Incentives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231F20"/>
        </w:rPr>
        <w:t>For the three months ended March 31, 2021 and the three months ended March 31, 2020, we accrued research and development incentives of $1.0 million and $0.7 million, respectively. Such research and development incentives relate to corporation tax relief on research and development projects incentive programs in the United Kingdom and Australia. We account for such relief received as other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231F20"/>
        </w:rPr>
        <w:t>Since our inception, we have funded our operations primarily through private placements of our ordinary and preferred shares as well as from grants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research incentives, various agreements with public funding agencies, and most recently from an upfront payment from OUI in connection with the OUI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License Agreement Amendment and the issuance of convertible loan notes. Through March 31, 2021, we had received gross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$214.3 million from the issuance of our ordinary and preferred shares and convertible loan notes. As of March 31, 2021, we had cash and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of $155.9 million. Key financing and corporate milestones include the following:</w:t>
      </w:r>
    </w:p>
    <w:p>
      <w:pPr>
        <w:spacing w:after="0" w:line="211"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In March 2016, we raised gross proceeds of approximately $14.0 million from the issuance of our seed round of ordinary shares.</w:t>
      </w:r>
    </w:p>
    <w:p>
      <w:pPr>
        <w:spacing w:after="0" w:line="225" w:lineRule="exact"/>
        <w:rPr>
          <w:rFonts w:ascii="Arial" w:cs="Arial" w:eastAsia="Arial" w:hAnsi="Arial"/>
          <w:sz w:val="18"/>
          <w:szCs w:val="18"/>
          <w:color w:val="231F20"/>
        </w:rPr>
      </w:pPr>
    </w:p>
    <w:p>
      <w:pPr>
        <w:ind w:left="360" w:hanging="352"/>
        <w:spacing w:after="0"/>
        <w:tabs>
          <w:tab w:leader="none" w:pos="3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Between November 2017 and December 2018, we raised gross proceeds of $33.9 million from the issuance of our Series A Shares.</w:t>
      </w:r>
    </w:p>
    <w:p>
      <w:pPr>
        <w:spacing w:after="0" w:line="225" w:lineRule="exact"/>
        <w:rPr>
          <w:rFonts w:ascii="Arial" w:cs="Arial" w:eastAsia="Arial" w:hAnsi="Arial"/>
          <w:sz w:val="18"/>
          <w:szCs w:val="18"/>
          <w:color w:val="231F20"/>
        </w:rPr>
      </w:pPr>
    </w:p>
    <w:p>
      <w:pPr>
        <w:ind w:left="360" w:hanging="352"/>
        <w:spacing w:after="0"/>
        <w:tabs>
          <w:tab w:leader="none" w:pos="3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Between July 2020 and November 2020, we raised gross proceeds of $41.2 million from the issuance of convertible loan notes.</w:t>
      </w:r>
    </w:p>
    <w:p>
      <w:pPr>
        <w:spacing w:after="0" w:line="225" w:lineRule="exact"/>
        <w:rPr>
          <w:rFonts w:ascii="Arial" w:cs="Arial" w:eastAsia="Arial" w:hAnsi="Arial"/>
          <w:sz w:val="18"/>
          <w:szCs w:val="18"/>
          <w:color w:val="231F20"/>
        </w:rPr>
      </w:pPr>
    </w:p>
    <w:p>
      <w:pPr>
        <w:ind w:left="360" w:hanging="352"/>
        <w:spacing w:after="0"/>
        <w:tabs>
          <w:tab w:leader="none" w:pos="3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In March 2021, we raised gross proceeds of $125.2 million from the issuance of our Series B shares.</w:t>
      </w:r>
    </w:p>
    <w:p>
      <w:pPr>
        <w:spacing w:after="0" w:line="225" w:lineRule="exact"/>
        <w:rPr>
          <w:rFonts w:ascii="Arial" w:cs="Arial" w:eastAsia="Arial" w:hAnsi="Arial"/>
          <w:sz w:val="18"/>
          <w:szCs w:val="18"/>
          <w:color w:val="231F20"/>
        </w:rPr>
      </w:pPr>
    </w:p>
    <w:p>
      <w:pPr>
        <w:ind w:left="360" w:hanging="352"/>
        <w:spacing w:after="0"/>
        <w:tabs>
          <w:tab w:leader="none" w:pos="3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In May 2021, we raised gross proceeds of $110.5 million from the initial public offering of our ordinary shares on NASDAQ.</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231F20"/>
        </w:rPr>
        <w:t>We do not expect positive cash flows from operations in the foreseeable future, if at all. Historically, we have incurred operating losses as a result of ongoing efforts to develop our heterologous ChAdOx1-MVA prime-boost immunotherapy platform and our product candidates, including conducting ongoing research and development, preclinical studies, clinical trials, providing general and administrative support for these operations and developing our intellectual property portfolio. We expect to continue to incur net operating losses for at least the next few years as we progress clinical development, seek regulatory approval, prepare for and, if approved, proceed to manufacture and commercialization of our most advanced product candidates. Operating profits may arrive earlier if programs are licensed or sold to third parties before final approval, but this cannot be guaranteed.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sets forth a summary of the primary sources and uses of cash (in thousands) for each periods presented:</w:t>
      </w:r>
    </w:p>
    <w:p>
      <w:pPr>
        <w:sectPr>
          <w:pgSz w:w="11900" w:h="16838" w:orient="portrait"/>
          <w:cols w:equalWidth="0" w:num="1">
            <w:col w:w="11200"/>
          </w:cols>
          <w:pgMar w:left="320" w:top="90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231F20"/>
        </w:rPr>
        <w:t>Net cash provided by financing activities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5"/>
          <w:szCs w:val="15"/>
          <w:color w:val="231F20"/>
        </w:rPr>
        <w:t>Effect of exchange rates on cash and cash equivalents</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color w:val="231F20"/>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231F20"/>
                <w:w w:val="90"/>
              </w:rPr>
              <w:t>Three months</w:t>
            </w:r>
          </w:p>
        </w:tc>
        <w:tc>
          <w:tcPr>
            <w:tcW w:w="120" w:type="dxa"/>
            <w:vAlign w:val="bottom"/>
          </w:tcPr>
          <w:p>
            <w:pPr>
              <w:spacing w:after="0"/>
              <w:rPr>
                <w:sz w:val="18"/>
                <w:szCs w:val="18"/>
                <w:color w:val="auto"/>
              </w:rPr>
            </w:pPr>
          </w:p>
        </w:tc>
        <w:tc>
          <w:tcPr>
            <w:tcW w:w="1300" w:type="dxa"/>
            <w:vAlign w:val="bottom"/>
            <w:gridSpan w:val="4"/>
          </w:tcPr>
          <w:p>
            <w:pPr>
              <w:jc w:val="center"/>
              <w:ind w:right="21"/>
              <w:spacing w:after="0"/>
              <w:rPr>
                <w:sz w:val="20"/>
                <w:szCs w:val="20"/>
                <w:color w:val="auto"/>
              </w:rPr>
            </w:pPr>
            <w:r>
              <w:rPr>
                <w:rFonts w:ascii="Arial" w:cs="Arial" w:eastAsia="Arial" w:hAnsi="Arial"/>
                <w:sz w:val="18"/>
                <w:szCs w:val="18"/>
                <w:b w:val="1"/>
                <w:bCs w:val="1"/>
                <w:color w:val="231F20"/>
                <w:w w:val="90"/>
              </w:rPr>
              <w:t>Three months</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231F20"/>
                <w:w w:val="91"/>
              </w:rPr>
              <w:t>ended March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231F20"/>
                <w:w w:val="91"/>
              </w:rPr>
              <w:t>ended March</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231F20"/>
                <w:w w:val="91"/>
              </w:rPr>
              <w:t>31, 2021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231F20"/>
                <w:w w:val="91"/>
              </w:rPr>
              <w:t>31, 2020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231F20"/>
                <w:w w:val="71"/>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231F20"/>
              </w:rPr>
              <w:t>(7,969)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231F20"/>
              </w:rPr>
              <w:t>(4,321)</w:t>
            </w:r>
          </w:p>
        </w:tc>
        <w:tc>
          <w:tcPr>
            <w:tcW w:w="60" w:type="dxa"/>
            <w:vAlign w:val="bottom"/>
            <w:gridSpan w:val="2"/>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231F20"/>
              </w:rPr>
              <w:t>(392)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231F20"/>
              </w:rPr>
              <w:t>(22)</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121,815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231F20"/>
              </w:rPr>
              <w:t>-</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231F20"/>
              </w:rPr>
              <w:t>(785)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231F20"/>
              </w:rPr>
              <w:t>(655)</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231F20"/>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112,669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231F20"/>
              </w:rPr>
              <w:t>(4,998</w:t>
            </w:r>
          </w:p>
        </w:tc>
        <w:tc>
          <w:tcPr>
            <w:tcW w:w="40" w:type="dxa"/>
            <w:vAlign w:val="bottom"/>
          </w:tcPr>
          <w:p>
            <w:pPr>
              <w:jc w:val="right"/>
              <w:spacing w:after="0"/>
              <w:rPr>
                <w:sz w:val="20"/>
                <w:szCs w:val="20"/>
                <w:color w:val="auto"/>
              </w:rPr>
            </w:pPr>
            <w:r>
              <w:rPr>
                <w:rFonts w:ascii="Arial" w:cs="Arial" w:eastAsia="Arial" w:hAnsi="Arial"/>
                <w:sz w:val="8"/>
                <w:szCs w:val="8"/>
                <w:color w:val="231F20"/>
                <w:w w:val="73"/>
              </w:rPr>
              <w:t>)</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2860"/>
          </w:cols>
          <w:pgMar w:left="320" w:top="908" w:right="37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color w:val="231F20"/>
        </w:rPr>
        <w:t>Cash Used in Operating Activities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231F20"/>
        </w:rPr>
        <w:t>During the three months ended March 31, 2021, net cash used in operating activities was $8.0 million, primarily resulting from our net loss of $15.4 million, adjusted by fair value gain on embedded derivatives of $6.0 million, loss on conversion of convertible loan notes of $13.8 million, share based compensation of $0.8 million, depreciation and amortization of $0.1 million and changes in our operating assets and liabilities, net of $1.9 million. During the three months ended March 31, 2020, net cash used in operating activities was $4.3 million, primarily resulting from our net loss of $4.0 million, adjusted by share based compensation of $0.9 million, and changes in our operating assets and liabilities, net of $1.3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Net Cash Used in Investing Activities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During the three months ended March 31, 2021 and the three months ended March 31, 2020, cash used in investing activities was $0.4 million and $0.02 million, respectively, which resulted from capital expenditures in connection with new labs, improvements to expand our laboratory space and purchases of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Net Cash Provided by Financing Activities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231F20"/>
        </w:rPr>
        <w:t>During the three months ended March 31, 2021, cash provided by financing activities was $121.8 million consisting of $121.8 million of net proceeds from the issuance of Series B shares. During the three months ended March 31, 2020, cash provided by financing activities was nil.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Funding Requirements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To date, we have devoted substantially all of our resources to organizing and staffing our company, business planning, raising capital, undertaking preclinical studies and conducting clinical trials of our product candidates. As a result, we are not yet profitable and have incurred losses in each period since our inception in 2016. As of March 31, 2021, we had an accumulated deficit of $73.0 million. We expect to continue to incur significant losses for the foreseeable future. We anticipate that our expenses will increase substantially as we:</w:t>
      </w:r>
    </w:p>
    <w:p>
      <w:pPr>
        <w:spacing w:after="0" w:line="187" w:lineRule="exact"/>
        <w:rPr>
          <w:sz w:val="20"/>
          <w:szCs w:val="20"/>
          <w:color w:val="auto"/>
        </w:rPr>
      </w:pPr>
    </w:p>
    <w:p>
      <w:pPr>
        <w:ind w:left="420" w:hanging="358"/>
        <w:spacing w:after="0"/>
        <w:tabs>
          <w:tab w:leader="none" w:pos="420" w:val="left"/>
        </w:tabs>
        <w:numPr>
          <w:ilvl w:val="1"/>
          <w:numId w:val="20"/>
        </w:numPr>
        <w:rPr>
          <w:rFonts w:ascii="Arial" w:cs="Arial" w:eastAsia="Arial" w:hAnsi="Arial"/>
          <w:sz w:val="18"/>
          <w:szCs w:val="18"/>
          <w:color w:val="231F20"/>
        </w:rPr>
      </w:pPr>
      <w:r>
        <w:rPr>
          <w:rFonts w:ascii="Arial" w:cs="Arial" w:eastAsia="Arial" w:hAnsi="Arial"/>
          <w:sz w:val="18"/>
          <w:szCs w:val="18"/>
          <w:color w:val="231F20"/>
        </w:rPr>
        <w:t>pursue the clinical and preclinical development of our current product candidates;</w:t>
      </w:r>
    </w:p>
    <w:p>
      <w:pPr>
        <w:spacing w:after="0" w:line="225" w:lineRule="exact"/>
        <w:rPr>
          <w:rFonts w:ascii="Arial" w:cs="Arial" w:eastAsia="Arial" w:hAnsi="Arial"/>
          <w:sz w:val="18"/>
          <w:szCs w:val="18"/>
          <w:color w:val="231F20"/>
        </w:rPr>
      </w:pPr>
    </w:p>
    <w:p>
      <w:pPr>
        <w:ind w:left="420" w:hanging="358"/>
        <w:spacing w:after="0"/>
        <w:tabs>
          <w:tab w:leader="none" w:pos="420" w:val="left"/>
        </w:tabs>
        <w:numPr>
          <w:ilvl w:val="1"/>
          <w:numId w:val="20"/>
        </w:numPr>
        <w:rPr>
          <w:rFonts w:ascii="Arial" w:cs="Arial" w:eastAsia="Arial" w:hAnsi="Arial"/>
          <w:sz w:val="18"/>
          <w:szCs w:val="18"/>
          <w:color w:val="231F20"/>
        </w:rPr>
      </w:pPr>
      <w:r>
        <w:rPr>
          <w:rFonts w:ascii="Arial" w:cs="Arial" w:eastAsia="Arial" w:hAnsi="Arial"/>
          <w:sz w:val="18"/>
          <w:szCs w:val="18"/>
          <w:color w:val="231F20"/>
        </w:rPr>
        <w:t>use our technologies to advance additional product candidates into preclinical and clinical development;</w:t>
      </w:r>
    </w:p>
    <w:p>
      <w:pPr>
        <w:spacing w:after="0" w:line="225" w:lineRule="exact"/>
        <w:rPr>
          <w:rFonts w:ascii="Arial" w:cs="Arial" w:eastAsia="Arial" w:hAnsi="Arial"/>
          <w:sz w:val="18"/>
          <w:szCs w:val="18"/>
          <w:color w:val="231F20"/>
        </w:rPr>
      </w:pPr>
    </w:p>
    <w:p>
      <w:pPr>
        <w:ind w:left="420" w:hanging="358"/>
        <w:spacing w:after="0"/>
        <w:tabs>
          <w:tab w:leader="none" w:pos="420" w:val="left"/>
        </w:tabs>
        <w:numPr>
          <w:ilvl w:val="1"/>
          <w:numId w:val="20"/>
        </w:numPr>
        <w:rPr>
          <w:rFonts w:ascii="Arial" w:cs="Arial" w:eastAsia="Arial" w:hAnsi="Arial"/>
          <w:sz w:val="18"/>
          <w:szCs w:val="18"/>
          <w:color w:val="231F20"/>
        </w:rPr>
      </w:pPr>
      <w:r>
        <w:rPr>
          <w:rFonts w:ascii="Arial" w:cs="Arial" w:eastAsia="Arial" w:hAnsi="Arial"/>
          <w:sz w:val="18"/>
          <w:szCs w:val="18"/>
          <w:color w:val="231F20"/>
        </w:rPr>
        <w:t>seek marketing authorizations for product candidates that successfully complete clinical trials, if any;</w:t>
      </w:r>
    </w:p>
    <w:p>
      <w:pPr>
        <w:spacing w:after="0" w:line="225" w:lineRule="exact"/>
        <w:rPr>
          <w:rFonts w:ascii="Arial" w:cs="Arial" w:eastAsia="Arial" w:hAnsi="Arial"/>
          <w:sz w:val="18"/>
          <w:szCs w:val="18"/>
          <w:color w:val="231F20"/>
        </w:rPr>
      </w:pPr>
    </w:p>
    <w:p>
      <w:pPr>
        <w:ind w:left="420" w:hanging="358"/>
        <w:spacing w:after="0"/>
        <w:tabs>
          <w:tab w:leader="none" w:pos="420" w:val="left"/>
        </w:tabs>
        <w:numPr>
          <w:ilvl w:val="1"/>
          <w:numId w:val="20"/>
        </w:numPr>
        <w:rPr>
          <w:rFonts w:ascii="Arial" w:cs="Arial" w:eastAsia="Arial" w:hAnsi="Arial"/>
          <w:sz w:val="18"/>
          <w:szCs w:val="18"/>
          <w:color w:val="231F20"/>
        </w:rPr>
      </w:pPr>
      <w:r>
        <w:rPr>
          <w:rFonts w:ascii="Arial" w:cs="Arial" w:eastAsia="Arial" w:hAnsi="Arial"/>
          <w:sz w:val="18"/>
          <w:szCs w:val="18"/>
          <w:color w:val="231F20"/>
        </w:rPr>
        <w:t>attract, hire and retain additional clinical, regulatory, quality control and other scientific personnel;</w:t>
      </w:r>
    </w:p>
    <w:p>
      <w:pPr>
        <w:spacing w:after="0" w:line="225" w:lineRule="exact"/>
        <w:rPr>
          <w:rFonts w:ascii="Arial" w:cs="Arial" w:eastAsia="Arial" w:hAnsi="Arial"/>
          <w:sz w:val="18"/>
          <w:szCs w:val="18"/>
          <w:color w:val="231F20"/>
        </w:rPr>
      </w:pPr>
    </w:p>
    <w:p>
      <w:pPr>
        <w:ind w:left="420" w:right="920" w:hanging="358"/>
        <w:spacing w:after="0" w:line="277" w:lineRule="auto"/>
        <w:tabs>
          <w:tab w:leader="none" w:pos="420" w:val="left"/>
        </w:tabs>
        <w:numPr>
          <w:ilvl w:val="1"/>
          <w:numId w:val="20"/>
        </w:numPr>
        <w:rPr>
          <w:rFonts w:ascii="Arial" w:cs="Arial" w:eastAsia="Arial" w:hAnsi="Arial"/>
          <w:sz w:val="18"/>
          <w:szCs w:val="18"/>
          <w:color w:val="231F20"/>
        </w:rPr>
      </w:pPr>
      <w:r>
        <w:rPr>
          <w:rFonts w:ascii="Arial" w:cs="Arial" w:eastAsia="Arial" w:hAnsi="Arial"/>
          <w:sz w:val="18"/>
          <w:szCs w:val="18"/>
          <w:color w:val="231F20"/>
        </w:rPr>
        <w:t>establish our manufacturing capabilities through third parties or by ourselves and scale-up manufacturing to provide adequate supply for clinical trials and commercialization, including any manufacturing finishing and logistics personnel;</w:t>
      </w:r>
    </w:p>
    <w:p>
      <w:pPr>
        <w:spacing w:after="0" w:line="170" w:lineRule="exact"/>
        <w:rPr>
          <w:rFonts w:ascii="Arial" w:cs="Arial" w:eastAsia="Arial" w:hAnsi="Arial"/>
          <w:sz w:val="18"/>
          <w:szCs w:val="18"/>
          <w:color w:val="231F20"/>
        </w:rPr>
      </w:pPr>
    </w:p>
    <w:p>
      <w:pPr>
        <w:ind w:left="420" w:right="920" w:hanging="358"/>
        <w:spacing w:after="0" w:line="277" w:lineRule="auto"/>
        <w:tabs>
          <w:tab w:leader="none" w:pos="420" w:val="left"/>
        </w:tabs>
        <w:numPr>
          <w:ilvl w:val="1"/>
          <w:numId w:val="20"/>
        </w:numPr>
        <w:rPr>
          <w:rFonts w:ascii="Arial" w:cs="Arial" w:eastAsia="Arial" w:hAnsi="Arial"/>
          <w:sz w:val="18"/>
          <w:szCs w:val="18"/>
          <w:color w:val="231F20"/>
        </w:rPr>
      </w:pPr>
      <w:r>
        <w:rPr>
          <w:rFonts w:ascii="Arial" w:cs="Arial" w:eastAsia="Arial" w:hAnsi="Arial"/>
          <w:sz w:val="18"/>
          <w:szCs w:val="18"/>
          <w:color w:val="231F20"/>
        </w:rPr>
        <w:t>expand our operational, financial and management systems and increase personnel appropriately, including personnel to support our manufacturing and commercialization efforts and our operations as a public company;</w:t>
      </w:r>
    </w:p>
    <w:p>
      <w:pPr>
        <w:spacing w:after="0" w:line="170" w:lineRule="exact"/>
        <w:rPr>
          <w:rFonts w:ascii="Arial" w:cs="Arial" w:eastAsia="Arial" w:hAnsi="Arial"/>
          <w:sz w:val="18"/>
          <w:szCs w:val="18"/>
          <w:color w:val="231F20"/>
        </w:rPr>
      </w:pPr>
    </w:p>
    <w:p>
      <w:pPr>
        <w:ind w:left="420" w:hanging="358"/>
        <w:spacing w:after="0"/>
        <w:tabs>
          <w:tab w:leader="none" w:pos="420" w:val="left"/>
        </w:tabs>
        <w:numPr>
          <w:ilvl w:val="1"/>
          <w:numId w:val="20"/>
        </w:numPr>
        <w:rPr>
          <w:rFonts w:ascii="Arial" w:cs="Arial" w:eastAsia="Arial" w:hAnsi="Arial"/>
          <w:sz w:val="18"/>
          <w:szCs w:val="18"/>
          <w:color w:val="231F20"/>
        </w:rPr>
      </w:pPr>
      <w:r>
        <w:rPr>
          <w:rFonts w:ascii="Arial" w:cs="Arial" w:eastAsia="Arial" w:hAnsi="Arial"/>
          <w:sz w:val="18"/>
          <w:szCs w:val="18"/>
          <w:color w:val="231F20"/>
        </w:rPr>
        <w:t>maintain, expand, enforce, and protect our intellectual property portfolio as appropriate;</w:t>
      </w:r>
    </w:p>
    <w:p>
      <w:pPr>
        <w:spacing w:after="0" w:line="225" w:lineRule="exact"/>
        <w:rPr>
          <w:rFonts w:ascii="Arial" w:cs="Arial" w:eastAsia="Arial" w:hAnsi="Arial"/>
          <w:sz w:val="18"/>
          <w:szCs w:val="18"/>
          <w:color w:val="231F20"/>
        </w:rPr>
      </w:pPr>
    </w:p>
    <w:p>
      <w:pPr>
        <w:ind w:left="420" w:right="920" w:hanging="358"/>
        <w:spacing w:after="0" w:line="277" w:lineRule="auto"/>
        <w:tabs>
          <w:tab w:leader="none" w:pos="420" w:val="left"/>
        </w:tabs>
        <w:numPr>
          <w:ilvl w:val="1"/>
          <w:numId w:val="20"/>
        </w:numPr>
        <w:rPr>
          <w:rFonts w:ascii="Arial" w:cs="Arial" w:eastAsia="Arial" w:hAnsi="Arial"/>
          <w:sz w:val="18"/>
          <w:szCs w:val="18"/>
          <w:color w:val="231F20"/>
        </w:rPr>
      </w:pPr>
      <w:r>
        <w:rPr>
          <w:rFonts w:ascii="Arial" w:cs="Arial" w:eastAsia="Arial" w:hAnsi="Arial"/>
          <w:sz w:val="18"/>
          <w:szCs w:val="18"/>
          <w:color w:val="231F20"/>
        </w:rPr>
        <w:t>establish sales, marketing, medical affairs and distribution teams and infrastructure to commercialize any products for which we may obtain marketing approval and intend to commercialize on our own or jointly;</w:t>
      </w:r>
    </w:p>
    <w:p>
      <w:pPr>
        <w:spacing w:after="0" w:line="170" w:lineRule="exact"/>
        <w:rPr>
          <w:rFonts w:ascii="Arial" w:cs="Arial" w:eastAsia="Arial" w:hAnsi="Arial"/>
          <w:sz w:val="18"/>
          <w:szCs w:val="18"/>
          <w:color w:val="231F20"/>
        </w:rPr>
      </w:pPr>
    </w:p>
    <w:p>
      <w:pPr>
        <w:ind w:left="420" w:hanging="358"/>
        <w:spacing w:after="0"/>
        <w:tabs>
          <w:tab w:leader="none" w:pos="420" w:val="left"/>
        </w:tabs>
        <w:numPr>
          <w:ilvl w:val="1"/>
          <w:numId w:val="20"/>
        </w:numPr>
        <w:rPr>
          <w:rFonts w:ascii="Arial" w:cs="Arial" w:eastAsia="Arial" w:hAnsi="Arial"/>
          <w:sz w:val="18"/>
          <w:szCs w:val="18"/>
          <w:color w:val="231F20"/>
        </w:rPr>
      </w:pPr>
      <w:r>
        <w:rPr>
          <w:rFonts w:ascii="Arial" w:cs="Arial" w:eastAsia="Arial" w:hAnsi="Arial"/>
          <w:sz w:val="18"/>
          <w:szCs w:val="18"/>
          <w:color w:val="231F20"/>
        </w:rPr>
        <w:t>acquire or in-license other product candidates and technologies; and</w:t>
      </w:r>
    </w:p>
    <w:p>
      <w:pPr>
        <w:spacing w:after="0" w:line="225" w:lineRule="exact"/>
        <w:rPr>
          <w:rFonts w:ascii="Arial" w:cs="Arial" w:eastAsia="Arial" w:hAnsi="Arial"/>
          <w:sz w:val="18"/>
          <w:szCs w:val="18"/>
          <w:color w:val="231F20"/>
        </w:rPr>
      </w:pPr>
    </w:p>
    <w:p>
      <w:pPr>
        <w:ind w:left="400" w:hanging="352"/>
        <w:spacing w:after="0" w:line="277" w:lineRule="auto"/>
        <w:tabs>
          <w:tab w:leader="none" w:pos="4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incur additional legal, accounting and other expenses in operating our business, including office expansion and the additional costs associated with operating as a public company.</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line="275" w:lineRule="auto"/>
        <w:rPr>
          <w:sz w:val="20"/>
          <w:szCs w:val="20"/>
          <w:color w:val="auto"/>
        </w:rPr>
      </w:pPr>
      <w:r>
        <w:rPr>
          <w:rFonts w:ascii="Arial" w:cs="Arial" w:eastAsia="Arial" w:hAnsi="Arial"/>
          <w:sz w:val="17"/>
          <w:szCs w:val="17"/>
          <w:color w:val="231F20"/>
        </w:rPr>
        <w:t>Even if we succeed in commercializing one or more of our product candidates, we will continue to incur substantial research and development and other expenditure to develop and market additional product candidates. We may encounter unforeseen expenses, difficulties, complications, delays and other factors that may adversely affect our business. The size of our future net losses will depend on the rate of future growth of our expenses combined with our ability to generate revenue. Our prior losses and expected future losses have had and will continue to have an adverse effect on our shareholders’ equity and working capital unless and until eliminated by revenue growth.</w:t>
      </w:r>
    </w:p>
    <w:p>
      <w:pPr>
        <w:spacing w:after="0" w:line="17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231F20"/>
        </w:rPr>
        <w:t>We may require substantial additional financing in the future to meet any such unanticipated factors and a failure to obtain this necessary capital could force us to delay, limit, reduce or terminate our product development programs, commercialization efforts or other operations.</w:t>
      </w:r>
    </w:p>
    <w:p>
      <w:pPr>
        <w:spacing w:after="0" w:line="1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Since our foundation, we have invested a significant portion of our efforts and financial resources in research and development activities for our ChAdOx1, ChAdOx2 and MVA technologies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31F20"/>
        </w:rPr>
        <w:t>Our future capital requirements may depend on many factors, including:</w:t>
      </w:r>
    </w:p>
    <w:p>
      <w:pPr>
        <w:spacing w:after="0" w:line="225" w:lineRule="exact"/>
        <w:rPr>
          <w:sz w:val="20"/>
          <w:szCs w:val="20"/>
          <w:color w:val="auto"/>
        </w:rPr>
      </w:pPr>
    </w:p>
    <w:p>
      <w:pPr>
        <w:ind w:left="340" w:right="900" w:hanging="332"/>
        <w:spacing w:after="0" w:line="277" w:lineRule="auto"/>
        <w:tabs>
          <w:tab w:leader="none" w:pos="3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scope, progress, results and costs of researching and developing our current and future product candidates and programs, and of conducting preclinical studies and clinical trials;</w:t>
      </w:r>
    </w:p>
    <w:p>
      <w:pPr>
        <w:spacing w:after="0" w:line="170" w:lineRule="exact"/>
        <w:rPr>
          <w:rFonts w:ascii="Arial" w:cs="Arial" w:eastAsia="Arial" w:hAnsi="Arial"/>
          <w:sz w:val="18"/>
          <w:szCs w:val="18"/>
          <w:color w:val="231F20"/>
        </w:rPr>
      </w:pPr>
    </w:p>
    <w:p>
      <w:pPr>
        <w:ind w:left="340" w:right="900" w:hanging="332"/>
        <w:spacing w:after="0" w:line="277" w:lineRule="auto"/>
        <w:tabs>
          <w:tab w:leader="none" w:pos="3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number and development requirements of other product candidates that we may pursue, and of other indications for our current product candidates that we may pursue;</w:t>
      </w:r>
    </w:p>
    <w:p>
      <w:pPr>
        <w:spacing w:after="0" w:line="170" w:lineRule="exact"/>
        <w:rPr>
          <w:rFonts w:ascii="Arial" w:cs="Arial" w:eastAsia="Arial" w:hAnsi="Arial"/>
          <w:sz w:val="18"/>
          <w:szCs w:val="18"/>
          <w:color w:val="231F20"/>
        </w:rPr>
      </w:pPr>
    </w:p>
    <w:p>
      <w:pPr>
        <w:ind w:left="340" w:right="900" w:hanging="332"/>
        <w:spacing w:after="0" w:line="277" w:lineRule="auto"/>
        <w:tabs>
          <w:tab w:leader="none" w:pos="3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stability, scale and yield of future manufacturing processes as we scale-up production and formulation of our product candidates either internally or externally for later stages of development and commercialization;</w:t>
      </w:r>
    </w:p>
    <w:p>
      <w:pPr>
        <w:spacing w:after="0" w:line="170" w:lineRule="exact"/>
        <w:rPr>
          <w:rFonts w:ascii="Arial" w:cs="Arial" w:eastAsia="Arial" w:hAnsi="Arial"/>
          <w:sz w:val="18"/>
          <w:szCs w:val="18"/>
          <w:color w:val="231F20"/>
        </w:rPr>
      </w:pPr>
    </w:p>
    <w:p>
      <w:pPr>
        <w:jc w:val="both"/>
        <w:ind w:left="340" w:right="900" w:hanging="332"/>
        <w:spacing w:after="0" w:line="263" w:lineRule="auto"/>
        <w:tabs>
          <w:tab w:leader="none" w:pos="3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183" w:lineRule="exact"/>
        <w:rPr>
          <w:rFonts w:ascii="Arial" w:cs="Arial" w:eastAsia="Arial" w:hAnsi="Arial"/>
          <w:sz w:val="18"/>
          <w:szCs w:val="18"/>
          <w:color w:val="231F20"/>
        </w:rPr>
      </w:pPr>
    </w:p>
    <w:p>
      <w:pPr>
        <w:ind w:left="340" w:hanging="332"/>
        <w:spacing w:after="0"/>
        <w:tabs>
          <w:tab w:leader="none" w:pos="3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success of our collaborations with CanSino, CRUK and the Ludwig Institute and any future collaboration partners;</w:t>
      </w:r>
    </w:p>
    <w:p>
      <w:pPr>
        <w:spacing w:after="0" w:line="225" w:lineRule="exact"/>
        <w:rPr>
          <w:rFonts w:ascii="Arial" w:cs="Arial" w:eastAsia="Arial" w:hAnsi="Arial"/>
          <w:sz w:val="18"/>
          <w:szCs w:val="18"/>
          <w:color w:val="231F20"/>
        </w:rPr>
      </w:pPr>
    </w:p>
    <w:p>
      <w:pPr>
        <w:ind w:left="340" w:hanging="332"/>
        <w:spacing w:after="0"/>
        <w:tabs>
          <w:tab w:leader="none" w:pos="3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success of OUI’s licensed product candidate with AstraZeneca;</w:t>
      </w:r>
    </w:p>
    <w:p>
      <w:pPr>
        <w:spacing w:after="0" w:line="225" w:lineRule="exact"/>
        <w:rPr>
          <w:rFonts w:ascii="Arial" w:cs="Arial" w:eastAsia="Arial" w:hAnsi="Arial"/>
          <w:sz w:val="18"/>
          <w:szCs w:val="18"/>
          <w:color w:val="231F20"/>
        </w:rPr>
      </w:pPr>
    </w:p>
    <w:p>
      <w:pPr>
        <w:ind w:left="340" w:hanging="332"/>
        <w:spacing w:after="0"/>
        <w:tabs>
          <w:tab w:leader="none" w:pos="3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ability to establish and maintain collaborations, strategic licensing or other arrangements and the financial terms of such agreements;</w:t>
      </w:r>
    </w:p>
    <w:p>
      <w:pPr>
        <w:spacing w:after="0" w:line="225" w:lineRule="exact"/>
        <w:rPr>
          <w:rFonts w:ascii="Arial" w:cs="Arial" w:eastAsia="Arial" w:hAnsi="Arial"/>
          <w:sz w:val="18"/>
          <w:szCs w:val="18"/>
          <w:color w:val="231F20"/>
        </w:rPr>
      </w:pPr>
    </w:p>
    <w:p>
      <w:pPr>
        <w:ind w:left="340" w:right="900" w:hanging="332"/>
        <w:spacing w:after="0" w:line="277" w:lineRule="auto"/>
        <w:tabs>
          <w:tab w:leader="none" w:pos="3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cost to the company of commercialization activities for our current and future product candidates that we may take on, whether alone or with a collaborator;</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 w:name="page30"/>
    <w:bookmarkEnd w:id="29"/>
    <w:p>
      <w:pPr>
        <w:ind w:left="340" w:right="920" w:hanging="332"/>
        <w:spacing w:after="0" w:line="277" w:lineRule="auto"/>
        <w:tabs>
          <w:tab w:leader="none" w:pos="3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costs involved in preparing, filing, prosecuting, maintaining, expanding, defending and enforcing patent and other intellectual property claims, including litigation costs and the outcome of such litigation;</w:t>
      </w:r>
    </w:p>
    <w:p>
      <w:pPr>
        <w:spacing w:after="0" w:line="170" w:lineRule="exact"/>
        <w:rPr>
          <w:rFonts w:ascii="Arial" w:cs="Arial" w:eastAsia="Arial" w:hAnsi="Arial"/>
          <w:sz w:val="18"/>
          <w:szCs w:val="18"/>
          <w:color w:val="231F20"/>
        </w:rPr>
      </w:pPr>
    </w:p>
    <w:p>
      <w:pPr>
        <w:ind w:left="340" w:hanging="332"/>
        <w:spacing w:after="0"/>
        <w:tabs>
          <w:tab w:leader="none" w:pos="3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timing, receipt and amount of sales of, or royalties or other income from, our future products, if any; and</w:t>
      </w:r>
    </w:p>
    <w:p>
      <w:pPr>
        <w:spacing w:after="0" w:line="225" w:lineRule="exact"/>
        <w:rPr>
          <w:rFonts w:ascii="Arial" w:cs="Arial" w:eastAsia="Arial" w:hAnsi="Arial"/>
          <w:sz w:val="18"/>
          <w:szCs w:val="18"/>
          <w:color w:val="231F20"/>
        </w:rPr>
      </w:pPr>
    </w:p>
    <w:p>
      <w:pPr>
        <w:ind w:left="340" w:hanging="332"/>
        <w:spacing w:after="0"/>
        <w:tabs>
          <w:tab w:leader="none" w:pos="3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emergence and success or otherwise of competing oncology and infectious disease therapies and other market developments.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231F20"/>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231F20"/>
        </w:rPr>
        <w:t>Based on our research and development plans, we expect that the net proceeds from our IPO, together with our existing cash and cash equivalents, will enable us to fund our operating expenses and capital expenditure requirements into 2024. These estimates are based on assumptions that may prove to be wrong, and we could use our available capital resources more quickly than we expect.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Emerging Growth Company Status</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231F20"/>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spacing w:after="0" w:line="12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231F20"/>
        </w:rPr>
        <w:t>We will remain an emerging growth company until the earliest of (1) the last day of the fiscal year (a) following the fifth anniversary of the date of the closing of our IPO, (b) in which we have total annual gross revenue of at least $1.07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229" w:lineRule="exact"/>
        <w:rPr>
          <w:sz w:val="20"/>
          <w:szCs w:val="20"/>
          <w:color w:val="auto"/>
        </w:rPr>
      </w:pPr>
    </w:p>
    <w:p>
      <w:pPr>
        <w:ind w:right="1220"/>
        <w:spacing w:after="0" w:line="277" w:lineRule="auto"/>
        <w:rPr>
          <w:sz w:val="20"/>
          <w:szCs w:val="20"/>
          <w:color w:val="auto"/>
        </w:rPr>
      </w:pPr>
      <w:r>
        <w:rPr>
          <w:rFonts w:ascii="Arial" w:cs="Arial" w:eastAsia="Arial" w:hAnsi="Arial"/>
          <w:sz w:val="18"/>
          <w:szCs w:val="18"/>
          <w:color w:val="231F20"/>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A description of recently issued accounting pronouncement that may potentially impact our financial position and results of operations is disclosed in Note 2 to our condensed consolidated financial statements appearing elsewhere in this Quarterly Report.</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and Currency Translation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We are subject to the risk of fluctuations in foreign currency exchange rates, specifically with respect to the euro, pound sterling and Australian dollar. Our reporting currency is the U.S. dollar, our functional currency is the pound sterling and the functional currency of our wholly owned foreign subsidiary, Vaccitech Australia Pty, is the Australian dollar. Our cash and cash equivalents as of March 31, 2021 consisted primarily of cash balances held by Vaccitech Limited in U.S. dollars.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0" w:name="page31"/>
    <w:bookmarkEnd w:id="30"/>
    <w:p>
      <w:pPr>
        <w:ind w:right="180"/>
        <w:spacing w:after="0" w:line="301" w:lineRule="auto"/>
        <w:rPr>
          <w:sz w:val="20"/>
          <w:szCs w:val="20"/>
          <w:color w:val="auto"/>
        </w:rPr>
      </w:pPr>
      <w:r>
        <w:rPr>
          <w:rFonts w:ascii="Arial" w:cs="Arial" w:eastAsia="Arial" w:hAnsi="Arial"/>
          <w:sz w:val="16"/>
          <w:szCs w:val="16"/>
          <w:color w:val="231F20"/>
        </w:rPr>
        <w:t>Assets and liabilities are translated into U.S. dollars at the exchange rate in effect on the balance sheet date. Revenue and expenses are translated at the average exchange rate in effect during the period. Translation adjustments are included in the consolidated Balance Sheet as a component of accumulated other comprehensive loss. Adjustments that arise from exchange rate changes on transactions denominated in a currency other than the local currency are included in operating expenses, net in the consolidated Statements of Operations and Comprehensive Loss as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We are not currently exposed significantly to market risk related to changes in interest rates, as we have no significant interest-bearing liabilities. We had cash and cash equivalents of $155.9 million as of March 31, 2021, which were primarily held as account balances with banks in the United Kingdom, United States and Australia. A hypothetical 10% relative change in interest rates during any of the periods presented would not have had a material impact on our financial statements</w:t>
      </w:r>
      <w:r>
        <w:rPr>
          <w:rFonts w:ascii="Arial" w:cs="Arial" w:eastAsia="Arial" w:hAnsi="Arial"/>
          <w:sz w:val="18"/>
          <w:szCs w:val="18"/>
          <w:color w:val="000000"/>
        </w:rPr>
        <w:t>.</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 13a-15(e) of the Securities Exchange Act of 1934, as amended, or the Exchange Act) as of the end of the period covered by this report. Based on that evaluation, our Chief Executive Officer and Chief Financial Officer concluded that our disclosure controls and procedures as of the end of the period covered by this report were not effective for the reasons set forth below.</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reviews and audits of our consolidated financial statements for each of the periods ended December 31, 2019 and 2020, and March 31, 2020 and 2021, our management and independent registered public accounting firm identified material weaknesses in our internal control over financial reporting. The material weaknesses related to: (i) our lack of a sufficient number of personnel with an appropriate level of knowledge and experience in the application of U.S. generally accepted accounting principles, or U.S. GAAP, commensurate with our financial reporting requirements; (ii) our IT general control environment has not been sufficiently designed to include appropriate user access rights and (iii) policies and procedures with respect to the review, supervision and monitoring of our accounting and reporting functions were either not designed and in place or not operating effectively. As a result, a number of adjustments to our consolidated financial statements for each of the years ended December 31, 2019 and 2020 were identified and made during the course of the audit process. In addition, our condensed consolidated financial statements for the three months ended March 31, 2021 include the correction of an error related to the year ended December 31, 2019.</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continuing to implement measures designed to improve our internal control over financial reporting to remediate the material weaknesses, including hiring a Chief Financial Officer with public company experience and increasing the number of our finance and accounting personnel.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Other than the changes intended to remediate the material weaknesses noted above, no change in our internal control over financial reporting (as defined in Rules 13a-15(f) and 15d-15(f) under the Exchange Act) occurred during the three months ended March 31, 2021 that has materially affected, or is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r>
        <w:rPr>
          <w:rFonts w:ascii="Arial" w:cs="Arial" w:eastAsia="Arial" w:hAnsi="Arial"/>
          <w:sz w:val="15"/>
          <w:szCs w:val="15"/>
          <w:color w:val="auto"/>
        </w:rPr>
        <w: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March 31, 2021,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w:t>
      </w:r>
      <w:r>
        <w:rPr>
          <w:rFonts w:ascii="Arial" w:cs="Arial" w:eastAsia="Arial" w:hAnsi="Arial"/>
          <w:sz w:val="18"/>
          <w:szCs w:val="18"/>
          <w:color w:val="auto"/>
        </w:rPr>
        <w:t>.</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Investing in our American Depositary Shares, or ADSs, involves a high degree of risk. You should carefully consider the following risks and uncertainties, together with all other information in this report, including our consolidated financial statements and related notes and “Management’s Discussion and Analysis of Financial Condition and Results of Operations,” as well as our other filings with the Securities and Exchange Commission.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ADSs could decline, and you could lose part or all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We are a clinical-stage biopharmaceutical company with no approved products and a limited operating history. We have incurred significant losses since inception. We expect to incur losses for at least the next several years and may never achieve or maintain profitability.</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 clinical-stage biopharmaceutical company with no approved products and a limited operating history. Investment in biopharmaceutical product development is highly speculative because it entails substantial upfront capital expenditures and significant risk that any potential product candidate will fail to demonstrate adequate efficacy or an acceptable safety profile, obtain marketing authorization and become commercially viable. We have no products approved for commercial sale and have not generated any revenue from product sales. To date, we have devoted substantially all of our resources to organizing and staffing our company, business planning, raising capital, undertaking preclinical studies and clinical trials of our product candidates, securing related intellectual property rights and conducting discovery, research and development activities for our programs. As a result, we are not profitable and have incurred losses in each period since our inception in 2016. For the three months ended March 31, 2021, we reported a net loss of $15.4 million, and $4.0 million for the three months ended March 31, 2020. As of March 31, 2021, we had an accumulated deficit of $73.0 million. We expect to continue to incur significant losses for the foreseeable future. We anticipate that our expenses will increase substantially if, and as, we:</w:t>
      </w:r>
    </w:p>
    <w:p>
      <w:pPr>
        <w:spacing w:after="0" w:line="16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marketing authorizations for product candidates that successfully complete clinical trials, if any;</w:t>
      </w:r>
    </w:p>
    <w:p>
      <w:pPr>
        <w:spacing w:after="0" w:line="225" w:lineRule="exact"/>
        <w:rPr>
          <w:rFonts w:ascii="Arial" w:cs="Arial" w:eastAsia="Arial" w:hAnsi="Arial"/>
          <w:sz w:val="18"/>
          <w:szCs w:val="18"/>
          <w:color w:val="auto"/>
        </w:rPr>
      </w:pPr>
    </w:p>
    <w:p>
      <w:pPr>
        <w:ind w:left="340" w:right="2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conduct preclinical studies and clinical trials for our current and future product candidates based on our proprietary biologic platform, including the Chimpanzee Adenovirus Oxford, or ChAdOx, and Modified vaccinia Ankara, or MVA, vectors, and our other technologies;</w:t>
      </w:r>
    </w:p>
    <w:p>
      <w:pPr>
        <w:spacing w:after="0" w:line="146" w:lineRule="exact"/>
        <w:rPr>
          <w:rFonts w:ascii="Arial" w:cs="Arial" w:eastAsia="Arial" w:hAnsi="Arial"/>
          <w:sz w:val="17"/>
          <w:szCs w:val="17"/>
          <w:color w:val="auto"/>
        </w:rPr>
      </w:pPr>
    </w:p>
    <w:p>
      <w:pPr>
        <w:ind w:left="340" w:right="78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7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our manufacturing capabilities through third parties or by ourselves and scale-up manufacturing to provide adequate supply for clinical trials and commercialization;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maintain, protect and enforce our intellectual property portfolio;</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products for which we may obtain marketing approval and intend to commercialize on our own or jointly;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the additional costs associated with operating as a public company.</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2" w:name="page33"/>
    <w:bookmarkEnd w:id="32"/>
    <w:p>
      <w:pPr>
        <w:ind w:right="200"/>
        <w:spacing w:after="0" w:line="296" w:lineRule="auto"/>
        <w:rPr>
          <w:sz w:val="20"/>
          <w:szCs w:val="20"/>
          <w:color w:val="auto"/>
        </w:rPr>
      </w:pPr>
      <w:r>
        <w:rPr>
          <w:rFonts w:ascii="Arial" w:cs="Arial" w:eastAsia="Arial" w:hAnsi="Arial"/>
          <w:sz w:val="16"/>
          <w:szCs w:val="16"/>
          <w:color w:val="auto"/>
        </w:rPr>
        <w:t>Even if we succeed in commercializing one or more of our product candidates, we will continue to incur substantial research and development costs and other expenditures to develop and market additional product candidates and we may never generate revenue that is significant or large enough to achieve profitability. We may also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shareholders’ equity and working capital.</w:t>
      </w:r>
    </w:p>
    <w:p>
      <w:pPr>
        <w:spacing w:after="0" w:line="16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If we do achieve profitability, we may not be able to sustain or increase profitability on a quarterly or annual basis. Accordingly,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4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Actual payments we may receive in connection with certain milestones or net sales under the AstraZeneca License Agreement may differ materially from those described in this quarterly report, and there can be no assurance that we will receive any such payments at all.</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expect to receive a share of certain milestones and net sales of certain vaccines under the research collaboration and exclusive worldwide license agreement, or the AstraZeneca License Agreement, between Oxford University Innovation Limited, or OUI, and AstraZeneca UK Limited, or AstraZeneca, there can be no assurance as to the timing or amount of any such milestones or net sales.</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particular, we are not party to the AstraZeneca License Agreement, and we do not have any direct claim against AstraZeneca to receive a share of any milestones or net sales, or any other payments under the AstraZeneca License Agreement. Instead, we are party to the amendment, assignment and revenue share agreement, or the OUI License Agreement Amendment, with OUI, to the license agreement we entered into with OUI in March 2016, pursuant to which OUI agreed to pay us approximately 24% of payments, including royalties and milestones, received by OUI in connection with the commercialization of any ChAdOx1 vector-based or ChAdOx2 vector-based vaccine in the field of SARS-CoV2 covered by or disclosed in the assigned patent application. As a result, we will only receive a share of any milestones or royalties paid on net sales of any such vaccine under the AstraZeneca License Agreement if, and to the extent that, OUI receives a share of any such milestones or royalties pursuant to that agreement.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Moreover, our understanding is that, under the AstraZeneca License Agreement, OUI agreed to forego its share of any royalties from the commercialization of AZD1222 until after the pandemic period, which will end on July 1, 2021 (or such later date when AstraZeneca, in good faith, determines that the COVID-19 pandemic is over). As a result, we do not expect to receive any share of net sales of the vaccine until after the pandemic is over, as determined in good faith by AstraZeneca, and in any event no earlier than July 1, 2021.</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the announcement of adverse events observed in individuals who receive AZD1222 and any negative impact on the perceptions of AZD1222’s safety may reduce sales of the vaccine and therefore the potential payments that we would receive from royalties paid on net sales of AZD1222. For example, in March 2021, several countries announced that they were either temporarily suspending the use of a particular batch of AZD1222 or the use of AZD1222 altogether following reports of thromboembolic events in people at varying times following vaccination. There can be no assurance that the vaccine is not associated with an increase in the overall risk of thromboembolic events. Further, if AZD1222 is found to be less effective against certain variants of COVID-19, then that may also reduce sales of the vaccine. For example, studies have indicated that AZD1222 has a lower efficacy against certain variants of COVID-19, including the B.1.351 variant of COVID-19, which was first observed predominantly in South Africa, and the B117 variant, which was first observed in the United Kingdom. As a result, the use of AZD1222 was stopped in South Africa. Any association of AZD1222 with adverse events, or the perception of such association, or any findings that AZD1222 is less effective against certain variants of COVID-19, may reduce sales of AZD1222 and therefore the potential payments that we may receive from net sales of the vaccine, and may otherwise adversely impact the development of, and our ability to commercialize, any of our product candidates.</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 w:name="page34"/>
    <w:bookmarkEnd w:id="33"/>
    <w:p>
      <w:pPr>
        <w:spacing w:after="0" w:line="270" w:lineRule="auto"/>
        <w:rPr>
          <w:sz w:val="20"/>
          <w:szCs w:val="20"/>
          <w:color w:val="auto"/>
        </w:rPr>
      </w:pPr>
      <w:r>
        <w:rPr>
          <w:rFonts w:ascii="Arial" w:cs="Arial" w:eastAsia="Arial" w:hAnsi="Arial"/>
          <w:sz w:val="17"/>
          <w:szCs w:val="17"/>
          <w:color w:val="auto"/>
        </w:rPr>
        <w:t>Our understanding of the terms of the AstraZeneca License Agreement is based solely on an extract of the agreement provided by the parties to that agreement. We are not a party to the AstraZeneca License Agreement and do not have access to a copy of that agreement to verify such extract. In addition, no party to the AstraZeneca License Agreement has confirmed that there are no material terms in that agreement that could adversely impact the economic and other terms of the AstraZeneca License Agreement. Moreover, there can be no assurance that the AstraZeneca License Agreement is an enforceable agreement, that the parties thereto will comply with their obligations under the agreement (including any obligations of AstraZeneca to make milestone or royalty payments to OUI), that the agreement will not be terminated pursuant to its terms or otherwise, or that the terms of the agreement (including royalty rates and other economic terms) will not be modified by the parties in the future. Accordingly, these and other factors could cause amounts received by OUI pursuant to the AstraZeneca License Agreement, and accordingly any share of the revenue under that agreement that we may receive, to fluctuate. Any such fluctuations could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generated any material revenue from our product candidates.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ability to become profitable depends upon our ability to generate revenue. We do not expect to generate significant revenue from our current or future product candidates unless or until we successfully complete clinical development and obtain marketing authorization for, and then successfully commercialize, at least one of our product candidates.</w:t>
      </w:r>
    </w:p>
    <w:p>
      <w:pPr>
        <w:spacing w:after="0" w:line="18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Certain of our product candidates are in the preclinical stages of development and will require additional preclinical studies, and all of our product candidates will require additional clinical development, regulatory review and approval, substantial investment, access to sufficient commercial manufacturing capacity and significant marketing efforts before we can generate any revenue from product sales. We have not yet administered certain of our product candidates to humans and, as such, we face significant translational risk as our product candidates advance into and through the clinical stage, as promising results in preclinical studies may not be replicated in subsequent clinical trials, and testing on animals may not accurately predict human experience. Our ability to generate revenue depends on a number of factors, including, but not limited to:</w:t>
      </w:r>
    </w:p>
    <w:p>
      <w:pPr>
        <w:spacing w:after="0" w:line="178" w:lineRule="exact"/>
        <w:rPr>
          <w:sz w:val="20"/>
          <w:szCs w:val="20"/>
          <w:color w:val="auto"/>
        </w:rPr>
      </w:pPr>
    </w:p>
    <w:p>
      <w:pPr>
        <w:ind w:left="340" w:right="28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completion of our preclinical studies and clinical trials, which may be significantly slower or cost more than we currently anticipate and will depend substantially upon the performance of third-party contractors;</w:t>
      </w:r>
    </w:p>
    <w:p>
      <w:pPr>
        <w:spacing w:after="0" w:line="17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out of our control, such as those currently experienced with the unforeseen pandemic effect on clinical trial progress and participant willingness to enroll;</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complete investigational new drug application, or IND, enabling trials and successfully submit INDs or comparable applications, for our product candidates, including VTP-600 and VTP-850;</w:t>
      </w:r>
    </w:p>
    <w:p>
      <w:pPr>
        <w:spacing w:after="0" w:line="170" w:lineRule="exact"/>
        <w:rPr>
          <w:rFonts w:ascii="Arial" w:cs="Arial" w:eastAsia="Arial" w:hAnsi="Arial"/>
          <w:sz w:val="18"/>
          <w:szCs w:val="18"/>
          <w:color w:val="auto"/>
        </w:rPr>
      </w:pPr>
    </w:p>
    <w:p>
      <w:pPr>
        <w:ind w:left="340" w:righ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are required by the U.S. Food and Drug Administration, or the FDA, the European Medicines Agency, or the EMA, or the United Kingdom Medicines and Healthcare products Regulatory Agency, or the MHRA, or similar foreign regulatory authorities, to conduct additional clinical trials or other studies beyond those planned to support the approval and commercialization of our product candidates or any future product candidates;</w:t>
      </w:r>
    </w:p>
    <w:p>
      <w:pPr>
        <w:spacing w:after="0" w:line="186" w:lineRule="exact"/>
        <w:rPr>
          <w:rFonts w:ascii="Arial" w:cs="Arial" w:eastAsia="Arial" w:hAnsi="Arial"/>
          <w:sz w:val="18"/>
          <w:szCs w:val="18"/>
          <w:color w:val="auto"/>
        </w:rPr>
      </w:pPr>
    </w:p>
    <w:p>
      <w:pPr>
        <w:ind w:left="340" w:right="20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and similar foreign regulatory authorities the safety, potency, purity, efficacy and acceptable risk to benefit profile of our product candidates or any future product candidates and such regulatory authorities’ acceptance of our development strategy;</w:t>
      </w:r>
    </w:p>
    <w:p>
      <w:pPr>
        <w:spacing w:after="0" w:line="183" w:lineRule="exact"/>
        <w:rPr>
          <w:rFonts w:ascii="Arial" w:cs="Arial" w:eastAsia="Arial" w:hAnsi="Arial"/>
          <w:sz w:val="18"/>
          <w:szCs w:val="18"/>
          <w:color w:val="auto"/>
        </w:rPr>
      </w:pPr>
    </w:p>
    <w:p>
      <w:pPr>
        <w:ind w:left="340" w:right="7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similar foreign regulatory authorities;</w:t>
      </w:r>
    </w:p>
    <w:p>
      <w:pPr>
        <w:spacing w:after="0" w:line="225" w:lineRule="exact"/>
        <w:rPr>
          <w:rFonts w:ascii="Arial" w:cs="Arial" w:eastAsia="Arial" w:hAnsi="Arial"/>
          <w:sz w:val="18"/>
          <w:szCs w:val="18"/>
          <w:color w:val="auto"/>
        </w:rPr>
      </w:pPr>
    </w:p>
    <w:p>
      <w:pPr>
        <w:ind w:left="340" w:right="480" w:hanging="332"/>
        <w:spacing w:after="0" w:line="31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willingness of physicians, operators of clinics and patients to utilize or adopt any of our product candidates or future product candidates over alternative or more conventional approaches, including antivirals, immune modulators, siRNA, CRISPR editing, capsid inhibitors, novel entry inhibitors, or other small molecules, RNA, DNA, nanoparticle, VLP, peptide, protein, whole-killed or other vaccine technologies;</w:t>
      </w:r>
    </w:p>
    <w:p>
      <w:pPr>
        <w:spacing w:after="0" w:line="148" w:lineRule="exact"/>
        <w:rPr>
          <w:rFonts w:ascii="Arial" w:cs="Arial" w:eastAsia="Arial" w:hAnsi="Arial"/>
          <w:sz w:val="16"/>
          <w:szCs w:val="16"/>
          <w:color w:val="auto"/>
        </w:rPr>
      </w:pPr>
    </w:p>
    <w:p>
      <w:pPr>
        <w:ind w:left="340" w:right="42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actual and perceived availability, cost, risk profile and side effects and efficacy of our product candidates, if approved, relative to existing and future alternative immunotherapies, therapeutic and prophylactic vaccines and competitive product candidates and technologies;</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4" w:name="page35"/>
    <w:bookmarkEnd w:id="34"/>
    <w:p>
      <w:pPr>
        <w:ind w:left="340" w:right="1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183" w:lineRule="exact"/>
        <w:rPr>
          <w:rFonts w:ascii="Arial" w:cs="Arial" w:eastAsia="Arial" w:hAnsi="Arial"/>
          <w:sz w:val="18"/>
          <w:szCs w:val="18"/>
          <w:color w:val="auto"/>
        </w:rPr>
      </w:pPr>
    </w:p>
    <w:p>
      <w:pPr>
        <w:jc w:val="both"/>
        <w:ind w:left="340" w:right="10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demand for our product candidates and any future product candidates, if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establish, maintain, protect and enforce intellectual property rights in and to our product candidates or any future product candidates;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licensees and collaborators to develop and commercialize our products effectively;</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some or all of the patients that receive AZD1222 develop neutralizing antibodies against ChAdOx, which could limit the immunogenicity from subsequent dosing with one of our product candidates;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possibility that immunogenicity may not translate into clinical benefit; and</w:t>
      </w:r>
    </w:p>
    <w:p>
      <w:pPr>
        <w:spacing w:after="0" w:line="225" w:lineRule="exact"/>
        <w:rPr>
          <w:rFonts w:ascii="Arial" w:cs="Arial" w:eastAsia="Arial" w:hAnsi="Arial"/>
          <w:sz w:val="18"/>
          <w:szCs w:val="18"/>
          <w:color w:val="auto"/>
        </w:rPr>
      </w:pPr>
    </w:p>
    <w:p>
      <w:pPr>
        <w:ind w:left="340" w:right="15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increased costs and complexities associated with manufacturing both the prime and boost elements, ChAdOx and MVA, of our immunotherapeutics.</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Many of the factors listed above are beyond our control and could cause us to experience significant delays or prevent us from obtaining marketing authorizations for,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funding in the future. If we are unable to raise capital when needed, we would be compelled to delay, reduce or eliminate our product development programs or commercialization efforts.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Since our inception, we have invested a significant portion of our efforts and financial resources in research and development activities for our platform and our product candidates developed using our platform. Preclinical studies, clinical trials and additional research and development activities will require substantial funds to complete. We expect our expenses to increase in parallel with our ongoing activities, particularly as we continue our preclinical and clinical development activities to identify new product candidates and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expect to incur significant additional costs associated with operating as a public company. Accordingly, we will need to obtain substantial additional funding in connection with our continuing operations. However, we have estimated our current additional funding needs based on assumptions that may prove to be wrong. Additionally, changing circumstances may cause us to consume capital significantly faster than we currently anticipate, and we may need to spend more money than currently expected because of circumstances beyond our control. We cannot be certain that additional funding will be available on acceptable terms, or at all. Until such time, if ever, as we can generate substantial product revenue, we expect to finance our operations through a combination of public or private equity offerings, debt financings, governmental funding, collaborations, strategic partnerships and alliances or marketing, distribution or licensing arrangements with third parties. If we are unable to raise capital or generate revenue when needed or on attractive terms, we would be forced to delay, reduce or eliminate our discovery and preclinical development programs or any future commercialization efforts.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We had cash and cash equivalents of $155.9 million as of March 31, 2021. Our future capital requirements will depend on many factors, including:</w:t>
      </w:r>
    </w:p>
    <w:p>
      <w:pPr>
        <w:spacing w:after="0" w:line="23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and clinical trials for our product candidates;</w:t>
      </w:r>
    </w:p>
    <w:p>
      <w:pPr>
        <w:spacing w:after="0" w:line="225"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we enter into additional collaboration arrangements with regard to product candidate development or acquire or in-license products or technologies;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success of the COVID-19 vaccine program for which we licensed certain of our licensed intellectual property rights to OUI/AstraZeneca;</w:t>
      </w:r>
    </w:p>
    <w:p>
      <w:pPr>
        <w:spacing w:after="0" w:line="236" w:lineRule="exact"/>
        <w:rPr>
          <w:rFonts w:ascii="Arial" w:cs="Arial" w:eastAsia="Arial" w:hAnsi="Arial"/>
          <w:sz w:val="17"/>
          <w:szCs w:val="17"/>
          <w:color w:val="auto"/>
        </w:rPr>
      </w:pPr>
    </w:p>
    <w:p>
      <w:pPr>
        <w:ind w:left="340" w:right="16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including product sales, marketing, manufacturing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should any of our product candidates receive marketing approval; and</w:t>
      </w:r>
    </w:p>
    <w:p>
      <w:pPr>
        <w:spacing w:after="0" w:line="248" w:lineRule="exact"/>
        <w:rPr>
          <w:rFonts w:ascii="Arial" w:cs="Arial" w:eastAsia="Arial" w:hAnsi="Arial"/>
          <w:sz w:val="16"/>
          <w:szCs w:val="16"/>
          <w:color w:val="auto"/>
        </w:rPr>
      </w:pPr>
    </w:p>
    <w:p>
      <w:pPr>
        <w:ind w:left="340" w:right="16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obtaining, maintaining, enforcing and protecting our intellectual property rights and defending intellectual property-related claims including litigation costs and any damages awarded in such litigation.</w:t>
      </w:r>
    </w:p>
    <w:p>
      <w:pPr>
        <w:spacing w:after="0" w:line="1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Identifying potential product candidates, manufacturing them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engage in acquisitions or future strategic partnerships, this may increase our capital requirements, dilute our shareholders, cause us to incur debt or assume contingent liabilities, and subject us to other risks.</w:t>
      </w:r>
    </w:p>
    <w:p>
      <w:pPr>
        <w:spacing w:after="0" w:line="17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We may evaluate various acquisitions and strategic partnerships in the future, including licensing or acquiring complementary product candidates, intellectual property rights, technologies or businesses. Any acquisition or strategic partnership may entail numerous risks, including:</w:t>
      </w:r>
    </w:p>
    <w:p>
      <w:pPr>
        <w:spacing w:after="0" w:line="12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shareholders;</w:t>
      </w:r>
    </w:p>
    <w:p>
      <w:pPr>
        <w:spacing w:after="0" w:line="225"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product programs and initiatives in pursuing such an acquisition or strategic partnership;</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to achieve marketing authorizations; and</w:t>
      </w:r>
    </w:p>
    <w:p>
      <w:pPr>
        <w:spacing w:after="0" w:line="170"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if we undertake such a transaction, we may assume or incur debt obligations, incur large one-time expenses and acquire intangible assets that could result in significant future amortization expense.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a clinical-stage biopharmaceutical company with no approved products and a limited operating history. Our operations to date have been limited to organizing and staffing our company, business planning, raising capital, filing patent applications, identifying potential product candidates, undertaking preclinical studies, in-licensing product candidates for development, and establishing arrangements with third parties for the manufacture of initial quantities of our product candidates and component materials, as well as sponsoring and conducting clinical trials up to Phase 2b. We have not yet demonstrated our ability to successfully complete clinical trials beyond Phase 2b,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transition at some point from a company with a research and development focus to a company capable of supporting additional commercial activities. We may not be successful in such a transition.</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technologies or product candidates.</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 the extent that we raise additional capital through the sale of ordinary shares, convertible securities or other equity securities, your ownership interest may be diluted, and the terms of these securities could include liquidation or other preferences and anti-dilution protections that could adversely affect your rights as a common shareholder.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Clinical Development</w:t>
      </w:r>
    </w:p>
    <w:p>
      <w:pPr>
        <w:spacing w:after="0" w:line="229"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spacing w:after="0" w:line="10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All of our product candidates are in early stages of development, including our lead product candidates, VTP-300, VTP-200, VTP-850 and VTP-600, and as such will require extensive preclinical and clinical testing, as applicable. Product candidates may not meet targeted clinical or safety endpoints during clinical trials such as the MVA-based influenza prophylactic, VTP-100, which did not meet defined primary clinical endpoints in two concurrent Phase 2b trials and we subsequently discontinued further development of this program. Our ability to generate product revenues, which we do not expect to occur for several years, if ever, will depend heavily on the successful development and eventual commercialization or out-license of the product candidates we develop, which may never occur. Before we are able to generate any revenues from product sales,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The success of our current and future product candidates will depend on several factors, including the following:</w:t>
      </w:r>
    </w:p>
    <w:p>
      <w:pPr>
        <w:spacing w:after="0" w:line="16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completion, with sufficient efficacy and safety profiles, of preclinical studies and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INDs or equivalent clinical trial authorizations in other regions for our planned clinical trials or future clinical trials;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enrollment and completion of our ongoing and future clinical trials, including any delays in enrollment or completed due to the COVID-19 pandemic;</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sufficient data from our clinical program that support an acceptable risk-benefit profile of our product candidates in the intended populations;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and maintenance of marketing authorizations from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scale-up of our manufacturing processes and formulation of our product candidates for later stages of development and commercialization;</w:t>
      </w:r>
    </w:p>
    <w:p>
      <w:pPr>
        <w:spacing w:after="0" w:line="236"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our own manufacturing capabilities or agreements with third-party manufacturers for clinical supply for our clinical trials and commercial manufacturing, if our product candidate is approved;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develop product candidate formulations that provide sufficient genetic and thermal stability for long term storage and shipment to meet market requirements;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entry into collaborations, where needed, to further the development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and when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acceptance of the product candidate’s benefits and uses, if and when approved, by patients, the medical community and third-party payors;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 continued acceptable benefit/risk profile of the product candidates following authorization;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new therapies that may be developed and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qualifying for, maintaining, enforcing and defending intellectual property rights and claims; and</w:t>
      </w:r>
    </w:p>
    <w:p>
      <w:pPr>
        <w:spacing w:after="0" w:line="225" w:lineRule="exact"/>
        <w:rPr>
          <w:rFonts w:ascii="Arial" w:cs="Arial" w:eastAsia="Arial" w:hAnsi="Arial"/>
          <w:sz w:val="18"/>
          <w:szCs w:val="18"/>
          <w:color w:val="auto"/>
        </w:rPr>
      </w:pPr>
    </w:p>
    <w:p>
      <w:pPr>
        <w:ind w:left="340" w:right="40" w:hanging="332"/>
        <w:spacing w:after="0" w:line="25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we intend to conduct our HBV002 clinical trial in South Korea and have experienced delays due to additional regulatory review of our clinical protocol. We have limited experience obtaining such approvals in foreign jurisdictions and therefore may need more time to navigate the regulatory process as a result.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right="40"/>
        <w:spacing w:after="0" w:line="273" w:lineRule="auto"/>
        <w:rPr>
          <w:sz w:val="20"/>
          <w:szCs w:val="20"/>
          <w:color w:val="auto"/>
        </w:rPr>
      </w:pPr>
      <w:r>
        <w:rPr>
          <w:rFonts w:ascii="Arial" w:cs="Arial" w:eastAsia="Arial" w:hAnsi="Arial"/>
          <w:sz w:val="17"/>
          <w:szCs w:val="17"/>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We have no control over third-party use of ChAdOx and MVA technologies outside of our exclusively licensed field under license from OUI, and such third-party use could have a negative impact on our ability to develop current and future product candidates, which would materially harm our business.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marketing authorization of any of our product candidates, we may incur additional costs or experience delays in completing, or ultimately be unable to complete, the development of such product candidate.</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may experience delays in obtaining the FDA’s authorization to initiate clinical trials under future INDs, completing ongoing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participants on time, or be completed on schedule, if at all. We may experience numerous adverse or unforeseen events during, or as a result of, preclinical studies and clinical trials that could delay or prevent our ability to receive marketing authorization or commercialize our product candidates, including:</w:t>
      </w:r>
    </w:p>
    <w:p>
      <w:pPr>
        <w:spacing w:after="0" w:line="17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of our clinical trials;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treatments may become standard of care during the process of completing a clinical trial, which may impact the initial clinical trial design or future patient care pathways;</w:t>
      </w:r>
    </w:p>
    <w:p>
      <w:pPr>
        <w:spacing w:after="0" w:line="170"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changes in relevant regulatory requirements may cause a delay in the start of a clinical trial, due to additional requirements needing to be met;</w:t>
      </w:r>
    </w:p>
    <w:p>
      <w:pPr>
        <w:spacing w:after="0" w:line="170"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our research efforts for our other product candidates;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clinical trials of our product candidates may not produce differentiated or clinically significant results across infectious diseases and cancers;</w:t>
      </w:r>
    </w:p>
    <w:p>
      <w:pPr>
        <w:spacing w:after="0" w:line="236"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participants required for clinical trials of our product candidates may be larger than we anticipate, enrollment in these clinical trials may be slower than we anticipate or participants may drop out of our clinical trials at a higher rate than we anticipate;</w:t>
      </w:r>
    </w:p>
    <w:p>
      <w:pPr>
        <w:spacing w:after="0" w:line="170" w:lineRule="exact"/>
        <w:rPr>
          <w:rFonts w:ascii="Arial" w:cs="Arial" w:eastAsia="Arial" w:hAnsi="Arial"/>
          <w:sz w:val="18"/>
          <w:szCs w:val="18"/>
          <w:color w:val="auto"/>
        </w:rPr>
      </w:pPr>
    </w:p>
    <w:p>
      <w:pPr>
        <w:jc w:val="both"/>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fail to maintain adequate quality controls or be unable to provide us with sufficient or timely product supply to conduct and complete preclinical studies or clinical trials of our product candidates in a timely manner, or at all;</w:t>
      </w:r>
    </w:p>
    <w:p>
      <w:pPr>
        <w:spacing w:after="0" w:line="123" w:lineRule="exact"/>
        <w:rPr>
          <w:rFonts w:ascii="Arial" w:cs="Arial" w:eastAsia="Arial" w:hAnsi="Arial"/>
          <w:sz w:val="16"/>
          <w:szCs w:val="16"/>
          <w:color w:val="auto"/>
        </w:rPr>
      </w:pPr>
    </w:p>
    <w:p>
      <w:pPr>
        <w:ind w:left="340" w:right="6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183"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for example, if we experience delays or challenges in identifying participants with the eligibility criteria required for our clinical trials, we may have to reimburse sites for the cost of testing of additional participants in order to encourage enrollment of additional participants;</w:t>
      </w:r>
    </w:p>
    <w:p>
      <w:pPr>
        <w:spacing w:after="0" w:line="183" w:lineRule="exact"/>
        <w:rPr>
          <w:rFonts w:ascii="Arial" w:cs="Arial" w:eastAsia="Arial" w:hAnsi="Arial"/>
          <w:sz w:val="18"/>
          <w:szCs w:val="18"/>
          <w:color w:val="auto"/>
        </w:rPr>
      </w:pPr>
    </w:p>
    <w:p>
      <w:pPr>
        <w:ind w:left="340" w:right="44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quality of our product candidates or other materials necessary to conduct preclinical studies or clinical trials of our product candidates may be insufficient or inadequate, and any transfer of manufacturing activities may require unforeseen manufacturing or formulation changes;</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collaborators may conduct clinical trials in ways they view as advantageous to them but that are suboptimal for us.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the ChAdOx vectors are currently being evaluated in clinical trials outside of our licensed fields conducted by the University of Oxford and other third parties to which OUI has granted licenses, including trials conducted by AstraZeneca for AZD1222. We have no control over these other clinical trials and any adverse results in these clinical trials could impact public perception and regulatory approval of our product candidates. Even after any of our product candidates obtain regulatory marketing authorization, the announcement of adverse events observed in individuals who receive these products may impact public perception and may result in increased regulatory scrutiny across our platform. For example, in March 2021, several countries announced plans to either temporarily suspend the use of a particular batch of AZD1222 or the use of AZD1222 altogether following reports of thromboembolic events in people following vaccination. While the European Medicines Agency, or the EMA, subsequently issued an update confirming the overall risk-benefit profile of AZD1222 remains positive, the applicable regulatory authorities continue to assess available safety data as AZD1222 continues to be administered and have made recommendations regarding updates to the vaccine's labeling and use in certain populations. These recommendations may continue to evolve, and these types of announcements may affect public perception of the safety of AZD1222, which may extend to product candidates we are developing. Perception about the efficacy of AZD1222, such as its effectiveness against emerging COVID-19 variants, may also impact perception of our product candidates. Additionally, these announcements may lead to additional inquiries or scrutiny from regulators on whether similar safety or efficacy signals have been observed with our other candidates.</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could also encounter delays if a clinical trial is suspended or terminated by us, by the Institutional Review Boards, or IRBs, or ethics committees of the institutions in which such clinical trials are being conducted, or by the FDA or other regulatory authorities, or suspended or terminated based on recommendations by the Data Safety Monitoring Board or equivalent for such clinical trial.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 In addition, any disclosure of negative data of clinical trials being conducted by our collaborators could have an adverse impact on our business.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right="20"/>
        <w:spacing w:after="0" w:line="290" w:lineRule="auto"/>
        <w:rPr>
          <w:sz w:val="20"/>
          <w:szCs w:val="20"/>
          <w:color w:val="auto"/>
        </w:rPr>
      </w:pPr>
      <w:r>
        <w:rPr>
          <w:rFonts w:ascii="Arial" w:cs="Arial" w:eastAsia="Arial" w:hAnsi="Arial"/>
          <w:sz w:val="16"/>
          <w:szCs w:val="16"/>
          <w:color w:val="auto"/>
        </w:rPr>
        <w:t>If we experience delays in the completion of any preclinical study or clinical trial of our product candidates, or our preclinical studies or clinical trials are terminated, the commercial prospects of our product candidates may be harmed, and our ability to generate revenues from any of these product candidates will be delayed or not realized at all. In addition, any delays in completing our preclinical studies or clinical trials may increase our costs, slow down our product candidate development and authorization procedure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marketing authorization for our product candidates. If one or more of our product candidates generally prove to be ineffective, unsafe or commercially unviable, our entire pipeline may have little, if any, value, which would have a material and adverse effect on our business, financial condition, results of operations and prospects.</w:t>
      </w:r>
    </w:p>
    <w:p>
      <w:pPr>
        <w:spacing w:after="0" w:line="16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more complete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clinical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ADSs.</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the ChAdOx vectors are currently being evaluated in clinical trials conducted by Oxford and other third parties to which the University of Oxford has granted licenses, including trials conducted by AstraZeneca for AZD1222. We have no control over these other clinical trials and any adverse results in these clinical trials could impact public perception and regulatory approval of our product candidates. The information these third parties choose to publicly disclose regarding a particular study or clinical trial is based on what is typically extensive information, and shareholders may not agree with what these third parties determine is material or otherwise appropriate information to include in their disclosure.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shareholders may not agree with what we determine is material or otherwise appropriate information to include in our disclosure.</w:t>
      </w:r>
    </w:p>
    <w:p>
      <w:pPr>
        <w:spacing w:after="0" w:line="18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 candidates are based on a novel approach to the treatment of cancer, which makes it difficult to predict the time and cost of product candidate development.</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have concentrated our research and development efforts on our proprietary platform to develop product candidates that stimulate powerful, targeted immune responses against pathogens and tumor cells, which is a novel approach. Our future success depends on the successful development of this platform. There can be no assurance that any development problems we experience in the future will not cause significant delays or unanticipated costs, or that such development problems can be solved. Should we encounter development problems, including unfavorable preclinical or clinical trial results, the FDA or foreign regulatory authorities may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 sustainable, reproducible and scalable manufacturing process, or developing other testing and manufacturing methods, which may prevent us from completing our clinical trials or commercializing our product candidates on a timely or profitable basis, if at all.</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The FDA and comparable foreign regulatory authorities have limited experience with the approval of novel immunotherapies. Any novel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1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Difficulty in enrolling participants could delay or prevent clinical trials of our product candidates and prevent us from realizing the full commercial potential of any products we may develop.</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Identifying and qualifying participants to participate in clinical trials of our product candidates is critical to our success. The timing of completion of our clinical trials depends in part on the speed at which we can recruit participants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participants to participate in these trials as required by the FDA, the EMA or other foreign regulatory authorities. For example, randomized clinical controlled trials for Middle East respiratory syndrome, or MERS, are difficult due to the sporadic and low incidence of cases. Our ability to enroll participants may be significantly delayed by the evolving COVID-19 pandemic and we do not know the extent and scope of such delays at this point. The initiation of our Phase 1/2a clinical trial for VTP-200 and our Phase 1 clinical trial for VTP-500, which are being conducted at the University of Oxford sites, was delayed and paused, respectively due to COVID-19. We cannot anticipate the next pandemic or how that may or may not impact future clinical trial enrollment. In addition, some of our competitors have ongoing clinical trials for product candidates that treat the same indications as our product candidates, and participants who would otherwise be eligible for our clinical trials may instead enroll in clinical trials of our competitors’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enrollment of patients and participants further depends on many factors, including:</w:t>
      </w:r>
    </w:p>
    <w:p>
      <w:pPr>
        <w:spacing w:after="0" w:line="225" w:lineRule="exact"/>
        <w:rPr>
          <w:sz w:val="20"/>
          <w:szCs w:val="20"/>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phase of clinical testing;</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of participants to clinical trial sites;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increased inconvenience to patients by participating in a clinical trial, such as increased doctor visits, missed work, travel costs and time;</w:t>
      </w:r>
    </w:p>
    <w:p>
      <w:pPr>
        <w:spacing w:after="0" w:line="236" w:lineRule="exact"/>
        <w:rPr>
          <w:rFonts w:ascii="Arial" w:cs="Arial" w:eastAsia="Arial" w:hAnsi="Arial"/>
          <w:sz w:val="17"/>
          <w:szCs w:val="17"/>
          <w:color w:val="auto"/>
        </w:rPr>
      </w:pPr>
    </w:p>
    <w:p>
      <w:pPr>
        <w:ind w:left="380" w:hanging="318"/>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design of the clinical trial, including the number of site visits, whether the clinical trial includes a placebo arm and invasive assessments required;</w:t>
      </w:r>
    </w:p>
    <w:p>
      <w:pPr>
        <w:spacing w:after="0" w:line="248" w:lineRule="exact"/>
        <w:rPr>
          <w:rFonts w:ascii="Arial" w:cs="Arial" w:eastAsia="Arial" w:hAnsi="Arial"/>
          <w:sz w:val="16"/>
          <w:szCs w:val="16"/>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and maintain participant consents;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2" w:name="page43"/>
    <w:bookmarkEnd w:id="42"/>
    <w:p>
      <w:pPr>
        <w:ind w:left="380" w:right="40" w:hanging="318"/>
        <w:spacing w:after="0" w:line="277"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that some or all of the patients that receive AZD1222 develop neutralizing antibodies against ChAdOx, which could limit the immunogenicity from subsequent dosing with one of our product candidates;</w:t>
      </w:r>
    </w:p>
    <w:p>
      <w:pPr>
        <w:spacing w:after="0" w:line="170" w:lineRule="exact"/>
        <w:rPr>
          <w:rFonts w:ascii="Arial" w:cs="Arial" w:eastAsia="Arial" w:hAnsi="Arial"/>
          <w:sz w:val="18"/>
          <w:szCs w:val="18"/>
          <w:color w:val="auto"/>
        </w:rPr>
      </w:pPr>
    </w:p>
    <w:p>
      <w:pPr>
        <w:ind w:left="380" w:hanging="318"/>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that participants enrolled in clinical trials will drop out of the clinical trials before clinical trial completion; and</w:t>
      </w:r>
    </w:p>
    <w:p>
      <w:pPr>
        <w:spacing w:after="0" w:line="225" w:lineRule="exact"/>
        <w:rPr>
          <w:rFonts w:ascii="Arial" w:cs="Arial" w:eastAsia="Arial" w:hAnsi="Arial"/>
          <w:sz w:val="18"/>
          <w:szCs w:val="18"/>
          <w:color w:val="auto"/>
        </w:rPr>
      </w:pPr>
    </w:p>
    <w:p>
      <w:pPr>
        <w:ind w:left="380" w:right="80" w:hanging="318"/>
        <w:spacing w:after="0" w:line="277"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factors we may not be able to control, such as current or potential pandemics that may limit participants, principal investigators or staff or clinical site availability (e.g</w:t>
      </w:r>
      <w:r>
        <w:rPr>
          <w:rFonts w:ascii="Arial" w:cs="Arial" w:eastAsia="Arial" w:hAnsi="Arial"/>
          <w:sz w:val="18"/>
          <w:szCs w:val="18"/>
          <w:i w:val="1"/>
          <w:iCs w:val="1"/>
          <w:color w:val="auto"/>
        </w:rPr>
        <w:t>.</w:t>
      </w:r>
      <w:r>
        <w:rPr>
          <w:rFonts w:ascii="Arial" w:cs="Arial" w:eastAsia="Arial" w:hAnsi="Arial"/>
          <w:sz w:val="18"/>
          <w:szCs w:val="18"/>
          <w:color w:val="auto"/>
        </w:rPr>
        <w:t>, the COVID-19 pandemic).</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Since the number of qualified clinical investigators is limited, we expect to conduct some of our clinical trials at the same clinical trial sites that some of our competitors use, which will reduce the number of participants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participants and their doctors may be inclined to use conventional therapies, such as chemotherapy, rather than enroll participants in any future clinical trial.</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If we experience delays in the completion or termination of any clinical trial of our product candidates, the commercial prospects of our product candidates will be harmed, and our ability to generate product revenue from any of these product candidates could be delayed or prevented.</w:t>
      </w:r>
    </w:p>
    <w:p>
      <w:pPr>
        <w:spacing w:after="0" w:line="146"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 consequences.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Serious side effects caused by our product candidates could cause us or regulatory authorities, including IRBs and ethics committees, to interrupt, delay or halt clinical trials and could result in a more restrictive label or the delay or denial of marketing authorization by the FDA, the EMA or other comparable foreign regulatory authorities. Further, clinical trials by their nature utilize a sample of the potential patient population. Because of our dose escalation design for our clinical trials, undesirable side effects in initial cohorts could also result in the need to expand the size of our clinical trials, increasing the expected costs and timeline of our clinical trials. Additionally, because certain of our product candidates, including AZD1222, will be administered to substantial numbers of participants on a more rapid basis than is standard in clinical trials, undesirable side effects could result in a negative impact across a larger participant population. Results of our trials could reveal a high and unacceptable severity and prevalence of side effects or unexpected characteristics. If we do observe serious side effects in our clinical trials, our ongoing clinical trials may be halted or put on clinical hold prior to completion if there is an unacceptable safety risk for participants.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unacceptable toxicities arise in the development of our product candidates, we could suspend or terminate our trials or the FDA, the EMA or other comparable foreign regulatory authorities, or local regulatory authorities such as IRBs or ethics committees, could order us to cease clinical trials. Competent national health authorities, such as the FDA, could also deny approval of our product candidates for any or all targeted indications. Even if the side effects presented do not preclude the product from obtaining or maintaining marketing authorization, treatment-related side effects could also affect participant recruitment or the ability of enrolled participants to complete the trial or result in potential product liability claims. In addition, these side effects may not be appropriately recognized or managed by the treating medical staff.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develop certain of our product candidates in combination with other therapies, which exposes us to additional risks.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intend to develop certain of our product candidates in combination with one or more other approved therapies, such as anti-PD-1 antibodies and other checkpoint inhibitors to treat certain cancers and chronic infections. Even if any product candidate we develop were to receive marketing authorization or be commercialized for use in combination with other existing therapies, we would continue to be subject to the risks that the FDA, the EMA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the EMA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3" w:name="page44"/>
    <w:bookmarkEnd w:id="43"/>
    <w:p>
      <w:pPr>
        <w:ind w:right="100"/>
        <w:spacing w:after="0" w:line="255" w:lineRule="auto"/>
        <w:rPr>
          <w:sz w:val="20"/>
          <w:szCs w:val="20"/>
          <w:color w:val="auto"/>
        </w:rPr>
      </w:pPr>
      <w:r>
        <w:rPr>
          <w:rFonts w:ascii="Arial" w:cs="Arial" w:eastAsia="Arial" w:hAnsi="Arial"/>
          <w:sz w:val="18"/>
          <w:szCs w:val="18"/>
          <w:color w:val="auto"/>
        </w:rPr>
        <w:t>We also may choose to evaluate our current product candidates and any other future product candidates in combination with one or more therapies that have not yet been approved for marketing by the FDA, the EMA or comparable foreign regulatory authorities. We will not be able to market and sell our current product candidates or any product candidate we develop in combination with any unapproved therapies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If the FDA, the EMA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Approach</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The market opportunities for certain of our oncology product candidates may be relatively small as it may be limited to those patients who are ineligible for or have failed prior treatments and our estimates of the prevalence of our target patient populations may be inaccurate.</w:t>
      </w:r>
    </w:p>
    <w:p>
      <w:pPr>
        <w:spacing w:after="0" w:line="1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Cancer therapies are sometimes characterized by line of therapy (first line, second line, third line, fourth line, etc.), and the regulatory authorities, including the FDA, often approve new therapies initially only for a particular line or lines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seek approval of VTP-600 as a first line therapy but we expect to seek approval of our other oncology product candidates initially as second or third line therapy, for use in patients with relapsed or refractory metastatic cancer. Subsequently, for those product candidates that prove to be sufficiently safe and beneficial as third line or second line therapies, if any, we would expect to seek approval as earlier line therapies, but there is no guarantee that our product candidates, even if approved as a second or third line of therapy, would be approved for an earlier line of therapy, and, prior to any such approvals, we may have to conduct additional clinical trials.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projections of both the number of people who have the infectious diseases and cancers we are targeting, as well as the subset of people with these infectious diseases and cancers in a position to receive a particular line of therapy and who have the potential to benefit from treatment with our product candidates, are based on our beliefs and estimates. These estimates have been derived from a variety of sources, including scientific literature, commissioned reports, surveys of clinics, patient foundations or market research, and may prove to be incorrect. Further, new therapies may change the estimated incidence or prevalence of these cancers and chronic infections. The number of patients may turn out to be lower than expected. Additionally, the potentially addressable patient population for our product candidates may be limited or may not be amenable to treatment with our product candidates. Even if we obtain significant market share for our product candidates within our addressable patient population, because the potential target populations are small, we may never achieve profitability without obtaining marketing authorization for additional indications, including use as first or second line therapy.</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4" w:name="page45"/>
    <w:bookmarkEnd w:id="44"/>
    <w:p>
      <w:pPr>
        <w:ind w:right="220"/>
        <w:spacing w:after="0" w:line="277" w:lineRule="auto"/>
        <w:rPr>
          <w:sz w:val="20"/>
          <w:szCs w:val="20"/>
          <w:color w:val="auto"/>
        </w:rPr>
      </w:pPr>
      <w:r>
        <w:rPr>
          <w:rFonts w:ascii="Arial" w:cs="Arial" w:eastAsia="Arial" w:hAnsi="Arial"/>
          <w:sz w:val="18"/>
          <w:szCs w:val="18"/>
          <w:b w:val="1"/>
          <w:bCs w:val="1"/>
          <w:i w:val="1"/>
          <w:iCs w:val="1"/>
          <w:color w:val="auto"/>
        </w:rPr>
        <w:t>Negative developments in the field of infectious disease and immuno-oncology could damage public perception of any of our product candidates and negatively affect our business.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commercial success of our product candidates will depend in part on public acceptance of the use of immunotherapies and vector-based viral vaccines. Adverse events in clinical trials of VTP-300 and VTP-200, or in clinical trials of others developing similar products and the resulting publicity, as well as any other negative developments in the field of infectious disease and immuno-oncology that may occur in the future, including in connection with competitor therapies, could result in a decrease in demand for any product candidates that we may develop. These events could also result in the suspension, discontinuation, or clinical hold of or modification to our clinical trials. If public perception may be influenced by claims that the use of cancer immunotherapies is unsafe, whether related to our therapies or those of our competitors, our product candidates may not be accepted by the general public or the medical community and potential clinical trial participants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marketing authorization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17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present product candidates consist of modified viruses. Adverse developments in clinical trials of other immunotherapy products based on viruses, such as oncolytic viruses, may result in a disproportionately negative effect for our platform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successfully commercialize additional product candidates.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Part of our strategy involves researching and developing novel product candidates. We have developed a pipeline of product candidates and intend to pursue clinical development of additional product candidates. The process by which we identify product candidates may fail to yield product candidates for clinical development for a number of reasons, including those discussed in these risk factors and also:</w:t>
      </w:r>
    </w:p>
    <w:p>
      <w:pPr>
        <w:spacing w:after="0" w:line="184" w:lineRule="exact"/>
        <w:rPr>
          <w:sz w:val="20"/>
          <w:szCs w:val="20"/>
          <w:color w:val="auto"/>
        </w:rPr>
      </w:pPr>
    </w:p>
    <w:p>
      <w:pPr>
        <w:ind w:left="380" w:hanging="318"/>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potential product candidates obsolete or less attractive;</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candidates we develop may nevertheless be covered by third parties’ patents or other exclusive rights;</w:t>
      </w:r>
    </w:p>
    <w:p>
      <w:pPr>
        <w:spacing w:after="0" w:line="225" w:lineRule="exact"/>
        <w:rPr>
          <w:rFonts w:ascii="Arial" w:cs="Arial" w:eastAsia="Arial" w:hAnsi="Arial"/>
          <w:sz w:val="18"/>
          <w:szCs w:val="18"/>
          <w:color w:val="auto"/>
        </w:rPr>
      </w:pPr>
    </w:p>
    <w:p>
      <w:pPr>
        <w:ind w:left="380" w:right="120" w:hanging="318"/>
        <w:spacing w:after="0" w:line="277"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toxicities or other characteristics that indicate that they are unlikely to be products that will receive marketing approval and achieve market acceptance;</w:t>
      </w:r>
    </w:p>
    <w:p>
      <w:pPr>
        <w:spacing w:after="0" w:line="170" w:lineRule="exact"/>
        <w:rPr>
          <w:rFonts w:ascii="Arial" w:cs="Arial" w:eastAsia="Arial" w:hAnsi="Arial"/>
          <w:sz w:val="18"/>
          <w:szCs w:val="18"/>
          <w:color w:val="auto"/>
        </w:rPr>
      </w:pPr>
    </w:p>
    <w:p>
      <w:pPr>
        <w:ind w:left="380" w:hanging="318"/>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 symptoms;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market for a potential product candidate may change so that the continued development of that product candidate is no longer reasonable;</w:t>
      </w:r>
    </w:p>
    <w:p>
      <w:pPr>
        <w:spacing w:after="0" w:line="236" w:lineRule="exact"/>
        <w:rPr>
          <w:rFonts w:ascii="Arial" w:cs="Arial" w:eastAsia="Arial" w:hAnsi="Arial"/>
          <w:sz w:val="17"/>
          <w:szCs w:val="17"/>
          <w:color w:val="auto"/>
        </w:rPr>
      </w:pPr>
    </w:p>
    <w:p>
      <w:pPr>
        <w:ind w:left="380" w:hanging="318"/>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regulatory pathway for a potential product candidate is highly complex and difficult to navigate successfully or economically.</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5" w:name="page46"/>
    <w:bookmarkEnd w:id="45"/>
    <w:p>
      <w:pPr>
        <w:jc w:val="both"/>
        <w:ind w:right="260"/>
        <w:spacing w:after="0" w:line="263" w:lineRule="auto"/>
        <w:rPr>
          <w:sz w:val="20"/>
          <w:szCs w:val="20"/>
          <w:color w:val="auto"/>
        </w:rPr>
      </w:pPr>
      <w:r>
        <w:rPr>
          <w:rFonts w:ascii="Arial" w:cs="Arial" w:eastAsia="Arial" w:hAnsi="Arial"/>
          <w:sz w:val="18"/>
          <w:szCs w:val="18"/>
          <w:color w:val="auto"/>
        </w:rPr>
        <w:t>Developing, obtaining marketing authorization for and commercializing additional product candidates will require substantial additional funding and is prone to the risks of failure inherent in medical product development. We cannot provide you any assurance that we will be able to successfully advance any of these additional product candidates through the development process.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may choose to focus our efforts on and allocate resources to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 Our spending on current and future research and development programs and product candidates for specific indications may not yield any commercially viable products. If we are unable to evaluate the commercial potential or target market for a particular product candidate, identify and successfully commercialize additional suitable product candidates, this would adversely impact our business strategy and our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Sales, Marketing and Competition</w:t>
      </w:r>
    </w:p>
    <w:p>
      <w:pPr>
        <w:spacing w:after="0" w:line="229"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b w:val="1"/>
          <w:bCs w:val="1"/>
          <w:i w:val="1"/>
          <w:iCs w:val="1"/>
          <w:color w:val="auto"/>
        </w:rPr>
        <w:t>We face substantial competition in an environment of rapid technological change, which may result in others discovering, developing, obtaining marketing authorization approval or commercializing products before or more successfully than we do, which may adversely affect our financial condition and our ability to successfully market or commercialize our product candidates.</w:t>
      </w:r>
    </w:p>
    <w:p>
      <w:pPr>
        <w:spacing w:after="0" w:line="16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potential competition from many different sources, including major pharmaceuticals, specialty pharmaceuticals and biotechnology companies, academic institutions and government agencies, as well as public and private research institutes that conduct research, development, manufacturing and commercialization. Many of our competitors have significantly greater financial resources and expertise in research and development, manufacturing, preclinical testing, marketing authorizations and product marketing than we do. In addition, many of these competitors are active in seeking patent protection and licensing arrangements in anticipation of collecting royalties for use of technology that they have developed. Our competitors may compete with us in recruiting and retaining qualified scientific and management personnel and establishing clinical trial sites and participant registration for clinical trials, as well as in acquiring technologies complementary to, or necessary for, our programs. As a result, our competitors may discover, develop, license or commercialize products before or more successfully than we do.</w:t>
      </w:r>
    </w:p>
    <w:p>
      <w:pPr>
        <w:spacing w:after="0" w:line="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Product candidates that we successfully develop and commercialize will compete with existing therapies and new therapies that may become available in the future. Specifically, we expect that our product candidates will compete against alternative or more conventional approaches, including antivirals, immune modulators, siRNA, CRISPR editing, capsid inhibitors, novel entry inhibitors, or other small molecules, RNA, DNA, nanoparticle, VLP, peptide, protein, whole-killed or other vaccine technologies.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our product candidates are approved for the indications for which we are currently conducting or planning clinical trials, they will likely compete with the competitor products mentioned above and with other products that are currently in development. Key product features that would affect our ability to effectively compete with other therapeutics include the efficacy, safety, formulation, stability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marketing authorizations from the FDA or other regulatory authorities for their products more rapidly than we may obtain approval for ours, which could result in our competitors establishing a strong market position before we are able to enter the market.</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outbreak of the novel coronavirus disease, COVID-19, has adversely impacted our business and we expect will continue to adversely impact some aspects of our business, including our preclinical studies and clinical trials.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2019, a novel strain of the coronavirus disease, COVID-19, was identified in Wuhan, China. This virus has since spread globally and in March 2020, the World Health Organization declared COVID-19 a pandemic.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mandated that our non-laboratory based employees, such as clinical, manufacturing, finance, administrative, quality, regulatory and program managers continue their work outside of our offices and limited the number of staff in any given research and development laboratory at any time. The initiation of our Phase 1/2a clinical trial for VTP-200 and our Phase 1 clinical trial for VTP-500, which are being conducted at the University of Oxford sites, was delayed and paused, respectively, due to COVID-19. In addition, we have experienced and we expect to continue to experience disruptions as a result of the COVID-19 pandemic that could severely impact our business, preclinical studies and clinical trials, including:</w:t>
      </w:r>
    </w:p>
    <w:p>
      <w:pPr>
        <w:spacing w:after="0" w:line="185" w:lineRule="exact"/>
        <w:rPr>
          <w:sz w:val="20"/>
          <w:szCs w:val="20"/>
          <w:color w:val="auto"/>
        </w:rPr>
      </w:pPr>
    </w:p>
    <w:p>
      <w:pPr>
        <w:ind w:left="380" w:hanging="31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delays or difficulties in enrolling and retaining participants in our clinical trials;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receiving authorizations from regulatory authorities to initiate our planned clinical trials;</w:t>
      </w:r>
    </w:p>
    <w:p>
      <w:pPr>
        <w:spacing w:after="0" w:line="225" w:lineRule="exact"/>
        <w:rPr>
          <w:rFonts w:ascii="Arial" w:cs="Arial" w:eastAsia="Arial" w:hAnsi="Arial"/>
          <w:sz w:val="18"/>
          <w:szCs w:val="18"/>
          <w:color w:val="auto"/>
        </w:rPr>
      </w:pPr>
    </w:p>
    <w:p>
      <w:pPr>
        <w:ind w:left="380" w:right="340" w:hanging="318"/>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70" w:lineRule="exact"/>
        <w:rPr>
          <w:rFonts w:ascii="Arial" w:cs="Arial" w:eastAsia="Arial" w:hAnsi="Arial"/>
          <w:sz w:val="18"/>
          <w:szCs w:val="18"/>
          <w:color w:val="auto"/>
        </w:rPr>
      </w:pPr>
    </w:p>
    <w:p>
      <w:pPr>
        <w:ind w:left="380" w:right="80" w:hanging="318"/>
        <w:spacing w:after="0" w:line="263"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participant visits and trial procedures (such as endoscopies that are deemed non-essential), which may impact the integrity of participant data and clinical trial endpoints;</w:t>
      </w:r>
    </w:p>
    <w:p>
      <w:pPr>
        <w:spacing w:after="0" w:line="183" w:lineRule="exact"/>
        <w:rPr>
          <w:rFonts w:ascii="Arial" w:cs="Arial" w:eastAsia="Arial" w:hAnsi="Arial"/>
          <w:sz w:val="18"/>
          <w:szCs w:val="18"/>
          <w:color w:val="auto"/>
        </w:rPr>
      </w:pPr>
    </w:p>
    <w:p>
      <w:pPr>
        <w:ind w:left="380" w:right="340" w:hanging="318"/>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170" w:lineRule="exact"/>
        <w:rPr>
          <w:rFonts w:ascii="Arial" w:cs="Arial" w:eastAsia="Arial" w:hAnsi="Arial"/>
          <w:sz w:val="18"/>
          <w:szCs w:val="18"/>
          <w:color w:val="auto"/>
        </w:rPr>
      </w:pPr>
    </w:p>
    <w:p>
      <w:pPr>
        <w:ind w:left="380" w:hanging="31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225" w:lineRule="exact"/>
        <w:rPr>
          <w:rFonts w:ascii="Arial" w:cs="Arial" w:eastAsia="Arial" w:hAnsi="Arial"/>
          <w:sz w:val="18"/>
          <w:szCs w:val="18"/>
          <w:color w:val="auto"/>
        </w:rPr>
      </w:pPr>
    </w:p>
    <w:p>
      <w:pPr>
        <w:ind w:left="380" w:right="340" w:hanging="318"/>
        <w:spacing w:after="0" w:line="263"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disruptions in delivery systems and the diversion of resources to prioritize manufacturing products that are related to treating or preventing COVID-19;</w:t>
      </w:r>
    </w:p>
    <w:p>
      <w:pPr>
        <w:spacing w:after="0" w:line="183" w:lineRule="exact"/>
        <w:rPr>
          <w:rFonts w:ascii="Arial" w:cs="Arial" w:eastAsia="Arial" w:hAnsi="Arial"/>
          <w:sz w:val="18"/>
          <w:szCs w:val="18"/>
          <w:color w:val="auto"/>
        </w:rPr>
      </w:pPr>
    </w:p>
    <w:p>
      <w:pPr>
        <w:ind w:left="380" w:hanging="31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price and longer lead time for our raw material requirements in response to the large-scale production of AZD1222;</w:t>
      </w:r>
    </w:p>
    <w:p>
      <w:pPr>
        <w:spacing w:after="0" w:line="225" w:lineRule="exact"/>
        <w:rPr>
          <w:rFonts w:ascii="Arial" w:cs="Arial" w:eastAsia="Arial" w:hAnsi="Arial"/>
          <w:sz w:val="18"/>
          <w:szCs w:val="18"/>
          <w:color w:val="auto"/>
        </w:rPr>
      </w:pPr>
    </w:p>
    <w:p>
      <w:pPr>
        <w:ind w:left="380" w:right="620" w:hanging="318"/>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price and longer lead time for quality control and manufacturing slots due to delays in production of reagents and lack of capacity at specialized testing laboratories;</w:t>
      </w:r>
    </w:p>
    <w:p>
      <w:pPr>
        <w:spacing w:after="0" w:line="170" w:lineRule="exact"/>
        <w:rPr>
          <w:rFonts w:ascii="Arial" w:cs="Arial" w:eastAsia="Arial" w:hAnsi="Arial"/>
          <w:sz w:val="18"/>
          <w:szCs w:val="18"/>
          <w:color w:val="auto"/>
        </w:rPr>
      </w:pPr>
    </w:p>
    <w:p>
      <w:pPr>
        <w:ind w:left="380" w:hanging="31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 and those of our sub-contractors;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380" w:right="160" w:hanging="318"/>
        <w:spacing w:after="0" w:line="277"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70" w:lineRule="exact"/>
        <w:rPr>
          <w:rFonts w:ascii="Arial" w:cs="Arial" w:eastAsia="Arial" w:hAnsi="Arial"/>
          <w:sz w:val="18"/>
          <w:szCs w:val="18"/>
          <w:color w:val="auto"/>
        </w:rPr>
      </w:pPr>
    </w:p>
    <w:p>
      <w:pPr>
        <w:ind w:left="380" w:right="20" w:hanging="318"/>
        <w:spacing w:after="0" w:line="277"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such clinical trials altogether;</w:t>
      </w:r>
    </w:p>
    <w:p>
      <w:pPr>
        <w:spacing w:after="0" w:line="170" w:lineRule="exact"/>
        <w:rPr>
          <w:rFonts w:ascii="Arial" w:cs="Arial" w:eastAsia="Arial" w:hAnsi="Arial"/>
          <w:sz w:val="18"/>
          <w:szCs w:val="18"/>
          <w:color w:val="auto"/>
        </w:rPr>
      </w:pPr>
    </w:p>
    <w:p>
      <w:pPr>
        <w:ind w:left="380" w:right="220" w:hanging="318"/>
        <w:spacing w:after="0" w:line="308"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46" w:lineRule="exact"/>
        <w:rPr>
          <w:rFonts w:ascii="Arial" w:cs="Arial" w:eastAsia="Arial" w:hAnsi="Arial"/>
          <w:sz w:val="17"/>
          <w:szCs w:val="17"/>
          <w:color w:val="auto"/>
        </w:rPr>
      </w:pPr>
    </w:p>
    <w:p>
      <w:pPr>
        <w:ind w:left="380" w:hanging="318"/>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global COVID-19 pandemic continues to rapidly evolve. The extent to which COVID-19 impacts our business, results of operations and financial condition will depend on future developments, which are highly uncertain and cannot be predicted with confidence, such as the ultimate geographic spread of the disease, duration of the outbreak, travel restrictions, new information that may emerge concerning the severity of COVID-19 or the effectiveness of actions taken in the United States and other countries to contain COVID-19 or treat its impact, among others. We cannot presently predict the scope and severity of any potential business shutdowns or disruptions, but if we or any of the third parties with whom we engage, including the suppliers, clinical trial sites, service providers, regulators and other third parties with whom we conduct business, were to experience prolonged business shutdowns or other business disruptions, our ability to conduct our business in the manner and on the timelines presently planned could be materially and negatively impacted.</w:t>
      </w:r>
    </w:p>
    <w:p>
      <w:pPr>
        <w:spacing w:after="0" w:line="16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potency, purity and efficacy of any of our product candidates, which would prevent or delay development, marketing authorization and commercialization. Furthermore, success in preclinical studies or clinical trials may not be indicative of results in future clinical trials for the same or other product candidates.</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Before obtaining marketing authorization for the commercial sale of our product candidates, we must demonstrate the safety, purity and potency of our investigational biologics for use in each target indication through lengthy, complex and expensive preclinical studies and clinical trials. Preclinical and clinical testing is expensive and can take many years to complete, and its outcome is inherently uncertain. Failure can occur at any time during the preclinical study and clinical trial processes, and, because our product candidates are in an early stage of development, there is a high risk of failure and we may never succeed in developing marketable products.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 Product candidates in later stages of clinical trials may fail to show the desired risk-benefit profile despite having progressed through preclinical studies and initial clinical trials. Likewise, early, smaller-scale clinical trials may not be predictive of eventual safety or effectiveness in large-scale pivotal clinical trials. VTP-100 demonstrated safety and immunogenicity during small Phase 1 clinical trials but did not demonstrate sufficient efficacy during adequately powered Phase 2b clinical trials to warrant continued development of this product candidate. A number of companies in the biopharmaceutical industry have suffered significant setbacks in later phase clinical trials due to lack of potency or efficacy, insufficient durability of potency or efficacy or unacceptable safety issues, notwithstanding promising results in earlier trials. The vast majority of product candidates that commence preclinical studies and early phase clinical trials are never approved as products.</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8" w:name="page49"/>
    <w:bookmarkEnd w:id="48"/>
    <w:p>
      <w:pPr>
        <w:ind w:right="20"/>
        <w:spacing w:after="0" w:line="286" w:lineRule="auto"/>
        <w:rPr>
          <w:sz w:val="20"/>
          <w:szCs w:val="20"/>
          <w:color w:val="auto"/>
        </w:rPr>
      </w:pPr>
      <w:r>
        <w:rPr>
          <w:rFonts w:ascii="Arial" w:cs="Arial" w:eastAsia="Arial" w:hAnsi="Arial"/>
          <w:sz w:val="16"/>
          <w:szCs w:val="16"/>
          <w:color w:val="auto"/>
        </w:rPr>
        <w:t>Any preclinical studies or clinical trials that we may conduct may not demonstrate the safety, potency, purity and efficacy necessary to obtain regulatory authorization to market our product candidates. If the results of our ongoing or future preclinical studies and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authorization for certain of our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certain of our product candidates, VTP-400, VTP-850 and VTP-600, and are in early stages of clinical trials for certain of our product candidates, VTP-300, VTP-500 and VTP-200, as is the case with all novel immunotherapeutics and viral-vector based vaccines, it is likely that there may be side effects associated with their use. Results of our trials could reveal a high and unacceptable severity and prevalence of these side effects. In such an event, our trials could be suspended or terminated and the FDA or comparable foreign regulatory authorities could order us to cease further development of or deny authorization of certain of our product candidates for any or all targeted indications. Treatment-related side effects could also affect participant recruitment or the ability of enrolled participants to complete the trial or result in potential product liability claims. Any of these occurrences may harm our business, financial condition and prospects significantly.</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Additionally, some of the clinical trials we conduct may be open-label in trial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participants in open-label clinical trials are aware when they are receiving treatment. Open-label clinical trials may be subject to a “patient bias” where participants perceive their symptoms to have improved merely due to their awareness of receiving an experimental treatment. Moreover, patients selected for early clinical trials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Even if we obtain marketing authorization for our product candidates, the products may not gain market acceptance among physicians, patients, hospitals, cancer treatment centers and others in the medical community.</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use of novel immunotherapeutics and viral-vector based product candidates to target the treatment and prevention of infectious diseases and cancer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165" w:lineRule="exact"/>
        <w:rPr>
          <w:sz w:val="20"/>
          <w:szCs w:val="20"/>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licensed;</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physicians, hospitals, cancer treatment centers and patients considering our product candidates as a safe and effective treatment;</w:t>
      </w:r>
    </w:p>
    <w:p>
      <w:pPr>
        <w:spacing w:after="0" w:line="225" w:lineRule="exact"/>
        <w:rPr>
          <w:rFonts w:ascii="Arial" w:cs="Arial" w:eastAsia="Arial" w:hAnsi="Arial"/>
          <w:sz w:val="18"/>
          <w:szCs w:val="18"/>
          <w:color w:val="auto"/>
        </w:rPr>
      </w:pPr>
    </w:p>
    <w:p>
      <w:pPr>
        <w:ind w:left="380" w:hanging="318"/>
        <w:spacing w:after="0" w:line="277"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 including the adoption of our treatment as the standard of care;</w:t>
      </w:r>
    </w:p>
    <w:p>
      <w:pPr>
        <w:spacing w:after="0" w:line="170"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demonstrate the advantages of our product candidates over other vaccines and cancer or chronic infectious disease medicines;</w:t>
      </w:r>
    </w:p>
    <w:p>
      <w:pPr>
        <w:spacing w:after="0" w:line="236" w:lineRule="exact"/>
        <w:rPr>
          <w:rFonts w:ascii="Arial" w:cs="Arial" w:eastAsia="Arial" w:hAnsi="Arial"/>
          <w:sz w:val="17"/>
          <w:szCs w:val="17"/>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immunotherapeutics and public perception of other immunotherapeutics;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prevalence and severity of any side effects for other viral-vector based vaccines and public perception of other viral-vector based vaccines;</w:t>
      </w:r>
    </w:p>
    <w:p>
      <w:pPr>
        <w:spacing w:after="0" w:line="236" w:lineRule="exact"/>
        <w:rPr>
          <w:rFonts w:ascii="Arial" w:cs="Arial" w:eastAsia="Arial" w:hAnsi="Arial"/>
          <w:sz w:val="17"/>
          <w:szCs w:val="17"/>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380" w:hanging="318"/>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labeling;</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adequate coverage, reimbursement and pricing by third-party payors and government authorities;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although our product candidates differ in certain ways from other immunotherapeutic and viral-vector based vaccine approaches, serious adverse events or deaths in other clinical trials involving immunotherapeutics and viral-vector based vaccines,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8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4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18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Insurance policies are expensive and protect us only from some business risks, which leaves us exposed to significant uninsured liabilities.</w:t>
      </w:r>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general liability, employment practices liability, property, umbrella, and directors’ and officers’ insurance.</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Insurance coverage is becoming increasingly expensive and in the future we may not be able to maintain insurance coverage at a reasonable cost or in sufficient amounts to protect us against losses due to liability.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marketing authorizations could be suspended.</w:t>
      </w:r>
    </w:p>
    <w:p>
      <w:pPr>
        <w:spacing w:after="0" w:line="1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position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certain of our preclinical studies and clinical trials. If these third parties do not properly and successfully carry out their contractual duties or meet expected deadlines, we may not be able to obtain marketing authorizations for, or commercialize, our product candidates and our business could be substantially harmed.</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utilize and depend, and expect to continue to utilize and depend, upon independent investigators and collaborators, such as medical institutions, contract research organizations, or CROs, contract manufacturing organizations, or CMOs, and strategic partners to conduct and support certain of our preclinical studies and clinical trials under agreements with us. For example, we are dependent on our regional partner, CanSino Biologics, to conduct a Phase 1 clinical trial of VTP-400 for herpes zoster prevention in China.</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expect to have to continue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preclinical studies and clinical trials is conducted in accordance with applicable protocol, legal and regulatory requirements and scientific standards, and our reliance on third parties does not relieve us of our regulatory responsibilities. We and these third parties are required to comply with GCP, which are regulations and guidelines enforced by the FDA and comparable foreign regulatory authorities for product candidates in clinical development. Regulatory authorities enforce GCP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authorization applications, or MAA.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participants. Our failure or any failure by these third parties to comply with these regulations or to recruit a sufficient number of participants may require us to repeat clinical trials, which would delay the marketing authorization process. Moreover, our business may be implicated if any of these third parties performing services or otherwise acting on our behalf violates federal or state fraud and abuse or false claims laws and regulations or healthcare privacy and security laws.</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1" w:name="page52"/>
    <w:bookmarkEnd w:id="51"/>
    <w:p>
      <w:pPr>
        <w:ind w:right="40"/>
        <w:spacing w:after="0" w:line="270" w:lineRule="auto"/>
        <w:rPr>
          <w:sz w:val="20"/>
          <w:szCs w:val="20"/>
          <w:color w:val="auto"/>
        </w:rPr>
      </w:pPr>
      <w:r>
        <w:rPr>
          <w:rFonts w:ascii="Arial" w:cs="Arial" w:eastAsia="Arial" w:hAnsi="Arial"/>
          <w:sz w:val="17"/>
          <w:szCs w:val="17"/>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preclinical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marketing authorization for, or successfully commercialize, our product candidates. As a result, our financial results and the commercial prospects for our product candidates would be harmed, our costs could increase and our ability to generate revenue could be delayed.</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form or seek additional collaborations or strategic alliances or enter into additional licensing arrangements in the future, and we may not realize the benefits of such collaborations, alliances or licensing arrangements.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shareholders or disrupt our management and business.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Further, collaborations involving our product candidates are subject to numerous risks, which may include the following:</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252" w:lineRule="exact"/>
        <w:rPr>
          <w:rFonts w:ascii="Arial" w:cs="Arial" w:eastAsia="Arial" w:hAnsi="Arial"/>
          <w:sz w:val="18"/>
          <w:szCs w:val="18"/>
          <w:color w:val="auto"/>
        </w:rPr>
      </w:pPr>
    </w:p>
    <w:p>
      <w:pPr>
        <w:ind w:left="340" w:right="300" w:hanging="332"/>
        <w:spacing w:after="0" w:line="311"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75" w:lineRule="exact"/>
        <w:rPr>
          <w:rFonts w:ascii="Arial" w:cs="Arial" w:eastAsia="Arial" w:hAnsi="Arial"/>
          <w:sz w:val="16"/>
          <w:szCs w:val="16"/>
          <w:color w:val="auto"/>
        </w:rPr>
      </w:pPr>
    </w:p>
    <w:p>
      <w:pPr>
        <w:ind w:left="340" w:right="4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24" w:right="399" w:bottom="1440" w:gutter="0" w:footer="0" w:header="0"/>
        </w:sectPr>
      </w:pPr>
    </w:p>
    <w:bookmarkStart w:id="52" w:name="page53"/>
    <w:bookmarkEnd w:id="52"/>
    <w:p>
      <w:pPr>
        <w:ind w:left="340" w:right="32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despite agreements, collaborators may develop our product candidates to standards that only meet their local regulatory requirements and therefore clinical data cannot be applied in support regulatory submissions in other jurisdictions;</w:t>
      </w:r>
    </w:p>
    <w:p>
      <w:pPr>
        <w:spacing w:after="0" w:line="197"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in certain countries may require joint ventures to manufactures and commercialize products in their territory, which may increase costs, increase dilution to shareholders, and offer lack of clarity on revenue and intellectual property sharing;</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products may not commit sufficient resources to their marketing and distribution;</w:t>
      </w:r>
    </w:p>
    <w:p>
      <w:pPr>
        <w:spacing w:after="0" w:line="275" w:lineRule="exact"/>
        <w:rPr>
          <w:rFonts w:ascii="Arial" w:cs="Arial" w:eastAsia="Arial" w:hAnsi="Arial"/>
          <w:sz w:val="16"/>
          <w:szCs w:val="16"/>
          <w:color w:val="auto"/>
        </w:rPr>
      </w:pPr>
    </w:p>
    <w:p>
      <w:pPr>
        <w:ind w:left="340" w:right="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10" w:lineRule="exact"/>
        <w:rPr>
          <w:rFonts w:ascii="Arial" w:cs="Arial" w:eastAsia="Arial" w:hAnsi="Arial"/>
          <w:sz w:val="18"/>
          <w:szCs w:val="18"/>
          <w:color w:val="auto"/>
        </w:rPr>
      </w:pPr>
    </w:p>
    <w:p>
      <w:pPr>
        <w:ind w:left="340" w:right="6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73" w:lineRule="exact"/>
        <w:rPr>
          <w:rFonts w:ascii="Arial" w:cs="Arial" w:eastAsia="Arial" w:hAnsi="Arial"/>
          <w:sz w:val="17"/>
          <w:szCs w:val="17"/>
          <w:color w:val="auto"/>
        </w:rPr>
      </w:pPr>
    </w:p>
    <w:p>
      <w:pPr>
        <w:ind w:left="340" w:right="10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197"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result, if we enter into additional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currently rely and expect to rely in the future on the use of manufacturing suites in third-party facilities or third parties to manufacture our product candidates, if approved. Our business could be harmed if we are unable to use third-party manufacturing suites or if the third party manufacturers fail to provide us with sufficient quantities of our product candidates or fail to do so at acceptable quality levels or prices.</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 may not be able to do so on favorable terms. We have not yet manufactured our product candidates on a commercial scale and may not be able to do so for any of our product candidates.</w:t>
      </w:r>
    </w:p>
    <w:p>
      <w:pPr>
        <w:spacing w:after="0" w:line="18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Manufacturing of biological drug products is complex and requires significant expertise and capital investment, including the development of advanced manufacturing techniques and process controls. Manufacturers of biologic products often encounter difficulties in production, particularly in scaling up, validating the production process and assuring high reliability of the manufacturing process, including the absence of contamination. These problems include logistics and shipping, difficulties with production costs and yields, quality control, including lot consistency, stability of the product, product testing, operator error and availability of qualified personnel, as well as compliance with strictly enforced federal, state and foreign regulations. Furthermore, if contaminants are discovered in our supply of our product candidates or in the manufacturing facilities,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Our anticipated reliance on a limited number of third-party manufacturers exposes us to a number of risks, including the following:</w:t>
      </w:r>
    </w:p>
    <w:p>
      <w:pPr>
        <w:spacing w:after="0" w:line="225" w:lineRule="exact"/>
        <w:rPr>
          <w:sz w:val="20"/>
          <w:szCs w:val="20"/>
          <w:color w:val="auto"/>
        </w:rPr>
      </w:pPr>
    </w:p>
    <w:p>
      <w:pPr>
        <w:ind w:left="340" w:right="20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production process for our product candidates is complex and requires specific know-how that only a limited number of CMOs can provide, as a result, we compete with other companies in the field for the scarce capacities of these organizations and may not be able to secure sufficient manufacturing capacity when needed;</w:t>
      </w:r>
    </w:p>
    <w:p>
      <w:pPr>
        <w:spacing w:after="0" w:line="210" w:lineRule="exact"/>
        <w:rPr>
          <w:rFonts w:ascii="Arial" w:cs="Arial" w:eastAsia="Arial" w:hAnsi="Arial"/>
          <w:sz w:val="18"/>
          <w:szCs w:val="18"/>
          <w:color w:val="auto"/>
        </w:rPr>
      </w:pPr>
    </w:p>
    <w:p>
      <w:pPr>
        <w:ind w:left="340" w:right="28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be unable to identify manufacturers on acceptable terms, or at all because the number of potential manufacturers is limited and the FDA or other regulatory authorities may inspect any manufacturers for current cGMP compliance as part of our marketing application;</w:t>
      </w:r>
    </w:p>
    <w:p>
      <w:pPr>
        <w:spacing w:after="0" w:line="173" w:lineRule="exact"/>
        <w:rPr>
          <w:rFonts w:ascii="Arial" w:cs="Arial" w:eastAsia="Arial" w:hAnsi="Arial"/>
          <w:sz w:val="17"/>
          <w:szCs w:val="17"/>
          <w:color w:val="auto"/>
        </w:rPr>
      </w:pPr>
    </w:p>
    <w:p>
      <w:pPr>
        <w:ind w:left="340" w:hanging="332"/>
        <w:spacing w:after="0"/>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new manufacturer would have to be educated in, or develop substantially equivalent processes for, the production of our product candidates;</w:t>
      </w:r>
    </w:p>
    <w:p>
      <w:pPr>
        <w:spacing w:after="0" w:line="263" w:lineRule="exact"/>
        <w:rPr>
          <w:rFonts w:ascii="Arial" w:cs="Arial" w:eastAsia="Arial" w:hAnsi="Arial"/>
          <w:sz w:val="17"/>
          <w:szCs w:val="17"/>
          <w:color w:val="auto"/>
        </w:rPr>
      </w:pPr>
    </w:p>
    <w:p>
      <w:pPr>
        <w:ind w:left="340" w:right="1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candidates or produce the quantity and quality required to meet our clinical and commercial needs, if any;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contract manufacturers may not be able to execute our manufacturing procedures and other logistical support requirements appropriately;</w:t>
      </w:r>
    </w:p>
    <w:p>
      <w:pPr>
        <w:spacing w:after="0" w:line="263" w:lineRule="exact"/>
        <w:rPr>
          <w:rFonts w:ascii="Arial" w:cs="Arial" w:eastAsia="Arial" w:hAnsi="Arial"/>
          <w:sz w:val="17"/>
          <w:szCs w:val="17"/>
          <w:color w:val="auto"/>
        </w:rPr>
      </w:pPr>
    </w:p>
    <w:p>
      <w:pPr>
        <w:jc w:val="both"/>
        <w:ind w:left="340" w:right="80" w:hanging="332"/>
        <w:spacing w:after="0" w:line="34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150"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210" w:lineRule="exact"/>
        <w:rPr>
          <w:rFonts w:ascii="Arial" w:cs="Arial" w:eastAsia="Arial" w:hAnsi="Arial"/>
          <w:sz w:val="18"/>
          <w:szCs w:val="18"/>
          <w:color w:val="auto"/>
        </w:rPr>
      </w:pPr>
    </w:p>
    <w:p>
      <w:pPr>
        <w:ind w:left="340" w:right="98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third-party manufacturers may prioritize another customer’s needs in front of ours, especially in the event of a global pandemic;</w:t>
      </w:r>
    </w:p>
    <w:p>
      <w:pPr>
        <w:spacing w:after="0" w:line="252" w:lineRule="exact"/>
        <w:rPr>
          <w:rFonts w:ascii="Arial" w:cs="Arial" w:eastAsia="Arial" w:hAnsi="Arial"/>
          <w:sz w:val="18"/>
          <w:szCs w:val="18"/>
          <w:color w:val="auto"/>
        </w:rPr>
      </w:pPr>
    </w:p>
    <w:p>
      <w:pPr>
        <w:ind w:left="340" w:right="14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raw materials and components used in the manufacturing process, particularly those for which we have no other source or supplier, may not be available or may not be suitable or acceptable for use due to material or component defects, may be in short supply, and may significantly increase in price;</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contract manufacturers and critical suppliers may be subject to inclement weather, pandemics, as well as natural or man-made disasters; and</w:t>
      </w:r>
    </w:p>
    <w:p>
      <w:pPr>
        <w:spacing w:after="0" w:line="275" w:lineRule="exact"/>
        <w:rPr>
          <w:rFonts w:ascii="Arial" w:cs="Arial" w:eastAsia="Arial" w:hAnsi="Arial"/>
          <w:sz w:val="16"/>
          <w:szCs w:val="16"/>
          <w:color w:val="auto"/>
        </w:rPr>
      </w:pPr>
    </w:p>
    <w:p>
      <w:pPr>
        <w:ind w:left="340" w:righ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4" w:name="page55"/>
    <w:bookmarkEnd w:id="54"/>
    <w:p>
      <w:pPr>
        <w:spacing w:after="0" w:line="285" w:lineRule="auto"/>
        <w:rPr>
          <w:sz w:val="20"/>
          <w:szCs w:val="20"/>
          <w:color w:val="auto"/>
        </w:rPr>
      </w:pPr>
      <w:r>
        <w:rPr>
          <w:rFonts w:ascii="Arial" w:cs="Arial" w:eastAsia="Arial" w:hAnsi="Arial"/>
          <w:sz w:val="16"/>
          <w:szCs w:val="16"/>
          <w:color w:val="auto"/>
        </w:rPr>
        <w:t>Additionally,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While we have relationships with multiple CMOs,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trial,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or comparability studies between our prior clinical supply used in our clinical trials and that of any new manufacturer. We may be unsuccessful in demonstrating the comparability of clinical supplies which could require the conduct of additional clinical trials. Additionally, several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7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Each of these risks could delay or prevent the completion of our clinical trials or the approval of any of our product candidates by the FDA, EMA or other appropriate regulatory authorities and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or other regulatory authorities could place significant restrictions on our company until deficiencies are remedied.</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Our manufacturing process needs to comply with FDA and comparable foreign regulatory authority regulations relating to the quality and reliability of such processes. Any failure to comply with relevant regulations could result in delays in or termination of our clinical programs and suspension or withdrawal of any marketing authorizations.</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and similar requirements from comparable foreign regulatory authorities.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biologic products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biological products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research and development activities involve the controlled use of potentially hazardous substances, including biological materials, by our third-party manufacturers. Our manufacturers are subject to national, state and local laws and regulations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national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b w:val="1"/>
          <w:bCs w:val="1"/>
          <w:i w:val="1"/>
          <w:iCs w:val="1"/>
          <w:color w:val="auto"/>
        </w:rPr>
        <w:t>The marketing authorization processes of the FDA, the EMA, MHRA and other comparable foreign regulatory authorities are lengthy, time-consuming and inherently unpredictable, and if we are ultimately unable to obtain marketing authorizations for our product candidates, or the marketing authorization is for a narrower indication than we seek, our business will be substantially harmed.</w:t>
      </w:r>
    </w:p>
    <w:p>
      <w:pPr>
        <w:spacing w:after="0" w:line="14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time required to obtain approval from the FDA, the EMA, MHRA and other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yet obtained a marketing authorization for any product candidate and it is possible that none of our current or future product candidates will ever obtain marketing authorizations.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future product candidates could fail to receive marketing authorizations for many reasons, including the following:</w:t>
      </w:r>
    </w:p>
    <w:p>
      <w:pPr>
        <w:spacing w:after="0" w:line="22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planned clinical trials;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FDA, the EMA, MHRA or other comparable foreign regulatory authorities may disagree with the design or implementation of our clinical trials;</w:t>
      </w:r>
    </w:p>
    <w:p>
      <w:pPr>
        <w:spacing w:after="0" w:line="263" w:lineRule="exact"/>
        <w:rPr>
          <w:rFonts w:ascii="Arial" w:cs="Arial" w:eastAsia="Arial" w:hAnsi="Arial"/>
          <w:sz w:val="17"/>
          <w:szCs w:val="17"/>
          <w:color w:val="auto"/>
        </w:rPr>
      </w:pPr>
    </w:p>
    <w:p>
      <w:pPr>
        <w:ind w:left="34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Biologics Licensing Application, or BLA, to the FDA, or an MAA to the EMA or other comparable submission to regulatory authorities in other regions, to obtain authorization in the United States, the European Union or elsewhere;</w:t>
      </w:r>
    </w:p>
    <w:p>
      <w:pPr>
        <w:spacing w:after="0" w:line="210"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MHRA or regulatory authorities in other regions that a product candidate has an overall suitable benefit/risk profile for its proposed indication;</w:t>
      </w:r>
    </w:p>
    <w:p>
      <w:pPr>
        <w:spacing w:after="0" w:line="197" w:lineRule="exact"/>
        <w:rPr>
          <w:rFonts w:ascii="Arial" w:cs="Arial" w:eastAsia="Arial" w:hAnsi="Arial"/>
          <w:sz w:val="18"/>
          <w:szCs w:val="18"/>
          <w:color w:val="auto"/>
        </w:rPr>
      </w:pPr>
    </w:p>
    <w:p>
      <w:pPr>
        <w:ind w:left="340" w:right="6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FDA, the EMA, MHRA or other comparable foreign regulatory authorities may find deficiencies with or fail to approve the manufacturing processes or facilities of third-party manufacturers with which we contract for clinical and commercial supplies;</w:t>
      </w:r>
    </w:p>
    <w:p>
      <w:pPr>
        <w:spacing w:after="0" w:line="197"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MHRA or other comparable foreign regulatory authorities may significantly change in a manner rendering our clinical data insufficient for approval; and</w:t>
      </w:r>
    </w:p>
    <w:p>
      <w:pPr>
        <w:spacing w:after="0" w:line="197" w:lineRule="exact"/>
        <w:rPr>
          <w:rFonts w:ascii="Arial" w:cs="Arial" w:eastAsia="Arial" w:hAnsi="Arial"/>
          <w:sz w:val="18"/>
          <w:szCs w:val="18"/>
          <w:color w:val="auto"/>
        </w:rPr>
      </w:pPr>
    </w:p>
    <w:p>
      <w:pPr>
        <w:ind w:left="340" w:right="40" w:hanging="332"/>
        <w:spacing w:after="0" w:line="25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we intend to conduct our HBV002 clinical trial in South Korea and have experienced delays due to additional regulatory review of our clinical protocol. We have limited experience obtaining such approvals in foreign jurisdictions and therefore may need more time to navigate the regulatory process as a result.</w:t>
      </w:r>
    </w:p>
    <w:p>
      <w:pPr>
        <w:spacing w:after="0" w:line="21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unpredictability of clinical trial results may result in our failing to obtain marketing authorizations for any product candidate we develop, which would significantly harm our business, results of operations and prospects. The lengthy approval process in many regions may cause delays in market access, particularly if regulatory authorities have a large number of objections to the initial applications for marketing authorization which need to be addressed.</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right="20"/>
        <w:spacing w:after="0" w:line="271" w:lineRule="auto"/>
        <w:rPr>
          <w:sz w:val="20"/>
          <w:szCs w:val="20"/>
          <w:color w:val="auto"/>
        </w:rPr>
      </w:pPr>
      <w:r>
        <w:rPr>
          <w:rFonts w:ascii="Arial" w:cs="Arial" w:eastAsia="Arial" w:hAnsi="Arial"/>
          <w:sz w:val="17"/>
          <w:szCs w:val="17"/>
          <w:color w:val="auto"/>
        </w:rPr>
        <w:t>We have conducted, and intend to conduct, clinical trials of certain of our product candidates outside the United States. Although the FDA may accept data from clinical trials conducted outside the United States, acceptance of these data are subject to certain conditions imposed by the FDA, including compliance with all applicable U.S. laws and regulations. For example, the clinical trial must be well designed and conducted and performed by qualified investigators in accordance with GCP, including review and approval by an independent ethics committee and informed consent from participants. The trial population must also adequately represent the U.S. population, and the data must be applicable to the U.S. population and U.S. medical practice in ways that the FDA deems clinically meaningful. In general, the participant population for any clinical trials conducted outside of the United States must be representative of the population for whom we intend to label the product in the United States. There can be no assurance the FDA will accept data from trials conducted outside of the United States.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FDA, the EMA and other comparable foreign regulatory authorities have substantial discretion in the approval process, and determining when or whether marketing authorization will be obtained for any product candidate that we develop. Even if we believe the data collected from future clinical trials of our product candidates are promising, such data may not be sufficient to support approval by the FDA, the EMA, MHRA or any other comparable foreign regulatory authorities.</w:t>
      </w:r>
    </w:p>
    <w:p>
      <w:pPr>
        <w:spacing w:after="0" w:line="18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Even if we were to obtain marketing authorization, regulatory authorities may approve any of our product candidates for fewer or more limited indications than we request, may not approve the price we intend to charge for our products, may grant approval conditional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 In addition, even if we obtain orphan drug exclusivity for any of our product candidates, such exclusivity may not protect us from competition.</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Similarly, in the EU, the European Commission grants designation after receiving the opinion of the Committee for Orphan Medicinal Products on a designation application. Orphan Drug Designation is intended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78"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ten years in the EU. The EU exclusivity period can be reduced to six years if a drug no longer meets the criteria for Orphan Drug Designation or if the drug is sufficiently profitable such that market exclusivity is no longer justified.</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line="269" w:lineRule="auto"/>
        <w:rPr>
          <w:sz w:val="20"/>
          <w:szCs w:val="20"/>
          <w:color w:val="auto"/>
        </w:rPr>
      </w:pPr>
      <w:r>
        <w:rPr>
          <w:rFonts w:ascii="Arial" w:cs="Arial" w:eastAsia="Arial" w:hAnsi="Arial"/>
          <w:sz w:val="17"/>
          <w:szCs w:val="17"/>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185" w:lineRule="exact"/>
        <w:rPr>
          <w:sz w:val="20"/>
          <w:szCs w:val="20"/>
          <w:color w:val="auto"/>
        </w:rPr>
      </w:pPr>
    </w:p>
    <w:p>
      <w:pPr>
        <w:ind w:right="800"/>
        <w:spacing w:after="0" w:line="381" w:lineRule="auto"/>
        <w:rPr>
          <w:sz w:val="20"/>
          <w:szCs w:val="20"/>
          <w:color w:val="auto"/>
        </w:rPr>
      </w:pPr>
      <w:r>
        <w:rPr>
          <w:rFonts w:ascii="Arial" w:cs="Arial" w:eastAsia="Arial" w:hAnsi="Arial"/>
          <w:sz w:val="15"/>
          <w:szCs w:val="15"/>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0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may seek Breakthrough Therapy designation for certain of our current and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by the FDA may also be eligible for other expedited approval programs, including accelerated approval.</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intend to seek Breakthrough Therapy designation for certain of our current and future product candidates for the treatment and prevention of infectious diseases and cancer, there can be no assurance that we will receive breakthrough therapy designation.</w:t>
      </w:r>
    </w:p>
    <w:p>
      <w:pPr>
        <w:spacing w:after="0" w:line="16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A Fast Track designation by the FDA, even if granted for certain of our current or future product candidates, may not lead to a faster development or regulatory review or approval process, and does not increase the likelihood that our product candidates will receive marketing approval.</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may seek Fast Track designation for certain of our current or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8" w:name="page59"/>
    <w:bookmarkEnd w:id="58"/>
    <w:p>
      <w:pPr>
        <w:ind w:right="420"/>
        <w:spacing w:after="0" w:line="381" w:lineRule="auto"/>
        <w:rPr>
          <w:sz w:val="20"/>
          <w:szCs w:val="20"/>
          <w:color w:val="auto"/>
        </w:rPr>
      </w:pPr>
      <w:r>
        <w:rPr>
          <w:rFonts w:ascii="Arial" w:cs="Arial" w:eastAsia="Arial" w:hAnsi="Arial"/>
          <w:sz w:val="15"/>
          <w:szCs w:val="15"/>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10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approved, our investigational products regulated as biologics may face competition from biosimilars approved through an abbreviated regulatory pathway.</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9" w:name="page60"/>
    <w:bookmarkEnd w:id="59"/>
    <w:p>
      <w:pPr>
        <w:ind w:right="220"/>
        <w:spacing w:after="0" w:line="263" w:lineRule="auto"/>
        <w:rPr>
          <w:sz w:val="20"/>
          <w:szCs w:val="20"/>
          <w:color w:val="auto"/>
        </w:rPr>
      </w:pPr>
      <w:r>
        <w:rPr>
          <w:rFonts w:ascii="Arial" w:cs="Arial" w:eastAsia="Arial" w:hAnsi="Arial"/>
          <w:sz w:val="18"/>
          <w:szCs w:val="18"/>
          <w:b w:val="1"/>
          <w:bCs w:val="1"/>
          <w:i w:val="1"/>
          <w:iCs w:val="1"/>
          <w:color w:val="auto"/>
        </w:rPr>
        <w:t>Even if we obtain FDA, EMA or MHRA approval for our current or future product candidates that we may identify and pursue in the United States, Europe or the United Kingdom, we may never obtain approval to commercialize any such product candidates outside of those jurisdictions, which would limit our ability to realize their full market potential.</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Obtaining and maintaining marketing authorization for our product candidates in one jurisdiction does not guarantee that we will be able to obtain or maintain marketing authorizations in any other jurisdiction, while a failure or delay in obtaining marketing authorization in one jurisdiction may have a negative effect on the approval process in others. In order to market any products outside of the United States, we must establish and comply with numerous and varying regulatory requirements of other countries regarding safety and effectiveness. Approval processes vary among countries and can involve additional product testing and validation and additional or different administrative review periods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Seeking foreign marketing authorization could result in difficulties and costs and require additional preclinical studies or clinical trials which could be costly and time-consuming. Regulatory requirements can vary widely from country to country and could delay or prevent the introduction of our current or future product candidates in those countries. The foreign marketing authorization process may include all of the risks associated with obtaining FDA, EMA or MHRA approval. We do not have any product candidates approved for sale in any jurisdiction, including international markets, and we do not have experience in obtaining marketing authorizations in international markets for our current or future product candidates. If we fail to comply with regulatory requirements in international markets or to obtain and maintain required approvals, or if marketing authorization in international markets is delayed, our target market will be reduced and our ability to realize the full market potential of our current or future product candidates will be harmed.</w:t>
      </w:r>
    </w:p>
    <w:p>
      <w:pPr>
        <w:spacing w:after="0" w:line="16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Future changes to tax laws could materially adversely affect our financial condition and results of operations, and reduce net returns to our shareholders.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conduct business globally and file income tax returns in multiple jurisdictions. The tax treatment of the company or any of the group companies could be materially adversely affected by several factors, including: changing tax laws, regulations and treaties, or the interpretation thereof; tax policy initiatives and reforms under consideration (such as those related to the Organization for Economic Co-Operation and Development’s Base Erosion and Profit Shifting Project, the European Commission’s state aid investigations and other initiatives); the practices of tax authorities in jurisdictions in which we operate;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w:t>
      </w:r>
    </w:p>
    <w:p>
      <w:pPr>
        <w:spacing w:after="0" w:line="16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0" w:name="page61"/>
    <w:bookmarkEnd w:id="60"/>
    <w:p>
      <w:pPr>
        <w:ind w:right="10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operate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 A tax authority may disagree with tax positions that we have taken, which could result in increased tax liabilities. For example, Her Majesty’s Revenue &amp; Customs, or HMRC,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There can be no assurance that a taxing authority will not have a different interpretation of applicable law and assess us with additional taxes.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 assessment, the implications could increase our anticipated effective tax rate, where applicable, or result in other liabilities. If we are assessed with additional taxes, this may result in a material adverse effect on our results of operations and/or financial condition.</w:t>
      </w:r>
    </w:p>
    <w:p>
      <w:pPr>
        <w:spacing w:after="0" w:line="1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unable to use net operating loss and tax credit carryforwards and certain built-in losses or tax credits to reduce future tax payments or to benefit from favorable UK tax legislation.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UK incorporated and tax resident entity, we are subject to UK corporate taxation. Due to the nature of our business, we have generated losses since inception and therefore have not paid any UK corporation tax. As of December 31, 2020, we had cumulative carryforward tax losses of approximately $23.2 million. Subject to any relevant criteria and restrictions (including those that limit the percentage of profits that can be reduced by carried forward losses and those that can restrict the use of carried forward losses where there is a change of ownership of more than half of our ordinary shares and a major change in the nature, conduct or scale of the trade), we expect these to be eligible for carry forward and utilization against future operating profits. The use of loss carryforwards in relation to UK profits incurred on or after April 1, 2017 is generally limited each year to £5.0 million plus an incremental 50% of UK taxable profits. In addition, if we were to have a major change in the nature of the conduct of our trade, loss carryforwards may be restricted or extinguished.</w:t>
      </w:r>
    </w:p>
    <w:p>
      <w:pPr>
        <w:spacing w:after="0" w:line="19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a company that carries out extensive research and development activities, we seek to benefit from the UK research and development tax relief programs, being the Small and Medium-sized Enterprises R&amp;D tax relief program, or SME Program, and, to the extent that our projects are grant funded or relate to work subcontracted to us by third parties, the Research and Development Expenditure Credit program. Under the SME Program, where available, we may be able to surrender some of our trading losses that arise from our qualifying research and development activities for cash or carry forward such losses for potential offset against future profits (subject to relevant restrictions). The majority of our research, clinical trials management and manufacturing development activities are eligible for inclusion within these tax credit cash rebate claims. Our eligibility to claim payable research and development tax credits may be limited or eliminated because we may no longer qualify as a small or medium-sized company. In addition, proposed changes to the SME Program are contained in draft legislation currently before the U.K. Parliament which, if enacted, will come into force with effect from April 2021 and could in some cases cap claims under the SME Program to a multiple of payroll taxes (broadly, to a maximum payable credit equal to £20,000 plus three times the total PAYE and NICs liability of the company). This cap may limit the value we can claim.</w:t>
      </w:r>
    </w:p>
    <w:p>
      <w:pPr>
        <w:spacing w:after="0" w:line="16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may benefit in the future from the UK’s “patent box” regime, which allows certain profits attributable to revenue from patented products (and other qualifying income) to be taxed at an effective rate of 10% by giving an additional tax deduction. When taken in combination with the enhanced relief available on our research and development expenditures, we expect a long-term rate of corporation tax lower than the statutory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Ongoing Regulatory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Even if we receive marketing authorization for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marketing authorizations that we receive for our product candidates will require surveillance to monitor the safety and efficacy of the product candidate. The FDA may also require a risk evaluation and mitigation strategy, or REMS, and the EMA may also require additional rapid microbiological method approvals or educational materials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good laboratory practice regulations and 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68" w:lineRule="exact"/>
        <w:rPr>
          <w:sz w:val="20"/>
          <w:szCs w:val="20"/>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refusal by the FDA to approve pending applications or supplements to approved applications filed by us or suspension or revocation of approvals;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criminal, or administrative penalties.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authorization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authorities actively enforce the laws and regulations prohibiting the promotion of off-label uses.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any of our product candidates are approved and we are found to have improperly promoted off-label uses of those products, we may become subject to significant liability. The FDA and other regulatory authorities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authorities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CMS,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66" w:lineRule="exact"/>
        <w:rPr>
          <w:sz w:val="20"/>
          <w:szCs w:val="20"/>
          <w:color w:val="auto"/>
        </w:rPr>
      </w:pPr>
    </w:p>
    <w:p>
      <w:pPr>
        <w:ind w:left="120" w:hanging="112"/>
        <w:spacing w:after="0"/>
        <w:tabs>
          <w:tab w:leader="none" w:pos="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120" w:hanging="112"/>
        <w:spacing w:after="0"/>
        <w:tabs>
          <w:tab w:leader="none" w:pos="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material adverse effect on our business and results of operations.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applicable laws, rules, and regulations or the interpretation of existing laws, rules, and regulations could impact our business in the future by requiring, for example: (i) changes to our manufacturing arrangements;</w:t>
      </w:r>
    </w:p>
    <w:p>
      <w:pPr>
        <w:spacing w:after="0" w:line="1" w:lineRule="exact"/>
        <w:rPr>
          <w:sz w:val="20"/>
          <w:szCs w:val="20"/>
          <w:color w:val="auto"/>
        </w:rPr>
      </w:pPr>
    </w:p>
    <w:p>
      <w:pPr>
        <w:ind w:right="20" w:firstLine="8"/>
        <w:spacing w:after="0" w:line="260" w:lineRule="auto"/>
        <w:tabs>
          <w:tab w:leader="none" w:pos="2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or modifications to product labeling; (iii) the recall or discontinuation of our products; or (iv) additional record-keeping requirements. If any such changes were to be imposed, they could adversely affect the operation of our business.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United States pharmaceutical industry. The ACA, among other things: (i) established an annual, nondeductible fee on any entity that manufactures or imports certain specified branded prescription drugs and biologic agents apportioned among these entities according to their market share in some government healthcare programs; (ii) expanded the entities eligible for discounts under the 340B drug pricing program; (iii) increased the statutory minimum rebates a manufacturer must pay under the Medicaid Drug Rebate Program to 23.1% and 13% of the average manufacturer price, or AMP, for most branded and generic drugs, respectively, and capped the total rebate amount for innovator drugs at 100% of the AMP; (iv) expanded the eligibility criteria for Medicaid programs by, among other things, allowing states to offer Medicaid coverage to additional individuals and by adding new eligibility categories for individuals with income at or below 133% (as calculated, it constitutes 138%) of the federal poverty level, thereby potentially increasing manufacturers’ Medicaid rebate liability; (v) addressed a new methodology by which rebates owed by manufacturers under the Medicaid Drug Rebate Program are calculated for certain drugs and biologics that are inhaled, infused, instilled, implanted or injected; (vi) introduced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(increased from 50%, effective January 1, 2019, pursuant to the Bipartisan Budget Act of 2018); (vii) created a Patient-Centered Outcomes Research Institute to oversee, identify priorities in, and conduct comparative clinical effectiveness research, along with funding for such research; and (viii) established the Center for Medicare and Medicaid Innovation at the Centers for Medicare &amp; Medicaid Services, or CMS, to test innovative payment and service delivery models to lower Medicare and Medicaid spending, potentially including prescription drugs.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spacing w:after="0" w:line="268" w:lineRule="auto"/>
        <w:rPr>
          <w:sz w:val="20"/>
          <w:szCs w:val="20"/>
          <w:color w:val="auto"/>
        </w:rPr>
      </w:pPr>
      <w:r>
        <w:rPr>
          <w:rFonts w:ascii="Arial" w:cs="Arial" w:eastAsia="Arial" w:hAnsi="Arial"/>
          <w:sz w:val="17"/>
          <w:szCs w:val="17"/>
          <w:color w:val="auto"/>
        </w:rPr>
        <w:t>There remain judicial and Congressional challenges to certain aspects of the ACA. While Congress has not passed comprehensive repeal legislation to date, several bills affecting the implementation of certain taxes under the ACA have been signed into law. The Tax Cuts and Jobs Act of 2017, or Tax Act, includes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The Bipartisan Budget Act of 2018, or the BBA, among other things, amended the ACA, effective January 1, 2019, to close the coverage gap in most Medicare drug plans, commonly referred to as the “donut hole.” In December 2018, CMS published a new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a Texas United States District Court Judge ruled that the ACA is unconstitutional in its entirety because the “individual mandate” was repealed by Congress as part of the Tax Act. Additionally, on December 18, 2019, the United States Court of Appeals for the 5th Circuit upheld the District Court ruling that the individual mandate was unconstitutional and remanded the case back to the District Court to determine whether the remaining provisions of the ACA are invalid as well.</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 2020, the United States Supreme Court granted the petitions for writs of certiorari to review this case, and oral arguments occurred on November 10, 2020. It is unclear how such litigation and other efforts to repeal and replace the ACA will impact the ACA and our business, financial condition and results of operations.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legislative changes have been proposed and adopted since the ACA was enacted. These changes include aggregate reductions to Medicare payments to providers of 2% per fiscal year pursuant to the Budget Control Act of 2011, which began in 2013, resulted in aggregate reductions of Medicare payments to providers of 2% per fiscal year, which went into effect in April 2013. The Coronavirus Aid, Relief and Economic Security Act, or CARES Act, which was signed into law in March 2020 and was designed to provide financial support and resources to individuals and businesses affected by the COVID-19 pandemic, suspended the 2% reductions from May 1, 2020 through December 31, 2020, and extended the sequester by one year, through 2030. The Consolidated Appropriations Act of 2021, extended the suspension period to March 31, 2021. An Act to Prevent Across-the-Board Direct Spending Cuts, and for Other Purposes, signed into law on April 14, 2021, has extended the suspension period to December 31, 2021. The American Taxpayer Relief Act of 2012, among other things, further reduced Medicare payments to several providers, including hospitals, imaging centers and cancer treatment centers, and increased the statute of limitations period for the government to recover overpayments to providers from three to five years. These laws and similar future legislative initiatives may result in additional reductions in Medicare and other healthcare funding, which could have an adverse effect on customers for our product candidates, if approved, and, accordingly, our financial operations.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spacing w:after="0" w:line="283" w:lineRule="auto"/>
        <w:rPr>
          <w:sz w:val="20"/>
          <w:szCs w:val="20"/>
          <w:color w:val="auto"/>
        </w:rPr>
      </w:pPr>
      <w:r>
        <w:rPr>
          <w:rFonts w:ascii="Arial" w:cs="Arial" w:eastAsia="Arial" w:hAnsi="Arial"/>
          <w:sz w:val="16"/>
          <w:szCs w:val="16"/>
          <w:color w:val="auto"/>
        </w:rPr>
        <w:t>The former Trump administration’s budget proposal for fiscal year 2021 included a $135 billion allowance to support legislative proposals seeking to reduce drug prices, increase competition, lower out-of-pocket drug costs for patients, and increase patient access to lower-cost generic and biosimilar drugs. On March 10, 2020, the former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former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In 2020, former President Trump announced several executive orders related to prescription drug pricing that seek to implement several of the administration's proposals.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in response to a lawsuit filed by several industry groups, on December 28,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 While some of these and other measures may require additional authorization to become effective, and some of these measures may be reversed or withdrawn by a new presidential administration, Congress and President Joseph Biden have indicated that they will continue to seek new legislative and/or administrative measures to control drug costs.</w:t>
      </w:r>
    </w:p>
    <w:p>
      <w:pPr>
        <w:spacing w:after="0" w:line="4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product candidate.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and could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activities will be subject to the Foreign Corrupt Practices Act, or FCPA, and similar anti-bribery and anti-corruption laws in other jurisdictions.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we engage in and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Securities and Exchange Commission, or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authorities,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spacing w:after="0" w:line="287" w:lineRule="auto"/>
        <w:rPr>
          <w:sz w:val="20"/>
          <w:szCs w:val="20"/>
          <w:color w:val="auto"/>
        </w:rPr>
      </w:pPr>
      <w:r>
        <w:rPr>
          <w:rFonts w:ascii="Arial" w:cs="Arial" w:eastAsia="Arial" w:hAnsi="Arial"/>
          <w:sz w:val="16"/>
          <w:szCs w:val="16"/>
          <w:color w:val="auto"/>
        </w:rPr>
        <w:t>Since March 2020 when foreign and domestic inspections of facilities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As of May 2021, certain inspections, such as foreign preapproval, surveillance, and for-cause inspections that are not deemed mission-critical, remain temporarily postponed.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the application until an inspection can be completed. In 2020 and 2021,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principal investigators, healthcare providers, including physicians, consultants, third-party payors and customers may be subject, directly or indirectly, to U.S. federal and state, as well as foreign,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U.S. federal and state fraud and abuse laws and other healthcare laws, including, without limitation, the federal Anti-Kickback Statute, or AKS, the federal civil and criminal false claims laws, and the law commonly referred to as the Physician Payments Sunshine Act, or Sunshine Act, along with regulations promulgated under such laws. These laws impact, among other things, our clinical research activities, proposed sales, marketing and educational programs, and other arrangements and relationships with third-party payors, healthcare professionals, and other parties through which we market, sell and distribute our product candidates for which we obtain marketing approval. In addition, we may be subject to patient data privacy and security regulation by both the U.S. federal government and the states in which we conduct our business, along with foreign regulators (including European data protection authorities). The laws that will affect our operations include, but are not limited to, the following:</w:t>
      </w:r>
    </w:p>
    <w:p>
      <w:pPr>
        <w:spacing w:after="0" w:line="185" w:lineRule="exact"/>
        <w:rPr>
          <w:sz w:val="20"/>
          <w:szCs w:val="20"/>
          <w:color w:val="auto"/>
        </w:rPr>
      </w:pPr>
    </w:p>
    <w:p>
      <w:pPr>
        <w:jc w:val="both"/>
        <w:ind w:left="340" w:hanging="332"/>
        <w:spacing w:after="0" w:line="285"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federal AKS, which prohibits, among other things, persons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A person does not need to have actual knowledge of the statute or specific intent to violate it in order to have committed a violation. Violations may result in significant civil, criminal, and administrative fines and penalties for each violation, plus up to three times the remuneration involved, imprisonment, and exclusion from government healthcare programs. In addition, the government may assert that a claim that includes items or services resulting from a violation of the federal AKS constitutes a false or fraudulent claim for purposes of the civil False Claims Act, or FCA. The definition of “remuneration” under the federal AKS has been broadly interpreted to include anything of value. Further, courts have found that if “one purpose” of the remuneration is to induce or reward referrals, the federal AKS is violated.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On December 2, 2020, the Office of Inspector General, or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 Implementation of this change and new safe harbors for point-of-sale reductions in price for prescription pharmaceutical products and pharmacy benefit manager service fees are currently under review by the Biden administration and may be amended or repealed. We continue to evaluate what effect, if any, the rule will have on our business;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left="340" w:hanging="332"/>
        <w:spacing w:after="0" w:line="269"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without limitation, the FCA, which prohibits individuals or entities from, among other things,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U.S.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spacing w:after="0" w:line="178" w:lineRule="exact"/>
        <w:rPr>
          <w:rFonts w:ascii="Arial" w:cs="Arial" w:eastAsia="Arial" w:hAnsi="Arial"/>
          <w:sz w:val="17"/>
          <w:szCs w:val="17"/>
          <w:color w:val="auto"/>
        </w:rPr>
      </w:pPr>
    </w:p>
    <w:p>
      <w:pPr>
        <w:jc w:val="both"/>
        <w:ind w:left="340" w:hanging="332"/>
        <w:spacing w:after="0" w:line="25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(i.e., public or private), and knowingly and willfully falsifying, concealing or covering up by any trick or device a material fact or making any materially false, fictitious, or fraudulent statements, in connection with the delivery of, or payment for, healthcare benefits, items or services. Similar to the federal AKS, a person can be found guilty of violating HIPAA without actual knowledge of the statute or specific intent to violate it;</w:t>
      </w:r>
    </w:p>
    <w:p>
      <w:pPr>
        <w:spacing w:after="0" w:line="194"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perform certain services for or on behalf of covered entities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177"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170"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federal Sunshine Act, and its implementing regulations, which requires certain manufacturers of drugs, medical devices, biologics and medical supplies that are reimbursable under Medicare, Medicaid, or the Children’s Health Insurance Program to report annually to the CMS information related to certain payments and other transfers of value to physicians (defined to include doctors of medicine or osteopathy, dentists, optometrists, podiatrists, and chiropractors) and teaching hospitals, as well as ownership and investment interests held by physicians and their immediate family members. Effective January 1, 2022, these reporting obligations will extend to include transfers of value made during the previous year to certain non-physician providers such as physician assistants and nurse practitioners; and</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left="340" w:hanging="332"/>
        <w:spacing w:after="0" w:line="291"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analogous state and foreign laws and regulations, including the following: state anti-kickback and false claims laws, which may be broader in scope than their federal equivalents; state laws that require pharmaceutical companies to comply with the pharmaceutical industry’s voluntary compliance guidelines and the relevant compliance guidance promulgated by the U.S. federal government, or that otherwise restrict payments that may be made to healthcare providers and other potential referral sources; state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our business activities could be subject to challenge under one or more of such laws. Even if precautions are taken,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individual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If any of the physicians or other healthcare providers or entities with whom we expect to do business is found not to be in compliance with applicable laws, that person may be subject to significant criminal, civil or administrative sanctions, including exclusions from government funded healthcare programs. Prohibitions or restrictions on sales or withdrawal of future marketed products could materially affect business in an adverse way.</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applicable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collaborators, CROs or CMOs, principal investigators, suppliers and vendors may engage in fraudulent conduct or other illegal activity. Misconduct by these parties could include intentional, reckless and negligent conduct that fails to: comply with the regulations of the FDA and other comparable foreign regulatory bodies, provide true, complete and accurate information to the FDA and other comparable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and regulations will increase significantly, and our costs associated with compliance with such laws and regulations are also likely to increase.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Misconduct by persons acting on our behalf could also involve the improper use of individually identifiable information, including, without limitation, information obtained in the course of clinical trials, which could result in regulatory sanctions and serious harm to our reputation.</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spacing w:after="0" w:line="254" w:lineRule="auto"/>
        <w:rPr>
          <w:sz w:val="20"/>
          <w:szCs w:val="20"/>
          <w:color w:val="auto"/>
        </w:rPr>
      </w:pPr>
      <w:r>
        <w:rPr>
          <w:rFonts w:ascii="Arial" w:cs="Arial" w:eastAsia="Arial" w:hAnsi="Arial"/>
          <w:sz w:val="18"/>
          <w:szCs w:val="18"/>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Failure to comply with current or future national, supranational, federal or state laws and regulations, regulatory guidance and industry standards relating to data protection, privacy and information security, including restrictive European regulations, could lead to government enforcement actions (which could include civil or criminal penalties), private litigation, and/or adverse publicity and could negatively affect our operating results and business.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and our collaborators and third-party providers are subject to national, supranational, federal or state laws and regulations, regulatory guidance and industry standards relating to data protection, privacy and information security. This includes the EU General Data Protection Regulation, or GDPR, as well as other national data protection legislation in force in relevant EU member states (including the GDPR in such form as incorporated into the law of England and Wales, Scotland and Northern Ireland by virtue of the European Union (Withdrawal) Act 2018 and any regulations thereunder and the UK Data Protection Act 2018, or UK GDPR, which governs the collection, use, storage, disclosure, transfer, or other processing of personal data (including health data processed in the context of clinical trials) (i) regarding individuals in the EU, and/or (ii) carried out in the context of the activities of our establishment in any EU member state. Following the UK’s withdrawal from the EU on January 31, 2020, pursuant to the transitional arrangements agreed between the UK and the EU, the GDPR continued to have effect in English law, in the same fashion as was the case prior to that withdrawal as if the UK remained an EU member state for such purposes.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spacing w:after="0" w:line="269" w:lineRule="auto"/>
        <w:rPr>
          <w:sz w:val="20"/>
          <w:szCs w:val="20"/>
          <w:color w:val="auto"/>
        </w:rPr>
      </w:pPr>
      <w:r>
        <w:rPr>
          <w:rFonts w:ascii="Arial" w:cs="Arial" w:eastAsia="Arial" w:hAnsi="Arial"/>
          <w:sz w:val="17"/>
          <w:szCs w:val="17"/>
          <w:color w:val="auto"/>
        </w:rPr>
        <w:t>The GDPR and UK GDPR are wide-ranging in scope and impose numerous additional requirements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creating mandatory data breach notification requirements in certain circumstances, requiring data protection impact assessments for high risk processing and requiring that certain measures (including contractual requirements) are put in place when engaging third-party processors. The GDPR and the UK GDPR also provide individuals with various rights in respect of their personal data, including rights of access, erasure, portability, rectification, restriction and objection. The GDPR and UK GDPR define personal data to include pseudonymized or coded data and requires different informed consent practices and more detailed notices for clinical trial participants and investigators than applies to clinical trials conducted in the United States. We are required to apply GDPR and UK GDPR standards to any clinical trials that our EU and UK established businesses carry out anywhere in the world.</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GDPR and UK GDPR impose strict rules on the transfer of personal data to countries outside the European Economic Area, or EEA, the UK and Switzerland, including the United States. The UK and Switzerland have adopted similar restrictions. Pursuant to the Trade and Cooperation Agreement, which went into effect on January 1, 2021, the UK and the EU agreed to a specified period during which the UK will be treated like an EU member state in relation to transfers of personal data to the UK for four months from January 1, 2021. This period may be extended by two further months. Unless the European Commission makes an adequacy finding in respect of the UK before the expiration of such specified period, the UK will become an inadequate third country under the GDPR and transfers of data from the European Economic Area to the UK will require a transfer mechanism, such as the standard contractual clauses. We may be required to change our business practices, including how we store and transfer personal data, and put in place additional compliance mechanisms, and we may incur increased costs, as a result of this development.</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GDPR and UK GDPR may increase our responsibility and liability in relation to personal data that we process where such processing is subject to the GDPR and UK GDPR. While we have taken steps to comply with the GDPR and UK GDPR, and implementing legislation in applicable EU member states and the UK, including by seeking to establish appropriate lawful bases for the various processing activities we carry out as a controller or joint controller, reviewing our security procedures and those of our vendors and collaborators, and entering into data processing agreements with relevant vendors and collaborators, we cannot be certain that our efforts to achieve and remain in compliance have been, and/or will continue to be, fully successful. Given the breadth and depth of changes in data protection obligations, preparing for and complying with the GDPR and UK GDPR and similar laws’ requirements are rigorous and time intensive and require significant resources and a review of our technologies, systems and practices, as well as those of any third-party collaborators, service providers, contractors or consultants that process or transfer personal data.</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FTCA), that govern the collection, use, disclosure and protection of health-related and other personal information could apply to our operations or the operations of our collaborators and third-party providers. For example, California recently enacted the California Consumer Privacy Act, or the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US states are constantly amending existing laws, requiring attention to frequently changing regulatory requirements. At this time, we do not collect personal data on residents of California but should we begin to do so, the CCPA will impose new and burdensome privacy compliance obligations on our business and will raise new risks for potential fines and class actions.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72" w:name="page73"/>
    <w:bookmarkEnd w:id="72"/>
    <w:p>
      <w:pPr>
        <w:ind w:right="100"/>
        <w:spacing w:after="0" w:line="255" w:lineRule="auto"/>
        <w:rPr>
          <w:sz w:val="20"/>
          <w:szCs w:val="20"/>
          <w:color w:val="auto"/>
        </w:rPr>
      </w:pPr>
      <w:r>
        <w:rPr>
          <w:rFonts w:ascii="Arial" w:cs="Arial" w:eastAsia="Arial" w:hAnsi="Arial"/>
          <w:sz w:val="18"/>
          <w:szCs w:val="18"/>
          <w:color w:val="auto"/>
        </w:rPr>
        <w:t xml:space="preserve">Many jurisdictions have adopted legislation that regulates how businesses operate online and enforces information security, including measures relating to privacy, data security and data breaches. Laws in the EEA, UK and Switzerland require businesses to notify data breaches to the regulators (when the data breach represents a </w:t>
      </w:r>
      <w:r>
        <w:rPr>
          <w:rFonts w:ascii="Arial" w:cs="Arial" w:eastAsia="Arial" w:hAnsi="Arial"/>
          <w:sz w:val="18"/>
          <w:szCs w:val="18"/>
          <w:i w:val="1"/>
          <w:iCs w:val="1"/>
          <w:color w:val="auto"/>
        </w:rPr>
        <w:t>risk</w:t>
      </w:r>
      <w:r>
        <w:rPr>
          <w:rFonts w:ascii="Arial" w:cs="Arial" w:eastAsia="Arial" w:hAnsi="Arial"/>
          <w:sz w:val="18"/>
          <w:szCs w:val="18"/>
          <w:color w:val="auto"/>
        </w:rPr>
        <w:t xml:space="preserve"> to the rights and freedoms of individuals) and data participants (when the data breach represents a </w:t>
      </w:r>
      <w:r>
        <w:rPr>
          <w:rFonts w:ascii="Arial" w:cs="Arial" w:eastAsia="Arial" w:hAnsi="Arial"/>
          <w:sz w:val="18"/>
          <w:szCs w:val="18"/>
          <w:i w:val="1"/>
          <w:iCs w:val="1"/>
          <w:color w:val="auto"/>
        </w:rPr>
        <w:t>high risk</w:t>
      </w:r>
      <w:r>
        <w:rPr>
          <w:rFonts w:ascii="Arial" w:cs="Arial" w:eastAsia="Arial" w:hAnsi="Arial"/>
          <w:sz w:val="18"/>
          <w:szCs w:val="18"/>
          <w:color w:val="auto"/>
        </w:rPr>
        <w:t xml:space="preserve"> to the rights and freedoms of individuals). Meanwhile, in the United States, all 50 states of the United States require businesses to provide notice to customers whose personal data has been disclosed as a result of a data breach. These laws are not consistent, and compliance in the event of a widespread data breach is costly.</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many jurisdictions, enforcement actions and consequences for non-compliance with protection, privacy and information security laws and regulations are rising. In the EU and the UK, data protection authorities may impose large penalties for violations of the data protection laws, including potential fines of up to €20 million (£17.5 million in the UK) or 4% of annual global revenue, whichever is greater. The authorities have shown a willingness to impose significant fines and issue orders preventing the processing of personal data on non-compliant businesses. Data participants also have a private right of action, as do consumer associations, to lodge complaints with supervisory authorities, seek judicial remedies, and obtain compensation for damages resulting from violations of applicable data protection laws. In the United States, possible consequences for non-compliance include enforcement actions in response to rules and regulations promulgated under the authority of federal agencies and state attorneys general and legislatures and consumer protection agencies.</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that may legally or contractually apply to us. If we fail to follow these security standards, even if no customer information is compromised, we may incur significant fines or experience a significant increase in costs.</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applicable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Compliance with data protection laws and regulations could require us to take on more onerous obligations in our contracts, restrict our ability to collect, use and disclose data, or in some cases, impact our ability to operate in certain jurisdictions. It could also require us to change our business practices and put in place additional compliance mechanisms, may interrupt or delay our development, regulatory and commercialization activities and increase our cost of doing business. Failure by us or our collaborators and third-party providers to comply with data protection laws and regulations could result in government enforcement actions (which could include civil or criminal penalties and orders preventing us from processing personal data), private litigation and result in significant fines and penalties against us. Moreover, clinical trial participants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product candidates. We seek to protect our proprietary position by in-licensing intellectual property relating to our platform technology and filing patent applications relating to our technologies that are important to our business. If we or our licensors are unable to obtain or maintain patent protection with respect to our product candidates, our competitive position, business, financial conditions, results of operations, and prospects could be materially harmed. We do not own any issued patents with respect to our product candidates and rely primarily on in-licensed patents and patent applications. We can provide no assurance that any of our current or future patent applications will result in issued patents or that any issued patents will provide us with any competitive advantage. Failure to obtain issued patents could have a material adverse effect on our ability to develop and commercialize our product candidates.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In addition, it is uncertain whether the World Trade Organization, or WTO, will waive certain intellectual property protections now or in the future on certain technologies. It is unknown if such a waiver would be limited to patents, or would include other forms of intellectual property including trade secrets and confidential know-how. We cannot be certain that any of our current or future product candidates or technologies would not be subject to an intellectual property waiver by the WTO. We also cannot be certain that any of our current or future intellectual property rights, whether patents, trade secrets, or confidential know-how would be eliminated, narrowed, or weakened by such a waiver. Given the uncertain future actions by the WTO and other countries and jurisdictions around the world, including the United States, it is unpredictable how our current or future intellectual property rights or how our current or future business would be impacted. With respect to both our in-licensed and owned intellectual property, we cannot predict whether the patent applications that we and our licensors are currently pursuing or that we may pursue in the future will issue as patents in any particular jurisdiction or whether the claims of any issued patents will provide sufficient protection from competitors.</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patent prosecution process is expensive, time-consuming, and complex, and we and our licensors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66"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may be challenged in the courts or patent offices in the United States and abroad. We or our licensors may become subject to a third party pre-issuance submission of prior art to the United States Patent and Trademark Office, or the USPTO, or opposition, derivation, revocation, reexamination, post-grant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and other similar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4" w:name="page75"/>
    <w:bookmarkEnd w:id="74"/>
    <w:p>
      <w:pPr>
        <w:ind w:right="40"/>
        <w:spacing w:after="0" w:line="263"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 third parties or otherwise experience disruptions to our business relationships with our licensors, we could lose license rights that are important to our business.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heavily reliant upon licenses to certain patent rights and proprietary technology from third parties that are important or necessary to the development of our product candidates. These and other future agreements impose, and may continue to impose, numerous obligations, such as development, diligence, payment, commercialization, funding, milestone, royalty, sublicensing, insurance, patent prosecution and enforcement obligations on us and may require us to meet development timelines, or to exercise commercially reasonable efforts to develop and commercialize licensed products, in order to maintain the licenses. In spite of our best efforts, our current and future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9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we may not have the right to control the preparation, filing, prosecution, maintenance, enforcement, and defense of patents and patent applications covering the technology that we license from third parties. For example, we do not control the preparation, filing, prosecution or maintenance of patents in-licensed from OUI.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Any termination of these licenses, or any failure of the underlying patents to provide the intended exclusivity, could result in the loss of significant rights and could harm our ability to commercialize our product candidates, and competitors or other third parties would have the freedom to seek marketing authorization for,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us and our current and future licensors regarding intellectual property subject to a license agreement, including:</w:t>
      </w:r>
    </w:p>
    <w:p>
      <w:pPr>
        <w:spacing w:after="0" w:line="22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17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 and the amount of fees payable as a result of sublicensing arrangements;</w:t>
      </w:r>
    </w:p>
    <w:p>
      <w:pPr>
        <w:spacing w:after="0" w:line="170"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current or future licensors and/or us and/or our partners.</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5" w:name="page76"/>
    <w:bookmarkEnd w:id="75"/>
    <w:p>
      <w:pPr>
        <w:spacing w:after="0" w:line="272"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acceptable terms, we may be unable to successfully develop and commercialize the affected product candidates, which could have a material adverse effect on our business, financial conditions, results of operations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other elements of our product discovery and development processes.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has had access to our trade secrets or proprietary information.</w:t>
      </w:r>
    </w:p>
    <w:p>
      <w:pPr>
        <w:spacing w:after="0" w:line="16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Moreover, any of these parties might breach the agreements and intentionally or inadvertently disclose our trade secret information and we may not be able to obtain adequate remedies for such breaches. In addition, competitors and other third parties may otherwise gain access to our trade secrets or independently develop substantially equivalent information and techniques.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prospects.</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and could have a material adverse effect on our business, financial conditions,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right="20"/>
        <w:spacing w:after="0" w:line="286" w:lineRule="auto"/>
        <w:rPr>
          <w:sz w:val="20"/>
          <w:szCs w:val="20"/>
          <w:color w:val="auto"/>
        </w:rPr>
      </w:pPr>
      <w:r>
        <w:rPr>
          <w:rFonts w:ascii="Arial" w:cs="Arial" w:eastAsia="Arial" w:hAnsi="Arial"/>
          <w:sz w:val="17"/>
          <w:szCs w:val="17"/>
          <w:b w:val="1"/>
          <w:bCs w:val="1"/>
          <w:i w:val="1"/>
          <w:iCs w:val="1"/>
          <w:color w:val="auto"/>
        </w:rPr>
        <w:t>The intellectual property landscape around immunotherapeutics and viral-vector based vaccines is crowded and dynamic, and third parties may initiate legal proceedings alleging that we are infringing, misappropriating or otherwise violating their intellectual property rights and such claims may be costly and time-consuming and may prevent or delay our product discovery and development efforts.</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 intellectual property landscape around immunotherapeutics and viral-vector based vaccines is crowded and dynamic,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post-grant review proceedings before the USPTO or oppositions and other comparable proceedings in foreign jurisdictions. We or any of our licensors or strategic partners may be party to, exposed to, or threatened with,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including our competitors,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viral vectors and vaccines or their methods of use or manufacture. Thus, because of the large number of patents issued and patent applications filed in our fields, there may be a risk that third parties may allege they have patent rights encompassing our product candidates, technologies or methods. For example, we are aware of third-party patents in the United States with claims which may be relevant to our VTP-300 product candidate. In the event that these patents were asserted against us in an infringement action, we may have to argue that the manufacture, use, sale or importation of our VTP-300 product candidate in the United States does not infringe any valid claim of the asserted patents. There is no assurance that a court would find in our favor on questions of infringement or validity.</w:t>
      </w:r>
    </w:p>
    <w:p>
      <w:pPr>
        <w:spacing w:after="0" w:line="182"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If a third party (including any third party that controls the above referenced patents) claims that we infringe, misappropriate or otherwise violate its intellectual property rights (including the above referenced patents), we may face a number of risks, including, but not limited to:</w:t>
      </w:r>
    </w:p>
    <w:p>
      <w:pPr>
        <w:spacing w:after="0" w:line="146" w:lineRule="exact"/>
        <w:rPr>
          <w:sz w:val="20"/>
          <w:szCs w:val="20"/>
          <w:color w:val="auto"/>
        </w:rPr>
      </w:pPr>
    </w:p>
    <w:p>
      <w:pPr>
        <w:ind w:left="340" w:right="6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170" w:lineRule="exact"/>
        <w:rPr>
          <w:rFonts w:ascii="Arial" w:cs="Arial" w:eastAsia="Arial" w:hAnsi="Arial"/>
          <w:sz w:val="18"/>
          <w:szCs w:val="18"/>
          <w:color w:val="auto"/>
        </w:rPr>
      </w:pPr>
    </w:p>
    <w:p>
      <w:pPr>
        <w:jc w:val="both"/>
        <w:ind w:left="340" w:right="14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83" w:lineRule="exact"/>
        <w:rPr>
          <w:rFonts w:ascii="Arial" w:cs="Arial" w:eastAsia="Arial" w:hAnsi="Arial"/>
          <w:sz w:val="18"/>
          <w:szCs w:val="18"/>
          <w:color w:val="auto"/>
        </w:rPr>
      </w:pPr>
    </w:p>
    <w:p>
      <w:pPr>
        <w:ind w:left="340" w:right="4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spacing w:after="0" w:line="146" w:lineRule="exact"/>
        <w:rPr>
          <w:rFonts w:ascii="Arial" w:cs="Arial" w:eastAsia="Arial" w:hAnsi="Arial"/>
          <w:sz w:val="17"/>
          <w:szCs w:val="17"/>
          <w:color w:val="auto"/>
        </w:rPr>
      </w:pPr>
    </w:p>
    <w:p>
      <w:pPr>
        <w:ind w:left="340" w:right="26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183"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redesigning our product candidates or processes so they do not infringe, misappropriate or violate third party intellectual property rights, which may not be possible or may require substantial monetary expenditures and time; and</w:t>
      </w:r>
    </w:p>
    <w:p>
      <w:pPr>
        <w:spacing w:after="0" w:line="170"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our share price.</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7" w:name="page78"/>
    <w:bookmarkEnd w:id="77"/>
    <w:p>
      <w:pPr>
        <w:ind w:right="40"/>
        <w:spacing w:after="0" w:line="257"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of matter, methods of manufacture or methods for treatment related to our product candidates, their manufacture or use.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product candidates, process for their manufacture or methods of use, including combination therapies or participant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 applications or any patents we in-license or may own in the future is threatened, it could dissuade companies from collaborating with us to license, develop or commercialize current or future product candidates.</w:t>
      </w:r>
    </w:p>
    <w:p>
      <w:pPr>
        <w:spacing w:after="0" w:line="39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 candidates. In that event, we would be unable to further develop and commercialize our product candidates, which could harm our business significantly.</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8" w:name="page79"/>
    <w:bookmarkEnd w:id="78"/>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currently have rights to intellectual property, through licenses from third parties, to develop and commercialize our product candidates. Many pharmaceutical companies, biotechnology companies, and academic institutions are competing with us in the field of infectious disease and oncology and filing patent applications potentially relevant to our business. Because our current and future product candidates may require the use of proprietary rights held by third parties, the growth of our business will likely depend in part on our ability to acquire, in-license or use these proprietary rights.</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product candidates may also require particular vector components or gene sequences encoding antigenic peptides to work effectively and efficiently and these rights may be held by others. Similarly, efficient production, delivery or use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We may be required to expend significant time and resources to develop or license replacement technology. Moreover, the molecules that will be used with our product candidates may be covered by the intellectual property rights of others.</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and allowing third parties to compete with us.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9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that we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9" w:name="page80"/>
    <w:bookmarkEnd w:id="79"/>
    <w:p>
      <w:pPr>
        <w:ind w:right="4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intellectual property rights, including any patents we may own or in-license in the future, which could be expensive, time-consuming and unsuccessful.</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Competitors may infringe any patents we in-license or may own in the future. In addition, any patents we may in-license or own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in-license or own in the future is not valid or is unenforceable or that the other party’s use of our technology falls under the safe harbor to patent infringement under 35 U.S.C. §271(e)(1). There is also the risk that, even if the validity of these patents is upheld, the court may refuse to stop the other party from using the technology at issue on the grounds that our patents do not cover the technology in question or that such third party’s activities do not infringe our patents. An adverse result in any litigation or defense proceedings could put one or more of any patents we in-license or may own in the future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Post-grant proceedings provoked by third parties or brought by the USPTO may be necessary to determine the validity or priority of inventions with respect to our patent applications or any patents we may in-license or own in the future. These proceedings are expensive and an unfavorable outcome could result in a loss of our current patent rights and could require us to cease using the related technology or to attempt to license rights to it from the prevailing party.</w:t>
      </w:r>
    </w:p>
    <w:p>
      <w:pPr>
        <w:spacing w:after="0" w:line="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business could be harmed if the prevailing party does not offer us a license on commercially reasonable terms. In addition to potential USPTO review proceedings, we may become a party to patent opposition proceedings in the EPO, or similar proceedings in other foreign patent offices, where our foreign patents are challenged. For example, one of our in-licensed European patents relating to our now discontinued MVA influenza product candidate has been revoked in a European opposition proceeding. This decision is currently on appeal, although there can be no assurance that any such appeal will be successful. The costs of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6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Litigation or post-grant proceedings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ADSs.</w:t>
      </w:r>
    </w:p>
    <w:p>
      <w:pPr>
        <w:spacing w:after="0" w:line="18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may not be able to detect infringement of any patents we may in-license or own. Even if we detect infringement by a third party of any such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right="82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 fees on any issued patents and patent applications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or platforms, which could have a material adverse effect on our business prospects and financial condition.</w:t>
      </w:r>
    </w:p>
    <w:p>
      <w:pPr>
        <w:spacing w:after="0" w:line="181" w:lineRule="exact"/>
        <w:rPr>
          <w:sz w:val="20"/>
          <w:szCs w:val="20"/>
          <w:color w:val="auto"/>
        </w:rPr>
      </w:pPr>
    </w:p>
    <w:p>
      <w:pPr>
        <w:ind w:right="1080"/>
        <w:spacing w:after="0" w:line="342" w:lineRule="auto"/>
        <w:rPr>
          <w:sz w:val="20"/>
          <w:szCs w:val="20"/>
          <w:color w:val="auto"/>
        </w:rPr>
      </w:pPr>
      <w:r>
        <w:rPr>
          <w:rFonts w:ascii="Arial" w:cs="Arial" w:eastAsia="Arial" w:hAnsi="Arial"/>
          <w:sz w:val="16"/>
          <w:szCs w:val="16"/>
          <w:b w:val="1"/>
          <w:bCs w:val="1"/>
          <w:i w:val="1"/>
          <w:iCs w:val="1"/>
          <w:color w:val="auto"/>
        </w:rPr>
        <w:t>Any issued patents we in-license or may own now or in the future covering our product candidates could be narrowed or found invalid or unenforceable if challenged in court or before administrative bodies in the United States or abroad, including the USPTO.</w:t>
      </w:r>
    </w:p>
    <w:p>
      <w:pPr>
        <w:spacing w:after="0" w:line="12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If we or our licensors or strategic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interference proceedings, derivation proceedings and equivalent proceedings in foreign jurisdictions (such as opposition proceedings). Such proceedings could result in revocation or amendment to our in-licensed patent applications or patents or any patent applications or patents we may own in the future in such a way that they no longer cover our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in-license or may own in the future, allow third parties to commercialize our product candidates or other technologies and compete directly with us, without payment to us, or result in our inability to manufacture or commercialize products without infringing third-party patent rights.</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any intellectual property, including any patents we may in-license or own in the future.</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any patents we in-license or may own in the future, trade secrets, or other intellectual property as an inventor or co-inventor. For example, we may have inventorship disputes arise from conflicting obligations of employees, consultants or others who are involved in developing our product candidates or other technologies.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time-consuming. Litigation may be necessary to defend against these and other claims challenging inventorship of any patents we in-license or may own in the future, trade secrets or other intellectual property. If we were unsuccessful, in addition to paying monetary damages, we could lose valuable rights in intellectual property that we regard as our own,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other third parties.</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have received confidential and proprietary information from third parties. In addition, as is common in the biotechnology and pharmaceutical industries, we employ individuals who were previously employed at universities or other biotechnology or pharmaceutical companies, including our competitors or potential competitors. We may be subject to claims that we or our employees, consultants or independent contractors have inadvertently or otherwise used or disclosed confidential information or trade secrets of these third parties. In addition, we may in the future be subject to claims that we caused an employee to breach the terms of his or her non-competition or non-solicitation agreement. Litigation or arbitration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and possible aftermath could result in substantial cost and be a distraction to our management and employees.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 In addition, there could be public announcements of the results of hearings, motions or other interim proceedings or developments, and, if securities analysts or investors perceive these results to be negative, it could have a substantial adverse effect on our share price.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2" w:name="page83"/>
    <w:bookmarkEnd w:id="82"/>
    <w:p>
      <w:pPr>
        <w:spacing w:after="0" w:line="272"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development of intellectual property to execute agreements that provide that all inventions conceived by the individual, and which are related to our current or planned business or research and development or made during normal working hours, on our premises or using our equipment or proprietary information, are our exclusive property, we may be unsuccessful in executing such an agreement with each party who, in fact,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of our current or future product candidates we may develop, our business may be materially harmed.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of our current or future product candidates we may develop, one or more U.S. patents we in-license or may own in the future may be eligible for limited patent term extension under the Drug Price Competition and Patent Term Restoration Act of 1984, or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or other third parties may obtain approval of competing products following expiration of any patents that issue from our patent applications, and our business, financial condition, results of operations, and prospects could be materially harmed.</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to patent law in the United States and in foreign jurisdictions could diminish the value of patents in general, thereby impairing our ability to protect our products.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As is the case with other biotechnology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patents that we might obtain in the future. For example, in the case </w:t>
      </w:r>
      <w:r>
        <w:rPr>
          <w:rFonts w:ascii="Arial" w:cs="Arial" w:eastAsia="Arial" w:hAnsi="Arial"/>
          <w:sz w:val="17"/>
          <w:szCs w:val="17"/>
          <w:i w:val="1"/>
          <w:iCs w:val="1"/>
          <w:color w:val="auto"/>
        </w:rPr>
        <w:t>Assoc. for Molecular Pathology v. Myriad Genetics, Inc.,</w:t>
      </w:r>
      <w:r>
        <w:rPr>
          <w:rFonts w:ascii="Arial" w:cs="Arial" w:eastAsia="Arial" w:hAnsi="Arial"/>
          <w:sz w:val="17"/>
          <w:szCs w:val="17"/>
          <w:color w:val="auto"/>
        </w:rPr>
        <w:t xml:space="preserve"> the U.S. Supreme Court held that certain claims to DNA molecules are not patentable.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any rights we may have in our patent applications or any patents we may own or in-license in the future.</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spacing w:after="0" w:line="284" w:lineRule="auto"/>
        <w:rPr>
          <w:sz w:val="20"/>
          <w:szCs w:val="20"/>
          <w:color w:val="auto"/>
        </w:rPr>
      </w:pPr>
      <w:r>
        <w:rPr>
          <w:rFonts w:ascii="Arial" w:cs="Arial" w:eastAsia="Arial" w:hAnsi="Arial"/>
          <w:sz w:val="16"/>
          <w:szCs w:val="16"/>
          <w:color w:val="auto"/>
        </w:rPr>
        <w:t>Recent or future patent reform legislation could also increase the uncertainties and costs surrounding the prosecution of our patent applications and the enforcement or defense of any patents we in-license or may own in the future. The United States has enacted and implemented wide-ranging patent reform legislation. On September 16, 2011, the Leahy-Smith America Invents Act, or America Invents Act, was signed into law, which includes a number of significant changes to U.S. patent law. These include provisions that affect the way patent applications are prosecuted, redefine prior art, may affect patent litigation, establish a new post-grant review system and switch the U.S. patent system from a “first-to-invent” system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other technologies or (ii) invent any of the inventions claimed in our patent applications or any patents we may own or in-license. These changes also allow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Accordingly, the America Invents Act and its implementation could increase the uncertainties and costs surrounding the prosecution of our patent applications and the enforcement or defense of any issued patents we in-license or may own in the future, all of which could have a material adverse effect on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4" w:name="page85"/>
    <w:bookmarkEnd w:id="84"/>
    <w:p>
      <w:pPr>
        <w:spacing w:after="0" w:line="273"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As a result, in response to the COVID-19 pandemic, it is possible that certain countries may take steps to facilitate compulsory licenses that permit the distribution of a COVID-19 vaccine in those countries. In addition, many countries limit the enforceability of patents against government agencies or government contractors. In these countries, the patent owner may have limited remedies, which could materially diminish the value of the relevant patent rights.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trademarks. Although we would be given an opportunity to respond to those objections, we may be unable to overcome such rejections. In addition, at the USPTO and at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the relevant patent rights.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71" w:lineRule="exact"/>
        <w:rPr>
          <w:sz w:val="20"/>
          <w:szCs w:val="20"/>
          <w:color w:val="auto"/>
        </w:rPr>
      </w:pPr>
    </w:p>
    <w:p>
      <w:pPr>
        <w:ind w:left="380" w:hanging="318"/>
        <w:spacing w:after="0"/>
        <w:tabs>
          <w:tab w:leader="none" w:pos="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patent applications that we own or in-license may not lead to issued patents;</w:t>
      </w:r>
    </w:p>
    <w:p>
      <w:pPr>
        <w:spacing w:after="0" w:line="225" w:lineRule="exact"/>
        <w:rPr>
          <w:rFonts w:ascii="Arial" w:cs="Arial" w:eastAsia="Arial" w:hAnsi="Arial"/>
          <w:sz w:val="18"/>
          <w:szCs w:val="18"/>
          <w:color w:val="auto"/>
        </w:rPr>
      </w:pPr>
    </w:p>
    <w:p>
      <w:pPr>
        <w:ind w:left="380" w:right="480" w:hanging="318"/>
        <w:spacing w:after="0" w:line="277" w:lineRule="auto"/>
        <w:tabs>
          <w:tab w:leader="none" w:pos="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patents, that we in-license or may own in the future, may not provide us with any competitive advantages, may be narrowed in scope, or may be challenged and held invalid or unenforceable;</w:t>
      </w:r>
    </w:p>
    <w:p>
      <w:pPr>
        <w:spacing w:after="0" w:line="170" w:lineRule="exact"/>
        <w:rPr>
          <w:rFonts w:ascii="Arial" w:cs="Arial" w:eastAsia="Arial" w:hAnsi="Arial"/>
          <w:sz w:val="18"/>
          <w:szCs w:val="18"/>
          <w:color w:val="auto"/>
        </w:rPr>
      </w:pPr>
    </w:p>
    <w:p>
      <w:pPr>
        <w:ind w:left="380" w:right="20" w:hanging="318"/>
        <w:spacing w:after="0" w:line="263" w:lineRule="auto"/>
        <w:tabs>
          <w:tab w:leader="none" w:pos="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product candidates, that is similar to our technology or aspects of our technology but that is not covered by the claims of any patents we in-license or may own in the future;</w:t>
      </w:r>
    </w:p>
    <w:p>
      <w:pPr>
        <w:spacing w:after="0" w:line="183" w:lineRule="exact"/>
        <w:rPr>
          <w:rFonts w:ascii="Arial" w:cs="Arial" w:eastAsia="Arial" w:hAnsi="Arial"/>
          <w:sz w:val="18"/>
          <w:szCs w:val="18"/>
          <w:color w:val="auto"/>
        </w:rPr>
      </w:pPr>
    </w:p>
    <w:p>
      <w:pPr>
        <w:ind w:left="380" w:hanging="318"/>
        <w:spacing w:after="0"/>
        <w:tabs>
          <w:tab w:leader="none" w:pos="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we, or our licensors or collaborators, might not have been the first to make the inventions covered by a patent application that we own or in-license;</w:t>
      </w:r>
    </w:p>
    <w:p>
      <w:pPr>
        <w:spacing w:after="0" w:line="248" w:lineRule="exact"/>
        <w:rPr>
          <w:rFonts w:ascii="Arial" w:cs="Arial" w:eastAsia="Arial" w:hAnsi="Arial"/>
          <w:sz w:val="16"/>
          <w:szCs w:val="16"/>
          <w:color w:val="auto"/>
        </w:rPr>
      </w:pPr>
    </w:p>
    <w:p>
      <w:pPr>
        <w:ind w:left="380" w:hanging="318"/>
        <w:spacing w:after="0"/>
        <w:tabs>
          <w:tab w:leader="none" w:pos="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a particular invention;</w:t>
      </w:r>
    </w:p>
    <w:p>
      <w:pPr>
        <w:spacing w:after="0" w:line="225" w:lineRule="exact"/>
        <w:rPr>
          <w:rFonts w:ascii="Arial" w:cs="Arial" w:eastAsia="Arial" w:hAnsi="Arial"/>
          <w:sz w:val="18"/>
          <w:szCs w:val="18"/>
          <w:color w:val="auto"/>
        </w:rPr>
      </w:pPr>
    </w:p>
    <w:p>
      <w:pPr>
        <w:ind w:left="380" w:right="440" w:hanging="318"/>
        <w:spacing w:after="0" w:line="277" w:lineRule="auto"/>
        <w:tabs>
          <w:tab w:leader="none" w:pos="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170" w:lineRule="exact"/>
        <w:rPr>
          <w:rFonts w:ascii="Arial" w:cs="Arial" w:eastAsia="Arial" w:hAnsi="Arial"/>
          <w:sz w:val="18"/>
          <w:szCs w:val="18"/>
          <w:color w:val="auto"/>
        </w:rPr>
      </w:pPr>
    </w:p>
    <w:p>
      <w:pPr>
        <w:ind w:left="380" w:right="20" w:hanging="318"/>
        <w:spacing w:after="0" w:line="311" w:lineRule="auto"/>
        <w:tabs>
          <w:tab w:leader="none" w:pos="3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148" w:lineRule="exact"/>
        <w:rPr>
          <w:rFonts w:ascii="Arial" w:cs="Arial" w:eastAsia="Arial" w:hAnsi="Arial"/>
          <w:sz w:val="16"/>
          <w:szCs w:val="16"/>
          <w:color w:val="auto"/>
        </w:rPr>
      </w:pPr>
    </w:p>
    <w:p>
      <w:pPr>
        <w:ind w:left="340" w:hanging="319"/>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licenses on reasonable terms, or at all;</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5" w:name="page86"/>
    <w:bookmarkEnd w:id="85"/>
    <w:p>
      <w:pPr>
        <w:ind w:left="380" w:right="140" w:hanging="318"/>
        <w:spacing w:after="0" w:line="277"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70" w:lineRule="exact"/>
        <w:rPr>
          <w:rFonts w:ascii="Arial" w:cs="Arial" w:eastAsia="Arial" w:hAnsi="Arial"/>
          <w:sz w:val="18"/>
          <w:szCs w:val="18"/>
          <w:color w:val="auto"/>
        </w:rPr>
      </w:pPr>
    </w:p>
    <w:p>
      <w:pPr>
        <w:ind w:left="380" w:right="260" w:hanging="318"/>
        <w:spacing w:after="0" w:line="277"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trade secrets or know-how;</w:t>
      </w:r>
    </w:p>
    <w:p>
      <w:pPr>
        <w:spacing w:after="0" w:line="170" w:lineRule="exact"/>
        <w:rPr>
          <w:rFonts w:ascii="Arial" w:cs="Arial" w:eastAsia="Arial" w:hAnsi="Arial"/>
          <w:sz w:val="18"/>
          <w:szCs w:val="18"/>
          <w:color w:val="auto"/>
        </w:rPr>
      </w:pPr>
    </w:p>
    <w:p>
      <w:pPr>
        <w:ind w:left="380" w:hanging="318"/>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 Matters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Bill Enright, our Chief Executive Officer. The loss of the services of any of our executive officers, other key employees and other scientific and medical advisors, and an inability to find suitable replacements could result in delays in product development and harm our business.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 our operations at our facilities in Oxford, UK. This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UK, U.S. or similar foreign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the UK (including, but not limited to, those that result as a direct or indirect consequence of Brexit), U.S. or similar foreign immigration or visa laws and regulations impair our hiring processes and goals or projects involving personnel who are not U.S. citizens.</w:t>
      </w:r>
    </w:p>
    <w:p>
      <w:pPr>
        <w:spacing w:after="0" w:line="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To encourage valuable employees to remain at our company, in addition to salary and cash incentives, we have provided stock options that vest over time. The value to employees of stock options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all our employees, these employment agreements with US employees provide for at-will employment, which means that any of our US employees could leave our employment at any time, by providing the required contractual notification of their intent to leave. The standard notice period for UK employed personnel is three calendar months. Our success also depends on our ability to continue to attract, retain and motivate highly skilled junior, mid-level and senior managers as well as junior, mid-level and senior scientific and medical personnel.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Growth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As of June 14, 2021, we had 49 full-time and part-time employees. As our development and commercialization plans and strategies develop, and as we transition into operating as a public company, we expect to need additional managerial, operational, sales, marketing, financial and other personnel, as well as additional facilities to expand our operations. Future growth would impose significant added responsibilities on members of management, including:</w:t>
      </w:r>
    </w:p>
    <w:p>
      <w:pPr>
        <w:spacing w:after="0" w:line="149" w:lineRule="exact"/>
        <w:rPr>
          <w:sz w:val="20"/>
          <w:szCs w:val="20"/>
          <w:color w:val="auto"/>
        </w:rPr>
      </w:pPr>
    </w:p>
    <w:p>
      <w:pPr>
        <w:ind w:left="5520" w:right="3800" w:hanging="5499"/>
        <w:spacing w:after="0" w:line="809" w:lineRule="auto"/>
        <w:tabs>
          <w:tab w:leader="none" w:pos="3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and existing employees;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86" w:name="page87"/>
    <w:bookmarkEnd w:id="86"/>
    <w:p>
      <w:pPr>
        <w:ind w:left="380" w:right="300" w:hanging="318"/>
        <w:spacing w:after="0" w:line="277" w:lineRule="auto"/>
        <w:tabs>
          <w:tab w:leader="none" w:pos="3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170" w:lineRule="exact"/>
        <w:rPr>
          <w:rFonts w:ascii="Arial" w:cs="Arial" w:eastAsia="Arial" w:hAnsi="Arial"/>
          <w:sz w:val="18"/>
          <w:szCs w:val="18"/>
          <w:color w:val="auto"/>
        </w:rPr>
      </w:pPr>
    </w:p>
    <w:p>
      <w:pPr>
        <w:ind w:left="340" w:hanging="319"/>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authorization for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6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14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Our internal computer systems, or those used by our third-party CROs or other contractors or consultants, may fail or suffer security breaches, which could result in the disclosure of confidential or proprietary information, including personal data, damage to our reputation, and subject us to significant financial and legal exposure and cause a material disruption of the development programs of our product candidates.</w:t>
      </w:r>
    </w:p>
    <w:p>
      <w:pPr>
        <w:spacing w:after="0" w:line="1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and our third-party CROs and other contractors and consultants rely extensively on information technology systems to conduct and manage our business. Despite the implementation of security measures, our internal computer systems and those of our current and future third-party providers are vulnerable to damage from computer viruses and unauthorized access.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If such an event were to occur, it could result in the theft or destruction of intellectual property, data or other misappropriation of assets, or otherwise compromise our confidential or proprietary information and result in a material disruption of our development programs and our business operations, such as the loss of clinical trial data from completed or future clinical trials. Such loss could result in delays in our marketing authorization efforts and significantly increase our costs to recover or reproduce the data.</w:t>
      </w:r>
    </w:p>
    <w:p>
      <w:pPr>
        <w:spacing w:after="0" w:line="16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business, financial condition, results of operations and prospects. Likewise, we rely on third parties for the manufacture of our product candidates and to conduct clinical trials, and similar events relating to their computer systems could also have a material adverse effect on our business. We rely on our third-party providers to implement effective security measures and identify and correct for any such failures, deficiencies or breaches.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7" w:name="page88"/>
    <w:bookmarkEnd w:id="87"/>
    <w:p>
      <w:pPr>
        <w:ind w:right="80"/>
        <w:spacing w:after="0" w:line="269" w:lineRule="auto"/>
        <w:rPr>
          <w:sz w:val="20"/>
          <w:szCs w:val="20"/>
          <w:color w:val="auto"/>
        </w:rPr>
      </w:pPr>
      <w:r>
        <w:rPr>
          <w:rFonts w:ascii="Arial" w:cs="Arial" w:eastAsia="Arial" w:hAnsi="Arial"/>
          <w:sz w:val="17"/>
          <w:szCs w:val="17"/>
          <w:color w:val="auto"/>
        </w:rPr>
        <w:t>Any breach in our or our third-party providers’ information technology systems could lead to the unauthorized access, disclosure and use of non-public information, including information from our participant registry or other participant information, which is protected by HIPAA, and other laws. Any such access, disclosure, or other loss of information could result in legal claims or proceedings, liability under laws that protect the privacy of personal information, damage to our reputation and the further development and commercialization of our product candidates could be delayed.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participants and our partners, regulatory sanctions or penalties, increases in operating expenses, expenses or lost revenues or other adverse consequences, any of which could have a material adverse effect on our business, results of operations, financial condition, prospects and cash flows. If we are unable to prevent or mitigate the impact of such security or data privacy breaches, we could be exposed to litigation and governmental investigations, which could lead to a potential disruption to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 candidate for which we receive marketing authorization.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66" w:lineRule="exact"/>
        <w:rPr>
          <w:sz w:val="20"/>
          <w:szCs w:val="20"/>
          <w:color w:val="auto"/>
        </w:rPr>
      </w:pPr>
    </w:p>
    <w:p>
      <w:pPr>
        <w:ind w:left="380" w:hanging="318"/>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participants;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380" w:hanging="318"/>
        <w:spacing w:after="0"/>
        <w:tabs>
          <w:tab w:leader="none" w:pos="3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225" w:lineRule="exact"/>
        <w:rPr>
          <w:rFonts w:ascii="Arial" w:cs="Arial" w:eastAsia="Arial" w:hAnsi="Arial"/>
          <w:sz w:val="18"/>
          <w:szCs w:val="18"/>
          <w:color w:val="auto"/>
        </w:rPr>
      </w:pPr>
    </w:p>
    <w:p>
      <w:pPr>
        <w:ind w:left="340" w:hanging="319"/>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In the future, we may be unable to maintain this insurance coverage, or we may not be able to obtain additional or replacement coverage at a reasonable cost, if at all.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including due to the impact of the COVID-19 pandemic, could result in a variety of risks to our business, including a reduced ability to raise additional capital when needed on acceptable terms, if at all. A weak or declining economy or international trade disputes could also strain our third-party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could materially adversely affect our business.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plan to seek marketing authorization for our product candidates outside of the United States and, accordingly, we expect that we, and any potential collaborators in those jurisdictions, will be subject to additional risks related to operating in foreign countries, including:</w:t>
      </w:r>
    </w:p>
    <w:p>
      <w:pPr>
        <w:spacing w:after="0" w:line="170" w:lineRule="exact"/>
        <w:rPr>
          <w:sz w:val="20"/>
          <w:szCs w:val="20"/>
          <w:color w:val="auto"/>
        </w:rPr>
      </w:pPr>
    </w:p>
    <w:p>
      <w:pPr>
        <w:ind w:left="340" w:hanging="319"/>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340" w:right="640" w:hanging="319"/>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29" w:lineRule="exact"/>
        <w:rPr>
          <w:rFonts w:ascii="Arial" w:cs="Arial" w:eastAsia="Arial" w:hAnsi="Arial"/>
          <w:sz w:val="18"/>
          <w:szCs w:val="18"/>
          <w:color w:val="auto"/>
        </w:rPr>
      </w:pPr>
    </w:p>
    <w:p>
      <w:pPr>
        <w:ind w:left="340" w:hanging="319"/>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auto"/>
        </w:rPr>
      </w:pPr>
    </w:p>
    <w:p>
      <w:pPr>
        <w:ind w:left="340" w:right="380" w:hanging="319"/>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potential liability under the FCPA Office of Foreign Assets Control Anti-Money Laundering Program as required by the Bank Secrecy Act and its implementing regulations, or comparable foreign laws, including the UK Bribery Act 2010, or Bribery Act;</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89" w:name="page90"/>
    <w:bookmarkEnd w:id="89"/>
    <w:p>
      <w:pPr>
        <w:ind w:left="340" w:right="220" w:hanging="319"/>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29" w:lineRule="exact"/>
        <w:rPr>
          <w:rFonts w:ascii="Arial" w:cs="Arial" w:eastAsia="Arial" w:hAnsi="Arial"/>
          <w:sz w:val="18"/>
          <w:szCs w:val="18"/>
          <w:color w:val="auto"/>
        </w:rPr>
      </w:pPr>
    </w:p>
    <w:p>
      <w:pPr>
        <w:ind w:left="340" w:hanging="319"/>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Accordingly, our future results could be harmed by a variety of factors, including the following:</w:t>
      </w:r>
    </w:p>
    <w:p>
      <w:pPr>
        <w:spacing w:after="0" w:line="170" w:lineRule="exact"/>
        <w:rPr>
          <w:sz w:val="20"/>
          <w:szCs w:val="20"/>
          <w:color w:val="auto"/>
        </w:rPr>
      </w:pPr>
    </w:p>
    <w:p>
      <w:pPr>
        <w:ind w:left="340" w:right="460" w:hanging="319"/>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in particular in foreign economies and markets, and the potentially severe continued United States and global economic impact caused by the COVID-19 pandemic;</w:t>
      </w:r>
    </w:p>
    <w:p>
      <w:pPr>
        <w:spacing w:after="0" w:line="129"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differing jurisdictions potentially presenting different issues for securing, maintaining or obtaining freedom to operate in such jurisdictions;</w:t>
      </w:r>
    </w:p>
    <w:p>
      <w:pPr>
        <w:spacing w:after="0" w:line="196" w:lineRule="exact"/>
        <w:rPr>
          <w:rFonts w:ascii="Arial" w:cs="Arial" w:eastAsia="Arial" w:hAnsi="Arial"/>
          <w:sz w:val="17"/>
          <w:szCs w:val="17"/>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84" w:lineRule="exact"/>
        <w:rPr>
          <w:rFonts w:ascii="Arial" w:cs="Arial" w:eastAsia="Arial" w:hAnsi="Arial"/>
          <w:sz w:val="18"/>
          <w:szCs w:val="18"/>
          <w:color w:val="auto"/>
        </w:rPr>
      </w:pPr>
    </w:p>
    <w:p>
      <w:pPr>
        <w:ind w:left="340" w:right="240" w:hanging="319"/>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29"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regulations and customs, tariffs and trade barriers;</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currency exchange rates of the euro, U.S. dollar, pound sterling and currency controls;</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international markets;</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EU;</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84" w:lineRule="exact"/>
        <w:rPr>
          <w:rFonts w:ascii="Arial" w:cs="Arial" w:eastAsia="Arial" w:hAnsi="Arial"/>
          <w:sz w:val="18"/>
          <w:szCs w:val="18"/>
          <w:color w:val="auto"/>
        </w:rPr>
      </w:pPr>
    </w:p>
    <w:p>
      <w:pPr>
        <w:ind w:left="340" w:hanging="319"/>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340" w:right="140" w:hanging="319"/>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terrorism, pandemics, or natural disasters including earthquakes, typhoons, floods and fires.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incorporated under English law and have our registered office in England. Most of the members of our senior management and certain members of our board of directors are non-residents of the United States, and all or a substantial portion of our assets and the assets of such persons are held outside the United States. As a result, it may not be possible to serve process on such persons or us in the United States or to enforce judgments obtained in U.S. courts against them or us based on civil liability provisions of the U.S. federal securities laws.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0" w:name="page91"/>
    <w:bookmarkEnd w:id="90"/>
    <w:p>
      <w:pPr>
        <w:ind w:right="20"/>
        <w:spacing w:after="0" w:line="269" w:lineRule="auto"/>
        <w:rPr>
          <w:sz w:val="20"/>
          <w:szCs w:val="20"/>
          <w:color w:val="auto"/>
        </w:rPr>
      </w:pPr>
      <w:r>
        <w:rPr>
          <w:rFonts w:ascii="Arial" w:cs="Arial" w:eastAsia="Arial" w:hAnsi="Arial"/>
          <w:sz w:val="17"/>
          <w:szCs w:val="17"/>
          <w:color w:val="auto"/>
        </w:rPr>
        <w:t>The United States and the UK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UK. In addition, uncertainty exists as to whether the courts of England and Wales would entertain original actions brought in the UK against us or our directors or senior management predicated upon securities laws of the U.S. or any state in the United States. Any final and conclusive monetary judgment for a definite sum obtained against us in U.S. courts would be treated by the courts of England and Wales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the courts of England and Wales give a judgment for the sum payable under a U.S. judgment, the English judgment will be enforceable by methods generally available for this purpose. These methods generally permit the courts of England and Wales discretion to prescribe the manner of enforcement.</w:t>
      </w:r>
    </w:p>
    <w:p>
      <w:pPr>
        <w:spacing w:after="0" w:line="18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As a result, U.S. investors may not be able to enforce against us or certain of our senior management, board of directors or certain experts named herein who are residents of the UK or countries other than the United States any judgments obtained in U.S. courts in civil and commercial matters, including judgments under the U.S. federal securities laws.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our ADSs and may materially affect our results of operations and financial condition.</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ADSs trade on Nasdaq in U.S. dollars. Due to the international scope of our operations, our assets, earnings and cash flows are influenced by movements in exchange rates of several currencies, particularly the U.S. dollar, the pound sterling and the euro. Our reporting currency is denominated in U.S. dollars and our functional currency is the pound sterling (except that the functional currency of our U.S. subsidiaries is the U.S. dollar) and the majority of our operating expenses are paid in pound sterling. We also regularly acquire services, consumables and materials in U.S. dollars, pound sterling, AUS dollars and the euro. Further potential future revenue may be derived from abroad, particularly from the United States. As a result, our business and the price of our ADSs may be affected by fluctuations in foreign exchange rates between the pound sterling and these other currencies, which may also have a significant impact on our results of operations and cash flows from period to period. Currently, we do not have any exchange rate hedging arrangements in place. See Note 3 in the notes to our annual financial statements appearing elsewhere in this quarterly report for a description of foreign exchange risks.</w:t>
      </w:r>
    </w:p>
    <w:p>
      <w:pPr>
        <w:spacing w:after="0" w:line="1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possible abandonment of the euro by one or more members of the European Union, or the EU, could materially affect our business in the future. Despite measures taken by the EU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dissolution of the EU. The effects on our business of a potential dissolution of the EU, the exit of one or more EU member states from the EU or the abandonment of the euro as a currency, are impossible to predict with certainty, and any such events could have a material adverse effect on our business, financial condition and results of operations.</w:t>
      </w:r>
    </w:p>
    <w:p>
      <w:pPr>
        <w:spacing w:after="0" w:line="1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as a result of fluctuations in the exchange rate between the U.S. dollar and the pound sterling, the U.S. dollar equivalent of the proceeds that a holder of ADSs would receive upon the sale in the UK of any ordinary shares withdrawn from the depositary and the U.S. dollar equivalent of any cash dividends paid in euros on our ordinary shares represented by ADSs could also decline.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Risks Related to Ownership of Our ADSs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ADSs may not be sustained.</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Prior to our IPO in May 2021, there had been no public trading market for our ADSs. Although our ADSs are listed on The Nasdaq Global Market, an active trading market for our shares may not be sustained. If an active market for our ADSs is not sustained, it may be difficult for holders of our ADSs to sell ADSs without depressing the market price for the shares, or at all. Further, an inactive market may also impair our ability to raise capital by selling our ADSs and may impair our ability to enter into strategic partnerships or acquire companies or products by using our ADSs as consideration.</w:t>
      </w:r>
    </w:p>
    <w:p>
      <w:pPr>
        <w:spacing w:after="0" w:line="15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Our principal shareholders and management own a significant percentage of our stock and exert significant influence over matters subject to shareholder approval.</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May 4, 2021, the date of closing of our initial public offering, our executive officers, directors, and 5% shareholders beneficially owned approximately 68.9% of our voting stock. Therefore, these shareholders have the ability to influence us through this ownership position. These shareholders are in a position to determine all matters requiring shareholder approval. For example, these shareholders are in a position to control elections of directors, amendments of our organizational documents, or approval of any merger, sale of assets, or other major corporate transaction. This may prevent or discourage unsolicited acquisition proposals or offers for our ADSs that holders of our ADSs may feel are in their best interest as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ADSs is volatile, and holders of our ADSs could lose all or part of their investment.</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trading price of our ADSs is highly volatile and subject to wide fluctuations in response to various factors, some of which are beyond our control, including limited trading volume. In addition to the factors discussed in this “Risk Factors” section and elsewhere in this quarterly report, these factors include:</w:t>
      </w:r>
    </w:p>
    <w:p>
      <w:pPr>
        <w:spacing w:after="0" w:line="184" w:lineRule="exact"/>
        <w:rPr>
          <w:sz w:val="20"/>
          <w:szCs w:val="20"/>
          <w:color w:val="auto"/>
        </w:rPr>
      </w:pPr>
    </w:p>
    <w:p>
      <w:pPr>
        <w:ind w:left="340" w:right="12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results of our ongoing, planned or any future preclinical studies, clinical trials or clinical development programs and those of third parties, such as those of AstraZeneca’s with respect to AZD1222;</w:t>
      </w:r>
    </w:p>
    <w:p>
      <w:pPr>
        <w:spacing w:after="0" w:line="170"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commencement, enrollment, or results of clinical trials of our product candidates or any future clinical trials we may conduct, or changes in the development status of our product candidates;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adverse results or delays in preclinical studies and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delay in our regulatory filings or any adverse regulatory decisions, including failure to receive marketing authorization for our product candidates;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including but not limited to clinical trial requirements for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manufacturing plans;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licensed product or inability to do so at acceptable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size and growth of our initial cancer target markets;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2" w:name="page93"/>
    <w:bookmarkEnd w:id="92"/>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successfully treat additional types of cancers or at different stages;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immunotherapy in particular, or positive or negative recommendations or withdrawal of research coverage by securities analysts;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sales of our ADSs by us or our shareholders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trading volume of our ADSs;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225"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disputes or other developments relating to intellectual property or proprietary rights, including patents, litigation matters and our ability to obtain patent protection for our technologies;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shareholder litigation;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ADSs are not treated as holders of our ordinary shares.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Holders of ADSs are not treated as holders of our ordinary shares, unless they withdraw the ordinary shares underlying their ADSs in accordance with the deposit agreement and applicable laws and regulations. The depositary is the holder of the ordinary shares underlying our ADSs. Holders of ADSs therefore do not have any rights as holders of our ordinary shares, other than the rights that they have pursuant to the deposit agreement.</w:t>
      </w:r>
    </w:p>
    <w:p>
      <w:pPr>
        <w:spacing w:after="0" w:line="16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Holders of our ADSs will not have the same voting rights as the holders of our ordinary shares, and may not receive voting materials or any other documents that would need to be provided to our shareholders pursuant to English corporate law, including the UK Companies Act 2006, or Companies Act 2006, in time to be able to exercise their right to vote.</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Except as described elsewhere in this quarterly report and the deposit agreement, holders of the ADSs will not be able to exercise voting rights attaching to the ordinary shares represented by the ADSs. The deposit agreement provides that, upon receipt of notice of any meeting of holders of our ordinary shares, the depositary will fix a record date for the determination of ADS holders who shall be entitled to give instructions for the exercise of voting rights. Upon our request, the depositary shall distribute to the holders as of the record date (i) the notice of the meeting or solicitation of consent or proxy sent by us and</w:t>
      </w:r>
    </w:p>
    <w:p>
      <w:pPr>
        <w:spacing w:after="0" w:line="1" w:lineRule="exact"/>
        <w:rPr>
          <w:sz w:val="20"/>
          <w:szCs w:val="20"/>
          <w:color w:val="auto"/>
        </w:rPr>
      </w:pPr>
    </w:p>
    <w:p>
      <w:pPr>
        <w:ind w:firstLine="8"/>
        <w:spacing w:after="0" w:line="260" w:lineRule="auto"/>
        <w:tabs>
          <w:tab w:leader="none" w:pos="2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statement as to the manner in which instructions may be given by the holders. We cannot guarantee that ADS holders will receive the voting materials in time to ensure that they can instruct the depositary to vote the ordinary shares underlying their ADSs.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3" w:name="page94"/>
    <w:bookmarkEnd w:id="93"/>
    <w:p>
      <w:pPr>
        <w:ind w:right="40"/>
        <w:spacing w:after="0" w:line="254" w:lineRule="auto"/>
        <w:rPr>
          <w:sz w:val="20"/>
          <w:szCs w:val="20"/>
          <w:color w:val="auto"/>
        </w:rPr>
      </w:pPr>
      <w:r>
        <w:rPr>
          <w:rFonts w:ascii="Arial" w:cs="Arial" w:eastAsia="Arial" w:hAnsi="Arial"/>
          <w:sz w:val="18"/>
          <w:szCs w:val="18"/>
          <w:color w:val="auto"/>
        </w:rPr>
        <w:t>Otherwise, ADS holders will not be able to exercise their right to vote, unless they withdraw the ordinary shares underlying the ADSs they hold to vote them in person or by proxy in accordance with applicable laws and regulations and our Articles. However, ADS holders may not know about the meeting far enough in advance to withdraw those ordinary shares. A shareholder is only entitled to participate in, and vote at, the meeting of shareholders, provided that it holds our ordinary shares as of the record date set for such meeting and otherwise complies with our Articles. In addition, the depositary’s liability to ADS holders for failing to execute voting instructions or for the manner of executing voting instructions is limited by the deposit agreement. As a result, ADS holders may not be able to exercise their right to vote, and there may be nothing they can do if the ordinary shares underlying their ADSs are not voted as they requested or if their shares cannot be voted.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the transfer of their ADSs and the withdrawal of the underlying ordinary shares.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deposit agreement governing our ADSs representing our ordinary shares provides that, to the fullest extent permitted by law, holders and beneficial owners of ADSs irrevocably waive the right to a jury trial of any claim they may have against us or the depositary arising out of or relating to our ADSs or the deposit agreement.</w:t>
      </w:r>
    </w:p>
    <w:p>
      <w:pPr>
        <w:spacing w:after="0" w:line="184"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w:t>
      </w:r>
    </w:p>
    <w:p>
      <w:pPr>
        <w:spacing w:after="0" w:line="1"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our ADSs. It is advisable that you consult legal counsel regarding the jury waiver provision before entering into the deposit agreement.</w:t>
      </w:r>
    </w:p>
    <w:p>
      <w:pPr>
        <w:spacing w:after="0" w:line="1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our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 condition, stipulation or provision of the deposit agreement or ADSs serves as a waiver by any holder or beneficial owner of ADSs or by us or the depositary of compliance with U.S. federal securities laws and the rules and regulations promulgated thereunder.</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trading market for our ADSs depends in part on the research and reports that securities or industry analysts publish about us or our business. Although we have obtained research coverage from certain analysts, there can be no assurance that analysts will continue to cover us, or provide favorable coverage. If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ADSs less attractive to investors.</w:t>
      </w:r>
    </w:p>
    <w:p>
      <w:pPr>
        <w:spacing w:after="0" w:line="1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We could be an emerging growth company for up to five years following the year in which we became a public company, although circumstances could cause us to lose that status earlier. We will remain an emerging growth company until the earlier of (1) the last day of the fiscal year (a) following the fifth anniversary of the date we became a public company, (b) in which we have total annual gross revenue of at least $1.07 billion or (c) in which we are deemed to be a large accelerated filer, which requires the market value of our ADSs that are held by non-affiliates to exceed $700 million as of the prior June 30th, and (2) the date on which we have issued more than $1 billion in non-convertible debt during the prior three-year period.</w:t>
      </w:r>
    </w:p>
    <w:p>
      <w:pPr>
        <w:spacing w:after="0" w:line="18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avail ourselves of this exemption and, therefore, we will not be subject to the same timing of adoption of new or revised accounting standards as other public companies that are not emerging growth companies.</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may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our periodic reports and proxy statements.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5" w:name="page96"/>
    <w:bookmarkEnd w:id="95"/>
    <w:p>
      <w:pPr>
        <w:ind w:right="3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an English public company listed in the U.S., and our board of directors will be required to devote substantial time to new compliance initiatives and corporate governance practices.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an English public company listed in the U.S., and particularly after we no longer qualify as an emerging growth company, we will incur significant legal, accounting and other expenses that we did not incur as a private company. In addition, the Sarbanes-Oxley Act, the Dodd-Frank Wall Street Reform and Consumer Protection Act, the listing requirements of Nasdaq, and other applicable securities rules and regulations impose various requirements on foreign reporting public companies, including the establishment and maintenance of effective disclosure and financial controls and corporate governance practices. Our board of directors,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6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5"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Pursuant to Section 404 of the Sarbanes-Oxley Act, or Section 404, for the year ended December 31, 2022 we will be required to furnish a report by our board of directors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controls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that our internal controls over financial reporting are effective as required by Section 404. If we identify one or more material weaknesses, it could result in an adverse reaction in the financial markets due to a loss of confidence in the reliability of our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relying on the one-year phase-in period for Compensation Committee independence under the Nasdaq and SEC rules.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Nasdaq listing standards, we are required to have a majority independent board and a fully independent Compensation Committee, subject to limited exceptions and phase-in periods. Upon the closing of our initial public offering, two out of the three members on our Compensation Committee were independent. We intend to appoint one additional independent director to our Compensation Committee to replace the non-independent director on that committee within one year following our initial public offering pursuant to the applicable Nasdaq and SEC phase-in provisions for initial public offerings. During this phase-in period, our shareholders will not have the same protections afforded to shareholders of companies of which the majority of directors on the compensation committee of such companies are fully independent. If, within the phase-in period, we are not able to appoint an independent director to the Compensation Committee, or otherwise comply with the Nasdaq listing requirements, we may be subject to enforcement actions by Nasdaq.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7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quarterly and annual operating results may fluctuate significantly in the future, which makes it difficult for us to predict our future operating results. From time to time, we may enter into license or collaboration agreements with other companies that include development funding and significant upfront and milestone payments and/or royalties, which may become an important source of our revenue. Accordingly, our revenue may depend on development funding and the achievement of development and clinical milestones under current and any potential future license and collaboration agreements and, if approved, sales of our product candidates. These upfront and milestone payments may vary significantly from period to period and any variance could cause a significant fluctuation in our operating results from one period to the next.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right="500"/>
        <w:spacing w:after="0" w:line="277" w:lineRule="auto"/>
        <w:rPr>
          <w:sz w:val="20"/>
          <w:szCs w:val="20"/>
          <w:color w:val="auto"/>
        </w:rPr>
      </w:pPr>
      <w:r>
        <w:rPr>
          <w:rFonts w:ascii="Arial" w:cs="Arial" w:eastAsia="Arial" w:hAnsi="Arial"/>
          <w:sz w:val="18"/>
          <w:szCs w:val="18"/>
          <w:color w:val="auto"/>
        </w:rPr>
        <w:t>Further, our operating results may fluctuate due to a variety of other factors, many of which are outside of our control and may be difficult to predict, including the following:</w:t>
      </w:r>
    </w:p>
    <w:p>
      <w:pPr>
        <w:spacing w:after="0" w:line="170" w:lineRule="exact"/>
        <w:rPr>
          <w:sz w:val="20"/>
          <w:szCs w:val="20"/>
          <w:color w:val="auto"/>
        </w:rPr>
      </w:pPr>
    </w:p>
    <w:p>
      <w:pPr>
        <w:ind w:left="340" w:right="8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and any future product candidates, which will change from time to time;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current and any other future product candidates;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 of manufacturing our current and any future product candidates, which may vary depending on FDA guidelines and requirements, the quantity of production and the terms of our agreements with manufacturers;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adequately support our future growth;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The price of our ADSs could decline even when we have met any previously publicly stated revenue and/or earnings guidance we may provide.</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Holders of our ADSs may not receive distributions on our ordinary shares represented by the ADSs or any value for them if it is illegal or impractical to make them available to holders of ADSs.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depositary for the ADSs has agreed to pay to holders of our ADSs the cash dividends or other distributions it or the custodian receives on our ordinary shares or other deposited securities after deducting its fees and expenses. Shareholders will receive these distributions in proportion to the number of our ordinary shares 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holders of our ADSs may not receive the distributions we make on our ordinary shares or any value from them if it is unlawful or impractical to make them available to holders of our ADSs. These restrictions may have an adverse effect on the value of our ADSs.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ADSs, so any returns will be limited to the value of our ordinary shares.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current English law, a company’s accumulated realized profits must exceed its accumulated realized losses (on a non-consolidated basis) before dividends can be declared and paid. Therefore, we must have distributable profits before declaring and paying a dividend. In addition, as a public limited company incorporated in England &amp; Wales,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not paid dividends in the past on our ordinary shares.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ADSs. Any return to shareholders and holders of our ADSs will therefore be limited to the appreciation of their stock, which may never occur.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right="420"/>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require shareholder approval, which limits our flexibility to manage our capital structure.</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English law provides that a board of directors may only allot shares (or grant rights to subscribe for or to convert any security into shares) with the prior authorization of shareholders, such authorization stating the aggregate nominal amount of shares that it covers and being valid for a maximum period of five years, each as specified in our articles of association, or Articles, or relevant ordinary resolution passed by shareholders at a general meeting. Such authority from our shareholders to allot additional shares for a period of five years from April 21, 2021 was included in the ordinary resolution passed by our shareholders on April 21, 2021, which authorization will need to be renewed upon expiration (</w:t>
      </w:r>
      <w:r>
        <w:rPr>
          <w:rFonts w:ascii="Arial" w:cs="Arial" w:eastAsia="Arial" w:hAnsi="Arial"/>
          <w:sz w:val="17"/>
          <w:szCs w:val="17"/>
          <w:i w:val="1"/>
          <w:iCs w:val="1"/>
          <w:color w:val="auto"/>
        </w:rPr>
        <w:t>i.e.</w:t>
      </w:r>
      <w:r>
        <w:rPr>
          <w:rFonts w:ascii="Arial" w:cs="Arial" w:eastAsia="Arial" w:hAnsi="Arial"/>
          <w:sz w:val="17"/>
          <w:szCs w:val="17"/>
          <w:color w:val="auto"/>
        </w:rPr>
        <w:t>, at least every five years) but may be sought more frequently for additional five-year terms (or any shorter period).</w:t>
      </w:r>
    </w:p>
    <w:p>
      <w:pPr>
        <w:spacing w:after="0" w:line="17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English law also generally provides shareholders with preemptive rights when new shares are issued for cash. However, it is possible for the Articles,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if the disapplication is contained in the Articles, but not longer than the duration of the authority to allot shares to which this disapplication relates or from the date of the shareholder special resolution, if the disapplication is by shareholder special resolution. In either case, this disapplication would need to be renewed by our shareholders upon its expiration (</w:t>
      </w:r>
      <w:r>
        <w:rPr>
          <w:rFonts w:ascii="Arial" w:cs="Arial" w:eastAsia="Arial" w:hAnsi="Arial"/>
          <w:sz w:val="16"/>
          <w:szCs w:val="16"/>
          <w:i w:val="1"/>
          <w:iCs w:val="1"/>
          <w:color w:val="auto"/>
        </w:rPr>
        <w:t>i.e.</w:t>
      </w:r>
      <w:r>
        <w:rPr>
          <w:rFonts w:ascii="Arial" w:cs="Arial" w:eastAsia="Arial" w:hAnsi="Arial"/>
          <w:sz w:val="16"/>
          <w:szCs w:val="16"/>
          <w:color w:val="auto"/>
        </w:rPr>
        <w:t>, at least every five years). Such authority from our shareholders to disapply preemptive rights for a period of</w:t>
      </w:r>
    </w:p>
    <w:p>
      <w:pPr>
        <w:spacing w:after="0" w:line="4"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five years was included in the special resolution passed by our shareholders on April 21, 2021, which disapplication will need to be renewed upon expiration (</w:t>
      </w:r>
      <w:r>
        <w:rPr>
          <w:rFonts w:ascii="Arial" w:cs="Arial" w:eastAsia="Arial" w:hAnsi="Arial"/>
          <w:sz w:val="16"/>
          <w:szCs w:val="16"/>
          <w:i w:val="1"/>
          <w:iCs w:val="1"/>
          <w:color w:val="auto"/>
        </w:rPr>
        <w:t>i.e.</w:t>
      </w:r>
      <w:r>
        <w:rPr>
          <w:rFonts w:ascii="Arial" w:cs="Arial" w:eastAsia="Arial" w:hAnsi="Arial"/>
          <w:sz w:val="16"/>
          <w:szCs w:val="16"/>
          <w:color w:val="auto"/>
        </w:rPr>
        <w:t>, at least every five years) to remain effective, but may be sought more frequently for additional five-year terms (or any shorter period).</w:t>
      </w:r>
    </w:p>
    <w:p>
      <w:pPr>
        <w:spacing w:after="0" w:line="13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spacing w:after="0" w:line="12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Shareholder protections found in provisions under the UK City Code on Takeovers and Mergers, or the Takeover Code, will not apply if our place of central management and control is considered to be outside of the UK (or the Channel Islands or the Isle of Man).</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that our place of central management and control is not in the United Kingdom (or the Channel Islands or the Isle of Man) for the purposes of 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the event that this changes, or if the interpretation and application of the Takeover Code by the Panel on Takeovers and Mergers, or Takeover Panel, changes (including changes to the way in which the Takeover Panel assesses the application of the Takeover Code to English companies whose shares are listed outside of the United Kingdom), the Takeover Code may apply to us in the future.</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Takeover Code provides a framework within which takeovers of companies which are subject to the Takeover Code are regulated and conducted. The following is a brief summary of some of the most important rules of the Takeover Code:</w:t>
      </w:r>
    </w:p>
    <w:p>
      <w:pPr>
        <w:spacing w:after="0" w:line="170" w:lineRule="exact"/>
        <w:rPr>
          <w:sz w:val="20"/>
          <w:szCs w:val="20"/>
          <w:color w:val="auto"/>
        </w:rPr>
      </w:pPr>
    </w:p>
    <w:p>
      <w:pPr>
        <w:ind w:left="340" w:right="560" w:hanging="332"/>
        <w:spacing w:after="0" w:line="311"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8" w:name="page99"/>
    <w:bookmarkEnd w:id="98"/>
    <w:p>
      <w:pPr>
        <w:ind w:left="340" w:right="160" w:hanging="332"/>
        <w:spacing w:after="0" w:line="25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187" w:lineRule="exact"/>
        <w:rPr>
          <w:rFonts w:ascii="Arial" w:cs="Arial" w:eastAsia="Arial" w:hAnsi="Arial"/>
          <w:sz w:val="18"/>
          <w:szCs w:val="18"/>
          <w:color w:val="auto"/>
        </w:rPr>
      </w:pPr>
    </w:p>
    <w:p>
      <w:pPr>
        <w:ind w:left="340" w:right="120" w:hanging="332"/>
        <w:spacing w:after="0" w:line="275"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176" w:lineRule="exact"/>
        <w:rPr>
          <w:rFonts w:ascii="Arial" w:cs="Arial" w:eastAsia="Arial" w:hAnsi="Arial"/>
          <w:sz w:val="17"/>
          <w:szCs w:val="17"/>
          <w:color w:val="auto"/>
        </w:rPr>
      </w:pPr>
    </w:p>
    <w:p>
      <w:pPr>
        <w:ind w:left="340" w:right="100" w:hanging="332"/>
        <w:spacing w:after="0" w:line="263"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spacing w:after="0" w:line="183" w:lineRule="exact"/>
        <w:rPr>
          <w:rFonts w:ascii="Arial" w:cs="Arial" w:eastAsia="Arial" w:hAnsi="Arial"/>
          <w:sz w:val="18"/>
          <w:szCs w:val="18"/>
          <w:color w:val="auto"/>
        </w:rPr>
      </w:pPr>
    </w:p>
    <w:p>
      <w:pPr>
        <w:ind w:left="340" w:right="20" w:hanging="332"/>
        <w:spacing w:after="0" w:line="296"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relation to a voluntary offer (i.e., any offer which is not a mandatory offer), when interests in shares representing 10% or more of the voting rights of a class have been acquired for cash by an offeror (i.e.,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acquires for cash any interest in shares during the offer period, a cash alternative must be made available at not less than the highest price paid for any interest in the shares of that class;</w:t>
      </w:r>
    </w:p>
    <w:p>
      <w:pPr>
        <w:spacing w:after="0" w:line="161" w:lineRule="exact"/>
        <w:rPr>
          <w:rFonts w:ascii="Arial" w:cs="Arial" w:eastAsia="Arial" w:hAnsi="Arial"/>
          <w:sz w:val="16"/>
          <w:szCs w:val="16"/>
          <w:color w:val="auto"/>
        </w:rPr>
      </w:pPr>
    </w:p>
    <w:p>
      <w:pPr>
        <w:ind w:left="340" w:right="80" w:hanging="332"/>
        <w:spacing w:after="0" w:line="263"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after making an offer for a company, the offeror or any person acting in concert with them acquires an interest in shares in an offeree company (i.e., a target) at a price higher than the value of the offer, the offer must be increased to not less than the highest price paid for the interest in shares so acquired;</w:t>
      </w:r>
    </w:p>
    <w:p>
      <w:pPr>
        <w:spacing w:after="0" w:line="183"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offeree company must appoint a competent independent adviser whose advice on the financial terms of the offer must be made known to all the shareholders, together with the opinion of the board of directors of the offeree company;</w:t>
      </w:r>
    </w:p>
    <w:p>
      <w:pPr>
        <w:spacing w:after="0" w:line="17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document published in connection with an offer by or on behalf of the offeror or offeree must state that the directors of the offeror or the offeree, as the case may be, accept responsibility for the information contained therein;</w:t>
      </w:r>
    </w:p>
    <w:p>
      <w:pPr>
        <w:spacing w:after="0" w:line="170" w:lineRule="exact"/>
        <w:rPr>
          <w:rFonts w:ascii="Arial" w:cs="Arial" w:eastAsia="Arial" w:hAnsi="Arial"/>
          <w:sz w:val="18"/>
          <w:szCs w:val="18"/>
          <w:color w:val="auto"/>
        </w:rPr>
      </w:pPr>
    </w:p>
    <w:p>
      <w:pPr>
        <w:ind w:left="340" w:right="76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misleading, inaccurate or unsubstantiated statements made in documents or to the media must be publicly corrected immediately;</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stringent and detailed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spacing w:after="0" w:line="183" w:lineRule="exact"/>
        <w:rPr>
          <w:rFonts w:ascii="Arial" w:cs="Arial" w:eastAsia="Arial" w:hAnsi="Arial"/>
          <w:sz w:val="18"/>
          <w:szCs w:val="18"/>
          <w:color w:val="auto"/>
        </w:rPr>
      </w:pPr>
    </w:p>
    <w:p>
      <w:pPr>
        <w:ind w:left="340" w:right="160" w:hanging="332"/>
        <w:spacing w:after="0" w:line="286"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are incorporated under the laws of England and Wales. The rights of holders of ordinary shares and, therefore, certain of the rights of holders of ADSs, are governed by the laws of England and Wales, including the provisions of the Companies Act 2006, and by our Articles. These rights differ in certain respects from the rights of shareholders in typical U.S. corporations.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differences include the following:</w:t>
      </w:r>
    </w:p>
    <w:p>
      <w:pPr>
        <w:spacing w:after="0" w:line="225" w:lineRule="exact"/>
        <w:rPr>
          <w:sz w:val="20"/>
          <w:szCs w:val="20"/>
          <w:color w:val="auto"/>
        </w:rPr>
      </w:pPr>
    </w:p>
    <w:p>
      <w:pPr>
        <w:ind w:left="340" w:right="100" w:hanging="332"/>
        <w:spacing w:after="0" w:line="342"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under English law and our Articles,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23" w:lineRule="exact"/>
        <w:rPr>
          <w:rFonts w:ascii="Arial" w:cs="Arial" w:eastAsia="Arial" w:hAnsi="Arial"/>
          <w:sz w:val="16"/>
          <w:szCs w:val="16"/>
          <w:color w:val="auto"/>
        </w:rPr>
      </w:pPr>
    </w:p>
    <w:p>
      <w:pPr>
        <w:ind w:left="340" w:right="8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70" w:lineRule="exact"/>
        <w:rPr>
          <w:rFonts w:ascii="Arial" w:cs="Arial" w:eastAsia="Arial" w:hAnsi="Arial"/>
          <w:sz w:val="18"/>
          <w:szCs w:val="18"/>
          <w:color w:val="auto"/>
        </w:rPr>
      </w:pPr>
    </w:p>
    <w:p>
      <w:pPr>
        <w:jc w:val="both"/>
        <w:ind w:left="340" w:right="160" w:hanging="332"/>
        <w:spacing w:after="0" w:line="286"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165" w:lineRule="exact"/>
        <w:rPr>
          <w:rFonts w:ascii="Arial" w:cs="Arial" w:eastAsia="Arial" w:hAnsi="Arial"/>
          <w:sz w:val="17"/>
          <w:szCs w:val="17"/>
          <w:color w:val="auto"/>
        </w:rPr>
      </w:pPr>
    </w:p>
    <w:p>
      <w:pPr>
        <w:ind w:left="340" w:right="80" w:hanging="332"/>
        <w:spacing w:after="0" w:line="301"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under English law and our Articles, certain matters require the approval of 75% of the shareholders who vote (in person or by proxy) on the relevant resolution (or on a poll of shareholders representing 75% of the ordinary shares voting (in person or by proxy)), including amendments to the Articles.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57" w:lineRule="exact"/>
        <w:rPr>
          <w:rFonts w:ascii="Arial" w:cs="Arial" w:eastAsia="Arial" w:hAnsi="Arial"/>
          <w:sz w:val="16"/>
          <w:szCs w:val="16"/>
          <w:color w:val="auto"/>
        </w:rPr>
      </w:pPr>
    </w:p>
    <w:p>
      <w:pPr>
        <w:ind w:left="340" w:right="160" w:hanging="332"/>
        <w:spacing w:after="0" w:line="271"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the UK, takeovers may be structured as takeover offers or as schemes of arrangement. Under English law, for so long as we are subject to the Takeover Code, a bidder seeking to acquire us by means of a takeover offer would need to make an offer for all of our outstanding ordinary shares/ ADSs. If acceptances are not received for 90% or more of the ordinary shares/ADSs under the offer, under English law, the bidder cannot complete a “squeeze out” to obtain 100% control of us. Accordingly, acceptances of 90% of our outstanding ordinary shares (including those represented by 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(including those represented by ADSs) voting at the meeting for approval;</w:t>
      </w:r>
    </w:p>
    <w:p>
      <w:pPr>
        <w:spacing w:after="0" w:line="178" w:lineRule="exact"/>
        <w:rPr>
          <w:rFonts w:ascii="Arial" w:cs="Arial" w:eastAsia="Arial" w:hAnsi="Arial"/>
          <w:sz w:val="17"/>
          <w:szCs w:val="17"/>
          <w:color w:val="auto"/>
        </w:rPr>
      </w:pPr>
    </w:p>
    <w:p>
      <w:pPr>
        <w:ind w:left="340" w:right="60" w:hanging="332"/>
        <w:spacing w:after="0" w:line="279"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under English law and our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spacing w:after="0" w:line="171" w:lineRule="exact"/>
        <w:rPr>
          <w:rFonts w:ascii="Arial" w:cs="Arial" w:eastAsia="Arial" w:hAnsi="Arial"/>
          <w:sz w:val="17"/>
          <w:szCs w:val="17"/>
          <w:color w:val="auto"/>
        </w:rPr>
      </w:pPr>
    </w:p>
    <w:p>
      <w:pPr>
        <w:ind w:left="340" w:hanging="332"/>
        <w:spacing w:after="0" w:line="255"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one or more qualifying persons present at a meeting and between them holding (or being the proxy or corporate representative of the holders of) at least thirty-three and one-third percent (33 1/3%) in number of the issued shares (excluding any shares held as treasury shares) entitled to attend and vote on the business to be transacted.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spacing w:after="0" w:line="259" w:lineRule="auto"/>
        <w:rPr>
          <w:sz w:val="20"/>
          <w:szCs w:val="20"/>
          <w:color w:val="auto"/>
        </w:rPr>
      </w:pPr>
      <w:r>
        <w:rPr>
          <w:rFonts w:ascii="Arial" w:cs="Arial" w:eastAsia="Arial" w:hAnsi="Arial"/>
          <w:sz w:val="18"/>
          <w:szCs w:val="18"/>
          <w:b w:val="1"/>
          <w:bCs w:val="1"/>
          <w:i w:val="1"/>
          <w:iCs w:val="1"/>
          <w:color w:val="auto"/>
        </w:rPr>
        <w:t>Our Articles provide that the courts of England and Wales are the exclusive forum for the resolution of all shareholder complaints other than complaints asserting a cause of action arising under the Securities Act or the Exchange Act, and that the United States District Court for the Southern District of New York will be the exclusive forum for the resolution of any shareholder complaint asserting a cause of action arising under the Securities Act or the Exchange Act.</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Articles provide that, unless we consent by ordinary resolution to the selection of an alternative forum, the courts of England and Wales shall, to the fullest extent permitted by law, be the exclusive forum for: (a) any derivative action or proceeding brought on our behalf; (b) any action or proceeding asserting a claim of breach of fiduciary duty owed by any of our directors, officers or other employees to us; (c) any action or proceeding asserting a claim arising out of any provision of the Companies Act 2006 or our Articles (as may be amended from time to time); or (d) any action or proceeding asserting a claim or otherwise related to our affairs, or the England and Wales Forum Provision. The England and Wales Forum Provision will not apply to any causes of action arising under the Securities Act or the Exchange Act. Our Articles further provide that unless we consent by ordinary resolution to the selection of an alternative forum, the United States District Court for the Southern District of New York shall be the exclusive forum for resolving any complaint asserting a cause of action arising under the Securities Act or the Exchange Act, or the U.S. Federal Forum Provision. In addition, our Articles provide that any person or entity purchasing or otherwise acquiring any interest in our shares is deemed to have notice of and consented to the England and Wales Forum Provision and the U.S. Federal Forum Provision; provided, however, that our shareholders cannot and will not be deemed to have waived our compliance with the U.S. federal securities laws and the rules and regulations thereunder.</w:t>
      </w:r>
    </w:p>
    <w:p>
      <w:pPr>
        <w:spacing w:after="0" w:line="17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England and Wales Forum Provision and the U.S. Federal Forum Provision in our Articles may impose additional litigation costs on our shareholders in pursuing any such claims. Additionally, the forum selection clauses in our Articles may limit the ability of our shareholders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courts of England and Wales and other courts within the U.S., will enforce our U.S. Federal Forum Provision. If the U.S. Federal Forum Provision is found to be inapplicable or unenforceable in an action, we may incur additional costs associated with resolving such action in other jurisdictions, which could adversely affect our results of operations and financial condition. The U.S. Federal Forum Provision may also impose additional litigation costs on our shareholders who assert that the provision is not enforceable or invalid. The courts of England and Wales and the United States District Court for the Southern District of New York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 could adversely affect our financial condition and results of operations.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ordinary shares or ADSs. In recent years, many such changes have been made and changes are likely to continue to occur in the future. For example, on March 27, 2020, President Trump signed into law the CARES Act, which included certain changes in tax law intended to stimulate the U.S. economy in light of the COVID-19 coronavirus outbreak, including temporary beneficial changes to the treatment of net operating losses, interest deductibility limitations and payroll tax matters.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ordinary shares or ADSs.</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i w:val="1"/>
          <w:iCs w:val="1"/>
          <w:color w:val="auto"/>
        </w:rPr>
        <w:t>If we were classified as a passive foreign investment company, it would result in adverse U.S. federal income tax consequences to U.S. Holders.</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Internal Revenue Code, or Code, we will be a passive foreign investment company, or PFIC, for any taxable year in which (i) 75% or more of our gross income consists of passive income or (ii)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ordinary shares or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 A “U.S. Holder” is a holder who, for U.S. federal income tax purposes, is a beneficial owner of ordinary shares or ADSs and is: (i) an individual who is a citizen or individual resident of the United States; (ii) a corporation, or other entity taxable as a corporation for U.S. federal income tax purposes, created or organized in or under the laws of the United States, any state therein or the District of Columbia; (iii) an estate the income of which is subject to U.S. federal income taxation regardless of its source; or (iv)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Based on the current and expected composition of our income and the value of our assets, we believe we were not a PFIC for 2020, and we do not expect to be a PFIC for our current taxable year. However, no assurances regarding our PFIC status can be provided for the current taxable year or any future taxable years. The determination of whether we are a PFIC is a fact-intensive determination made on an annual basis applying principles and methodologies that in some circumstances are unclear and subject to varying interpretation. In addition, our belief that we do not expect to be a PFIC for the current taxable year is based in part upon proposed Treasury Regulations and there is a risk that those proposed Treasury Regulations may be modified or withdrawn, which could result in our being classified as a PFIC for the current taxable year. Under the income test, our status as a PFIC depends on the composition of our income which will depend on the transactions we enter into in the future and our corporate structure. The composition of our income and assets is also affected by the spending of the cash we raise in any offering.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Each U.S. Holder should consult its own tax advisors with respect to the potential adverse U.S. tax consequences to it if we are or were to become a PFIC.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a controlled foreign corporation, there could be adverse U.S. federal income tax consequences to certain U.S. Holders.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low-taxed income” and investment of earnings in U.S. property, even if the CFC has made no distributions to its shareholders. In addition, if a non-U.S. corporation owns at least one U.S. subsidiary, under current law, any current non-U.S. subsidiaries and any future newly formed or acquired non-U.S. subsidiaries of the non-U.S. corporation will be treated as CFCs, regardless of whether the non-U.S. corporation is treated as a CFC.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value or total combined voting power of all classes of stock entitled to vote of such corporation.</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right="80"/>
        <w:spacing w:after="0" w:line="254" w:lineRule="auto"/>
        <w:rPr>
          <w:sz w:val="20"/>
          <w:szCs w:val="20"/>
          <w:color w:val="auto"/>
        </w:rPr>
      </w:pPr>
      <w:r>
        <w:rPr>
          <w:rFonts w:ascii="Arial" w:cs="Arial" w:eastAsia="Arial" w:hAnsi="Arial"/>
          <w:sz w:val="18"/>
          <w:szCs w:val="18"/>
          <w:color w:val="auto"/>
        </w:rPr>
        <w:t>We do not believe that we were a CFC in 2019, and we do not expect to be a CFC in 2020. The determination of CFC status is complex and includes attribution rules, the application of which is not entirely certain. An individual that is a Ten Percent Shareholder with respect to a CFC generally would not be allowed certain tax deductions or foreign tax credits that would be allowed to a Ten Percent Shareholder that is a U.S. corporation. Failure to comply with CFC reporting obligations may subject a United States shareholder to significant monetary penalties. We cannot provide any assurances that we will furnish to any Ten Percent Shareholder information that may be necessary to comply with the reporting and tax paying obligations applicable under the CFC rules of the Code. U.S. Holders should consult their own tax advisors with respect to the potential adverse U.S. tax consequences of becoming a Ten Percent Shareholder in a CFC.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Sarbanes-Oxley Act, which will require annual management assessment of the effectiveness of our internal control over financial reporting. We have begun recruiting additional finance and accounting personnel with certain skill sets that we will need as a public company. 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depending on whether we choose to rely on certain exemptions set forth in the JOBS Act.</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Implementing any appropriate changes to our internal controls, including compliance with the requirements of Section 404 of the Sarbanes-Oxley Act,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continue to discover and develop novel immunotherapeutics and vaccines for the treatment and prevention of infectious diseases and cancer.</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ind w:right="280"/>
        <w:spacing w:after="0" w:line="342" w:lineRule="auto"/>
        <w:rPr>
          <w:sz w:val="20"/>
          <w:szCs w:val="20"/>
          <w:color w:val="auto"/>
        </w:rPr>
      </w:pPr>
      <w:r>
        <w:rPr>
          <w:rFonts w:ascii="Arial" w:cs="Arial" w:eastAsia="Arial" w:hAnsi="Arial"/>
          <w:sz w:val="16"/>
          <w:szCs w:val="16"/>
          <w:b w:val="1"/>
          <w:bCs w:val="1"/>
          <w:i w:val="1"/>
          <w:iCs w:val="1"/>
          <w:color w:val="auto"/>
        </w:rPr>
        <w:t>We identified material weaknesses in connection with our internal control over financial reporting. Although we are taking steps to remediate these material weaknesses, we may not be successful in doing so in a timely manner, or at all, and we may identify other material weaknesses.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reviews and audits of our consolidated financial statements for each of the years ended December 31, 2019 and 2020, and the periods ended March 31, 2020 and 2021, our management and independent registered public accounting firm identified material weaknesses in our internal control over financial reporting. The material weaknesses related to: (i) our lack of a sufficient number of personnel with an appropriate level of knowledge and experience in the application of U.S. generally accepted accounting principles, or U.S. GAAP, commensurate with our financial reporting requirements; (ii) our IT general control environment has not been sufficiently designed to include appropriate user access rights and (iii) policies and procedures with respect to the review, supervision and monitoring of our accounting and reporting functions were either not designed and in place or not operating effectively. As a result, a number of adjustments to our consolidated financial statements for each of the years ended December 31, 2019 and 2020 were identified and made during the course of the audit process. In addition, our condensed consolidated financial statements for the three months ended March 31, 2021 include the correction of an error related to the year ended December 31, 2019.</w:t>
      </w:r>
    </w:p>
    <w:p>
      <w:pPr>
        <w:spacing w:after="0" w:line="18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are currently not required to comply with Section 404 of the Sarbanes-Oxley Act, and are therefore not required to make an assessment of the effectiveness of our internal control over financial reporting. Further, our independent registered public accounting firm has not been engaged to express, nor have they expressed, an opinion on the effectiveness of our internal control over financial reporting. Had we and our independent registered public accounting firm performed an evaluation of our internal control over financial reporting in accordance with the provisions of the Sarbanes-Oxley Act, additional control deficiencies may have been identified by our management or independent registered public accounting firm, and those control deficiencies could have also represented one or more material weaknesses. In an effort to remediate the material weaknesses, we have hired a Chief Financial Officer with public company experience and we plan to increase the number of our finance and accounting personnel. On May 28, 2021, we extended an offer, which was subsequently accepted, to a candidate to join the Company as Head of Financial Reporting, and earlier that same month, we started an implementation of a new ERP system.</w:t>
      </w:r>
    </w:p>
    <w:p>
      <w:pPr>
        <w:spacing w:after="0" w:line="18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Assessing our procedures to improve our internal control over financial reporting is an ongoing process. We can provide no assurance that our remediation efforts described herein will be successful and that we will not have material weaknesses in the future. Any material weaknesses we identify could result in an adverse reaction in the financial markets due to a loss of confidence in the reliability of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results of operations may be negatively impacted by the UK’s withdrawal from the EU.</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23, 2016, the UK held a referendum in which a majority of voters approved an exit from the EU, or Brexit. After nearly three years of negotiation and political and economic uncertainty, the UK’s withdrawal from the EU became effective on January 31, 2020. There was a transitional period, during which EU laws continued to apply in the UK, which ended on December 31, 2020. The UK and EU have signed a EU-UK Trade and Cooperation Agreement, which provides details on how some aspects of the UK and EU’s relationship regarding medicinal products will operate, particularly in relation to Good Manufacturing Practice; however, there are still many uncertainties.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4" w:name="page105"/>
    <w:bookmarkEnd w:id="104"/>
    <w:p>
      <w:pPr>
        <w:ind w:right="40"/>
        <w:spacing w:after="0" w:line="257" w:lineRule="auto"/>
        <w:rPr>
          <w:sz w:val="20"/>
          <w:szCs w:val="20"/>
          <w:color w:val="auto"/>
        </w:rPr>
      </w:pPr>
      <w:r>
        <w:rPr>
          <w:rFonts w:ascii="Arial" w:cs="Arial" w:eastAsia="Arial" w:hAnsi="Arial"/>
          <w:sz w:val="18"/>
          <w:szCs w:val="18"/>
          <w:color w:val="auto"/>
        </w:rPr>
        <w:t>Brexit may affect our results of operations in a number of ways, including increasing currency exchange risk, generating instability in the global financial markets or negatively impacting the economies of the UK and Europe. In addition, as we are headquartered in the UK, it is possible that Brexit may impact some or all of our current operations. For example, Brexit will impact our ability to freely move employees from our headquarters in the UK to other locations in Europe. Furthermore, if other EU member states pursue withdrawal, barrier-free access among the EU overall could be diminished or eliminated.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long-term effects of Brexit will depend in part on how the EU-UK Trade and Cooperation Agreement, and any future agreements signed by the UK and the EU, play out in practice.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the EU and EEA and these operations and clinical activities could be disrupted by Brexit.</w:t>
      </w:r>
    </w:p>
    <w:p>
      <w:pPr>
        <w:spacing w:after="0" w:line="19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as a result of Brexit. The UK will lose the benefits of global trade agreements negotiated by the EU on behalf of its member states, which may result in increased trade barriers that could make our doing business in the EU and the EEA more difficult. Since the regulatory framework in the UK covering quality, safety and efficacy of therapeutic substances, clinical trials, marketing authorization, commercial sales and distribution of therapeutic substances is derived from EU directives and regulations, Brexit could materially impact the future regulatory regime with respect to the approval of our current or future product candidates in the UK, now that the UK legislation has the potential to diverge from EU legislation. It remains to be seen how Brexit will impact regulatory requirements for product candidates and therapies in the UK in the long term. Any delay in obtaining, or an inability to obtain, any marketing authorizations, as a result of Brexit or otherwise, would delay or prevent us from commercializing our current or future product candidates in the UK and/or the EU and restrict our ability to generate revenue and achieve and sustain profitability. If any of these outcomes occur, we may be forced to restrict or delay efforts to seek marketing authorization in the UK and/or EU for our current or future product candidates, which could significantly and materially harm our business. Even prior to any change to the UK’s relationship with the EU, the announcement of Brexit had created economic uncertainty surrounding the terms of Brexit and its consequences could adversely impact customer confidence resulting in customers reducing their spending budgets on our current or future product candidates, if approved, which could adversely affect our business, financial condition, results of operations and could adversely affect the market price of our ADSs.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expect that Brexit could lead to legal uncertainty and potentially divergent national laws and regulations as the UK determines which EU laws to replicate or replace, including those related to data privacy and the regulation of medicinal products, as described above. Any of these effects of Brexit, and others we cannot anticipate, could negatively impact our business and results of operations.</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Legal, political and economic uncertainty surrounding the United Kingdom’s withdrawal from the European Union may be a source of instability in international markets, create significant currency fluctuations and risks of additional taxation, adversely affect our operations in the United Kingdom and pose additional risks to our business, revenue, financial condition, and results of operations.</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Since a significant proportion of the regulatory framework in the United Kingdom applicable to our business and our product candidates is derived from European Union directives and regulations, Brexit could materially impact the regulatory regime with respect to the development, manufacture, importation, approval and commercialization of our product candidates in the United Kingdom or the European Union. For example, Great Britain will no longer be covered by the centralized procedures for obtaining EEA-wide marketing and manufacturing authorizations from the EMA (centralized marketing authorizations will continue to be valid in Northern lreland under the Northern Ireland Protocol) and a separate process for authorization of drug products will be required in Great Britain resulting in an authorization covering the United Kingdom or Great Britain only. For a period of two years from January 1, 2021, the Medicines and Healthcare products Regulatory Agency, or MHRA (the UK medicines and medical devices regulator) may rely on a decision taken by the European Commission on the approval of a new marketing authorization in the centralized procedure, in order to more quickly grant a Great Britain marketing authorization. A separate application will, however, still be required. The MHRA has published a series of guidance notes on how the process for authorization of medicines will now work, however exactly what implications this will have in practice remain unclear.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If any of these outcomes occur, we may be forced to restrict or delay efforts to seek marketing authorization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5" w:name="page106"/>
    <w:bookmarkEnd w:id="105"/>
    <w:p>
      <w:pPr>
        <w:jc w:val="both"/>
        <w:ind w:right="20"/>
        <w:spacing w:after="0" w:line="263" w:lineRule="auto"/>
        <w:rPr>
          <w:sz w:val="20"/>
          <w:szCs w:val="20"/>
          <w:color w:val="auto"/>
        </w:rPr>
      </w:pPr>
      <w:r>
        <w:rPr>
          <w:rFonts w:ascii="Arial" w:cs="Arial" w:eastAsia="Arial" w:hAnsi="Arial"/>
          <w:sz w:val="18"/>
          <w:szCs w:val="18"/>
          <w:color w:val="auto"/>
        </w:rPr>
        <w:t>The uncertainty concerning the United Kingdom’s legal, political and economic relationship with the European Union following Brexit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quarterly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quarterly report are based upon information available to our management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quarterly report include, but are not limited to, statements about:</w:t>
      </w:r>
    </w:p>
    <w:p>
      <w:pPr>
        <w:spacing w:after="0" w:line="193"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144" w:lineRule="exact"/>
        <w:rPr>
          <w:rFonts w:ascii="Arial" w:cs="Arial" w:eastAsia="Arial" w:hAnsi="Arial"/>
          <w:sz w:val="18"/>
          <w:szCs w:val="18"/>
          <w:color w:val="auto"/>
        </w:rPr>
      </w:pPr>
    </w:p>
    <w:p>
      <w:pPr>
        <w:ind w:left="340" w:right="180" w:hanging="332"/>
        <w:spacing w:after="0" w:line="259"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including timing of Investigational New Drug Application and Biological License Application filings for our current and future product candidates, and final U.S. Food and Drug Administration, European Medicines Agency, United Kingdom Medicines and Healthcare products Regulatory Agency or other foreign regulatory authority approval of our current and future product candidates;</w:t>
      </w:r>
    </w:p>
    <w:p>
      <w:pPr>
        <w:spacing w:after="0" w:line="105"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ability to develop and advance our current and future product candidates and programs into, and successfully complete, clinical trials;</w:t>
      </w:r>
    </w:p>
    <w:p>
      <w:pPr>
        <w:spacing w:after="0" w:line="155" w:lineRule="exact"/>
        <w:rPr>
          <w:rFonts w:ascii="Arial" w:cs="Arial" w:eastAsia="Arial" w:hAnsi="Arial"/>
          <w:sz w:val="17"/>
          <w:szCs w:val="17"/>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establish future or maintain current collaborations or strategic relationships or obtain additional funding;</w:t>
      </w:r>
    </w:p>
    <w:p>
      <w:pPr>
        <w:spacing w:after="0" w:line="144"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and future product candidates;</w:t>
      </w:r>
    </w:p>
    <w:p>
      <w:pPr>
        <w:spacing w:after="0" w:line="144"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ability and willingness of our third-party collaborators to continue research and development activities relating to our product candidates;</w:t>
      </w:r>
    </w:p>
    <w:p>
      <w:pPr>
        <w:spacing w:after="0" w:line="155" w:lineRule="exact"/>
        <w:rPr>
          <w:rFonts w:ascii="Arial" w:cs="Arial" w:eastAsia="Arial" w:hAnsi="Arial"/>
          <w:sz w:val="17"/>
          <w:szCs w:val="17"/>
          <w:color w:val="auto"/>
        </w:rPr>
      </w:pPr>
    </w:p>
    <w:p>
      <w:pPr>
        <w:ind w:left="340" w:right="10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and our collaborators’ ability to obtain, maintain, defend and enforce our intellectual property protection for our product candidates, and the scope of such protection;</w:t>
      </w: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44"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product candidates and any other approved products;</w:t>
      </w:r>
    </w:p>
    <w:p>
      <w:pPr>
        <w:spacing w:after="0" w:line="155" w:lineRule="exact"/>
        <w:rPr>
          <w:rFonts w:ascii="Arial" w:cs="Arial" w:eastAsia="Arial" w:hAnsi="Arial"/>
          <w:sz w:val="17"/>
          <w:szCs w:val="17"/>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44"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competitive companies, technologies and our industry and the success of competing therapies that are or may become available;</w:t>
      </w:r>
    </w:p>
    <w:p>
      <w:pPr>
        <w:spacing w:after="0" w:line="144"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44"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89"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accuracy of our estimates of our annual total addressable markets, future revenue, expenses, capital requirements and needs for additional financing;</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44"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overcome the challenges posed by the COVID-19 pandemic to the conduct of our business; and</w:t>
      </w:r>
    </w:p>
    <w:p>
      <w:pPr>
        <w:spacing w:after="0" w:line="144"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 of 2012, as amended.</w:t>
      </w:r>
    </w:p>
    <w:p>
      <w:pPr>
        <w:spacing w:after="0" w:line="2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quarterly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quarterly report and the documents that we reference in this quarterly report with the understanding that our actual future results may be materially different from what we expect. We qualify all of our forward-looking statements in this quarterly report by these cautionary statements.</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r>
        <w:rPr>
          <w:rFonts w:ascii="Arial" w:cs="Arial" w:eastAsia="Arial" w:hAnsi="Arial"/>
          <w:sz w:val="15"/>
          <w:szCs w:val="15"/>
          <w:color w:val="auto"/>
        </w:rPr>
        <w: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Set forth below is information regarding shares of equity securities sold, and options granted, by us during the three months ended March 31, 2021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During the period between January 1, 2021 and March 31, 2021, we issued to certain of our employees and advisors, options to purchase an aggregate of 364,620 ordinary shares at an average exercise price of $0.00003 per share. We deemed these issuances to be exempt from registration under the Securities Act either in reliance on Rule 701 of the Securities Act as sales and offers under compensatory benefit.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4, 2021, we completed our initial public offering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 the offering were registered under the Securities Act pursuant to a registration statement on Form S-1 (File No. 333-255158), which became effective on April 29, 2021.</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7" w:name="page108"/>
    <w:bookmarkEnd w:id="107"/>
    <w:p>
      <w:pPr>
        <w:jc w:val="both"/>
        <w:spacing w:after="0" w:line="263" w:lineRule="auto"/>
        <w:rPr>
          <w:sz w:val="20"/>
          <w:szCs w:val="20"/>
          <w:color w:val="auto"/>
        </w:rPr>
      </w:pPr>
      <w:r>
        <w:rPr>
          <w:rFonts w:ascii="Arial" w:cs="Arial" w:eastAsia="Arial" w:hAnsi="Arial"/>
          <w:sz w:val="18"/>
          <w:szCs w:val="18"/>
          <w:color w:val="auto"/>
        </w:rPr>
        <w:t>We received aggregate net proceeds from the offering of approximately $99.9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has been no material change in our planned use of the net proceeds from the IPO as described in the final prospectus filed with the SEC pursuant to Rule 424(b) under the Securities Act.</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r>
        <w:rPr>
          <w:rFonts w:ascii="Arial" w:cs="Arial" w:eastAsia="Arial" w:hAnsi="Arial"/>
          <w:sz w:val="15"/>
          <w:szCs w:val="15"/>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r>
        <w:rPr>
          <w:rFonts w:ascii="Arial" w:cs="Arial" w:eastAsia="Arial" w:hAnsi="Arial"/>
          <w:sz w:val="17"/>
          <w:szCs w:val="17"/>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214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 Number</w:t>
            </w:r>
          </w:p>
        </w:tc>
        <w:tc>
          <w:tcPr>
            <w:tcW w:w="9100" w:type="dxa"/>
            <w:vAlign w:val="bottom"/>
            <w:gridSpan w:val="21"/>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940" w:type="dxa"/>
            <w:vAlign w:val="bottom"/>
            <w:tcBorders>
              <w:bottom w:val="single" w:sz="8" w:color="0000EE"/>
            </w:tcBorders>
            <w:gridSpan w:val="19"/>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Articles of Association of the Registrant (incorporated by reference to Exhibit 3.2 to the Registrant’s Registration Statement</w:t>
              </w:r>
            </w:hyperlink>
          </w:p>
        </w:tc>
        <w:tc>
          <w:tcPr>
            <w:tcW w:w="160" w:type="dxa"/>
            <w:vAlign w:val="bottom"/>
            <w:gridSpan w:val="2"/>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3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on Form S-1 (File No. 333-2551258) filed on April 9, 2021).</w:t>
              </w:r>
            </w:hyperlink>
          </w:p>
        </w:tc>
        <w:tc>
          <w:tcPr>
            <w:tcW w:w="4720" w:type="dxa"/>
            <w:vAlign w:val="bottom"/>
            <w:gridSpan w:val="19"/>
          </w:tcPr>
          <w:p>
            <w:pPr>
              <w:spacing w:after="0"/>
              <w:rPr>
                <w:sz w:val="17"/>
                <w:szCs w:val="17"/>
                <w:color w:val="auto"/>
              </w:rPr>
            </w:pPr>
          </w:p>
        </w:tc>
      </w:tr>
      <w:tr>
        <w:trPr>
          <w:trHeight w:val="412"/>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100" w:type="dxa"/>
            <w:vAlign w:val="bottom"/>
            <w:gridSpan w:val="21"/>
          </w:tcPr>
          <w:p>
            <w:pPr>
              <w:spacing w:after="0"/>
              <w:rPr>
                <w:rFonts w:ascii="Arial" w:cs="Arial" w:eastAsia="Arial" w:hAnsi="Arial"/>
                <w:sz w:val="18"/>
                <w:szCs w:val="18"/>
                <w:color w:val="0000EE"/>
                <w:w w:val="94"/>
              </w:rPr>
            </w:pPr>
            <w:hyperlink r:id="rId128">
              <w:r>
                <w:rPr>
                  <w:rFonts w:ascii="Arial" w:cs="Arial" w:eastAsia="Arial" w:hAnsi="Arial"/>
                  <w:sz w:val="18"/>
                  <w:szCs w:val="18"/>
                  <w:color w:val="0000EE"/>
                  <w:w w:val="94"/>
                </w:rPr>
                <w:t>Form of American Depositary Receipt (incorporated by reference to Exhibit 4.2 to the Registrant’s Registration Statement</w:t>
              </w:r>
            </w:hyperlink>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on Form S-1/A (File No. 333-2551258) filed on April 26, 2021).</w:t>
              </w:r>
            </w:hyperlink>
          </w:p>
        </w:tc>
        <w:tc>
          <w:tcPr>
            <w:tcW w:w="320" w:type="dxa"/>
            <w:vAlign w:val="bottom"/>
            <w:gridSpan w:val="7"/>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00" w:type="dxa"/>
            <w:vAlign w:val="bottom"/>
            <w:gridSpan w:val="2"/>
          </w:tcPr>
          <w:p>
            <w:pPr>
              <w:ind w:left="100"/>
              <w:spacing w:after="0"/>
              <w:rPr>
                <w:sz w:val="20"/>
                <w:szCs w:val="20"/>
                <w:color w:val="auto"/>
              </w:rPr>
            </w:pPr>
            <w:r>
              <w:rPr>
                <w:rFonts w:ascii="Arial" w:cs="Arial" w:eastAsia="Arial" w:hAnsi="Arial"/>
                <w:sz w:val="18"/>
                <w:szCs w:val="18"/>
                <w:color w:val="auto"/>
                <w:w w:val="84"/>
              </w:rPr>
              <w:t>10.2#</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100" w:type="dxa"/>
            <w:vAlign w:val="bottom"/>
            <w:gridSpan w:val="21"/>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2021 Employee Share Purchase Plan (incorporated by reference to Exhibit 10.17 to the Registrant’s Registration Statement</w:t>
              </w:r>
            </w:hyperlink>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on Form S-1/A (File No. 333-2551258) filed on April 26, 2021).</w:t>
              </w:r>
            </w:hyperlink>
          </w:p>
        </w:tc>
        <w:tc>
          <w:tcPr>
            <w:tcW w:w="260" w:type="dxa"/>
            <w:vAlign w:val="bottom"/>
            <w:gridSpan w:val="6"/>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00" w:type="dxa"/>
            <w:vAlign w:val="bottom"/>
            <w:gridSpan w:val="2"/>
          </w:tcPr>
          <w:p>
            <w:pPr>
              <w:ind w:left="100"/>
              <w:spacing w:after="0"/>
              <w:rPr>
                <w:sz w:val="20"/>
                <w:szCs w:val="20"/>
                <w:color w:val="auto"/>
              </w:rPr>
            </w:pPr>
            <w:r>
              <w:rPr>
                <w:rFonts w:ascii="Arial" w:cs="Arial" w:eastAsia="Arial" w:hAnsi="Arial"/>
                <w:sz w:val="18"/>
                <w:szCs w:val="18"/>
                <w:color w:val="auto"/>
                <w:w w:val="84"/>
              </w:rPr>
              <w:t>10.3#</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960" w:type="dxa"/>
            <w:vAlign w:val="bottom"/>
            <w:tcBorders>
              <w:bottom w:val="single" w:sz="8" w:color="0000EE"/>
            </w:tcBorders>
            <w:gridSpan w:val="20"/>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2021 Share Option and Incentive Plan and forms of award agreements thereunder (incorporated by reference to Exhibit 10.2</w:t>
              </w:r>
            </w:hyperlink>
          </w:p>
        </w:tc>
        <w:tc>
          <w:tcPr>
            <w:tcW w:w="14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100" w:type="dxa"/>
            <w:vAlign w:val="bottom"/>
            <w:gridSpan w:val="21"/>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to the Registrant’s Registration Statement on Form S-1/A (File No. 333-2551258) filed on April 26, 2021).</w:t>
              </w:r>
            </w:hyperlink>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00" w:type="dxa"/>
            <w:vAlign w:val="bottom"/>
            <w:gridSpan w:val="2"/>
          </w:tcPr>
          <w:p>
            <w:pPr>
              <w:ind w:left="100"/>
              <w:spacing w:after="0"/>
              <w:rPr>
                <w:sz w:val="20"/>
                <w:szCs w:val="20"/>
                <w:color w:val="auto"/>
              </w:rPr>
            </w:pPr>
            <w:r>
              <w:rPr>
                <w:rFonts w:ascii="Arial" w:cs="Arial" w:eastAsia="Arial" w:hAnsi="Arial"/>
                <w:sz w:val="18"/>
                <w:szCs w:val="18"/>
                <w:color w:val="auto"/>
                <w:w w:val="84"/>
              </w:rPr>
              <w:t>10.4#</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560" w:type="dxa"/>
            <w:vAlign w:val="bottom"/>
            <w:tcBorders>
              <w:bottom w:val="single" w:sz="8" w:color="0000EE"/>
            </w:tcBorders>
            <w:gridSpan w:val="9"/>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Employment Agreement between the Registrant and William Enright, dated May 4, 2021 (incorporated by reference to</w:t>
              </w:r>
            </w:hyperlink>
          </w:p>
        </w:tc>
        <w:tc>
          <w:tcPr>
            <w:tcW w:w="540" w:type="dxa"/>
            <w:vAlign w:val="bottom"/>
            <w:gridSpan w:val="12"/>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100" w:type="dxa"/>
            <w:vAlign w:val="bottom"/>
            <w:gridSpan w:val="21"/>
          </w:tcPr>
          <w:p>
            <w:pPr>
              <w:spacing w:after="0" w:line="196" w:lineRule="exact"/>
              <w:rPr>
                <w:rFonts w:ascii="Arial" w:cs="Arial" w:eastAsia="Arial" w:hAnsi="Arial"/>
                <w:sz w:val="18"/>
                <w:szCs w:val="18"/>
                <w:color w:val="0000EE"/>
                <w:w w:val="98"/>
              </w:rPr>
            </w:pPr>
            <w:hyperlink r:id="rId131">
              <w:r>
                <w:rPr>
                  <w:rFonts w:ascii="Arial" w:cs="Arial" w:eastAsia="Arial" w:hAnsi="Arial"/>
                  <w:sz w:val="18"/>
                  <w:szCs w:val="18"/>
                  <w:color w:val="0000EE"/>
                  <w:w w:val="98"/>
                </w:rPr>
                <w:t>Exhibit 10.10 to the Registrant’s Registration Statement on Form S-1 (File No. 333-2551258) filed on April 9, 2021).</w:t>
              </w:r>
            </w:hyperlink>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00" w:type="dxa"/>
            <w:vAlign w:val="bottom"/>
            <w:gridSpan w:val="2"/>
          </w:tcPr>
          <w:p>
            <w:pPr>
              <w:ind w:left="100"/>
              <w:spacing w:after="0"/>
              <w:rPr>
                <w:sz w:val="20"/>
                <w:szCs w:val="20"/>
                <w:color w:val="auto"/>
              </w:rPr>
            </w:pPr>
            <w:r>
              <w:rPr>
                <w:rFonts w:ascii="Arial" w:cs="Arial" w:eastAsia="Arial" w:hAnsi="Arial"/>
                <w:sz w:val="18"/>
                <w:szCs w:val="18"/>
                <w:color w:val="auto"/>
                <w:w w:val="84"/>
              </w:rPr>
              <w:t>10.5#</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100" w:type="dxa"/>
            <w:vAlign w:val="bottom"/>
            <w:gridSpan w:val="21"/>
          </w:tcPr>
          <w:p>
            <w:pPr>
              <w:spacing w:after="0"/>
              <w:rPr>
                <w:rFonts w:ascii="Arial" w:cs="Arial" w:eastAsia="Arial" w:hAnsi="Arial"/>
                <w:sz w:val="18"/>
                <w:szCs w:val="18"/>
                <w:color w:val="0000EE"/>
                <w:w w:val="96"/>
              </w:rPr>
            </w:pPr>
            <w:hyperlink r:id="rId132">
              <w:r>
                <w:rPr>
                  <w:rFonts w:ascii="Arial" w:cs="Arial" w:eastAsia="Arial" w:hAnsi="Arial"/>
                  <w:sz w:val="18"/>
                  <w:szCs w:val="18"/>
                  <w:color w:val="0000EE"/>
                  <w:w w:val="96"/>
                </w:rPr>
                <w:t>Employment Agreement between the Registrant and Georgy Egorov, dated May 4, 2021 (incorporated by reference to</w:t>
              </w:r>
            </w:hyperlink>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100" w:type="dxa"/>
            <w:vAlign w:val="bottom"/>
            <w:gridSpan w:val="21"/>
          </w:tcPr>
          <w:p>
            <w:pPr>
              <w:spacing w:after="0" w:line="196" w:lineRule="exact"/>
              <w:rPr>
                <w:rFonts w:ascii="Arial" w:cs="Arial" w:eastAsia="Arial" w:hAnsi="Arial"/>
                <w:sz w:val="18"/>
                <w:szCs w:val="18"/>
                <w:color w:val="0000EE"/>
                <w:w w:val="96"/>
              </w:rPr>
            </w:pPr>
            <w:hyperlink r:id="rId132">
              <w:r>
                <w:rPr>
                  <w:rFonts w:ascii="Arial" w:cs="Arial" w:eastAsia="Arial" w:hAnsi="Arial"/>
                  <w:sz w:val="18"/>
                  <w:szCs w:val="18"/>
                  <w:color w:val="0000EE"/>
                  <w:w w:val="96"/>
                </w:rPr>
                <w:t>Exhibit 10.11 to the Registrant’s Registration Statement on Form S-1/A (File No. 333-2551258) filed on April 26, 2021).</w:t>
              </w:r>
            </w:hyperlink>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00" w:type="dxa"/>
            <w:vAlign w:val="bottom"/>
            <w:gridSpan w:val="2"/>
          </w:tcPr>
          <w:p>
            <w:pPr>
              <w:ind w:left="100"/>
              <w:spacing w:after="0"/>
              <w:rPr>
                <w:sz w:val="20"/>
                <w:szCs w:val="20"/>
                <w:color w:val="auto"/>
              </w:rPr>
            </w:pPr>
            <w:r>
              <w:rPr>
                <w:rFonts w:ascii="Arial" w:cs="Arial" w:eastAsia="Arial" w:hAnsi="Arial"/>
                <w:sz w:val="18"/>
                <w:szCs w:val="18"/>
                <w:color w:val="auto"/>
                <w:w w:val="84"/>
              </w:rPr>
              <w:t>10.6#</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100" w:type="dxa"/>
            <w:vAlign w:val="bottom"/>
            <w:gridSpan w:val="21"/>
          </w:tcPr>
          <w:p>
            <w:pP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Employment Agreement between the Registrant and Thomas G. Evans, MD, dated May 4, 2021 (incorporated by reference</w:t>
              </w:r>
            </w:hyperlink>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to Exhibit 10.12 to the Registrant’s Registration Statement on Form S-1 (File No. 333-2551258) filed on April 9, 2021).</w:t>
              </w:r>
            </w:hyperlink>
          </w:p>
        </w:tc>
        <w:tc>
          <w:tcPr>
            <w:tcW w:w="160" w:type="dxa"/>
            <w:vAlign w:val="bottom"/>
            <w:tcBorders>
              <w:top w:val="single" w:sz="8" w:color="0000EE"/>
            </w:tcBorders>
            <w:gridSpan w:val="5"/>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412"/>
        </w:trPr>
        <w:tc>
          <w:tcPr>
            <w:tcW w:w="500" w:type="dxa"/>
            <w:vAlign w:val="bottom"/>
            <w:gridSpan w:val="2"/>
          </w:tcPr>
          <w:p>
            <w:pPr>
              <w:ind w:left="100"/>
              <w:spacing w:after="0"/>
              <w:rPr>
                <w:sz w:val="20"/>
                <w:szCs w:val="20"/>
                <w:color w:val="auto"/>
              </w:rPr>
            </w:pPr>
            <w:r>
              <w:rPr>
                <w:rFonts w:ascii="Arial" w:cs="Arial" w:eastAsia="Arial" w:hAnsi="Arial"/>
                <w:sz w:val="18"/>
                <w:szCs w:val="18"/>
                <w:color w:val="auto"/>
                <w:w w:val="84"/>
              </w:rPr>
              <w:t>10.7#</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940" w:type="dxa"/>
            <w:vAlign w:val="bottom"/>
            <w:tcBorders>
              <w:bottom w:val="single" w:sz="8" w:color="0000EE"/>
            </w:tcBorders>
            <w:gridSpan w:val="19"/>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Employment Agreement between the Registrant and Margaret Marshall, MD, dated May 4, 2021 (incorporated by reference</w:t>
              </w:r>
            </w:hyperlink>
          </w:p>
        </w:tc>
        <w:tc>
          <w:tcPr>
            <w:tcW w:w="160" w:type="dxa"/>
            <w:vAlign w:val="bottom"/>
            <w:gridSpan w:val="2"/>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7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to Exhibit 10.13 to the Registrant’s Registration Statement on Form S-1 (File No. 333-2551258) filed on April 9, 2021).</w:t>
              </w:r>
            </w:hyperlink>
          </w:p>
        </w:tc>
        <w:tc>
          <w:tcPr>
            <w:tcW w:w="400" w:type="dxa"/>
            <w:vAlign w:val="bottom"/>
            <w:gridSpan w:val="10"/>
          </w:tcPr>
          <w:p>
            <w:pPr>
              <w:spacing w:after="0"/>
              <w:rPr>
                <w:sz w:val="17"/>
                <w:szCs w:val="17"/>
                <w:color w:val="auto"/>
              </w:rPr>
            </w:pPr>
          </w:p>
        </w:tc>
      </w:tr>
      <w:tr>
        <w:trPr>
          <w:trHeight w:val="412"/>
        </w:trPr>
        <w:tc>
          <w:tcPr>
            <w:tcW w:w="500" w:type="dxa"/>
            <w:vAlign w:val="bottom"/>
            <w:gridSpan w:val="2"/>
          </w:tcPr>
          <w:p>
            <w:pPr>
              <w:ind w:left="100"/>
              <w:spacing w:after="0"/>
              <w:rPr>
                <w:sz w:val="20"/>
                <w:szCs w:val="20"/>
                <w:color w:val="auto"/>
              </w:rPr>
            </w:pPr>
            <w:r>
              <w:rPr>
                <w:rFonts w:ascii="Arial" w:cs="Arial" w:eastAsia="Arial" w:hAnsi="Arial"/>
                <w:sz w:val="18"/>
                <w:szCs w:val="18"/>
                <w:color w:val="auto"/>
                <w:w w:val="84"/>
              </w:rPr>
              <w:t>10.8#</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740" w:type="dxa"/>
            <w:vAlign w:val="bottom"/>
            <w:tcBorders>
              <w:bottom w:val="single" w:sz="8" w:color="0000EE"/>
            </w:tcBorders>
            <w:gridSpan w:val="13"/>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Employment Agreement between the Registrant and Chris Ellis, dated May 4, 2021 (incorporated by reference to Exhibit</w:t>
              </w:r>
            </w:hyperlink>
          </w:p>
        </w:tc>
        <w:tc>
          <w:tcPr>
            <w:tcW w:w="360" w:type="dxa"/>
            <w:vAlign w:val="bottom"/>
            <w:gridSpan w:val="8"/>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1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14</w:t>
              </w:r>
              <w:r>
                <w:rPr>
                  <w:rFonts w:ascii="Arial" w:cs="Arial" w:eastAsia="Arial" w:hAnsi="Arial"/>
                  <w:sz w:val="18"/>
                  <w:szCs w:val="18"/>
                  <w:color w:val="0000EE"/>
                  <w:w w:val="91"/>
                </w:rPr>
                <w:t xml:space="preserve"> to the Registrant’s Registration Statement on Form S-1/A (File No. 333-2551258) filed on April 26, 2021).</w:t>
              </w:r>
            </w:hyperlink>
          </w:p>
        </w:tc>
        <w:tc>
          <w:tcPr>
            <w:tcW w:w="960" w:type="dxa"/>
            <w:vAlign w:val="bottom"/>
            <w:gridSpan w:val="15"/>
          </w:tcPr>
          <w:p>
            <w:pPr>
              <w:spacing w:after="0"/>
              <w:rPr>
                <w:sz w:val="17"/>
                <w:szCs w:val="17"/>
                <w:color w:val="auto"/>
              </w:rPr>
            </w:pPr>
          </w:p>
        </w:tc>
      </w:tr>
      <w:tr>
        <w:trPr>
          <w:trHeight w:val="412"/>
        </w:trPr>
        <w:tc>
          <w:tcPr>
            <w:tcW w:w="500" w:type="dxa"/>
            <w:vAlign w:val="bottom"/>
            <w:gridSpan w:val="2"/>
          </w:tcPr>
          <w:p>
            <w:pPr>
              <w:ind w:left="100"/>
              <w:spacing w:after="0"/>
              <w:rPr>
                <w:sz w:val="20"/>
                <w:szCs w:val="20"/>
                <w:color w:val="auto"/>
              </w:rPr>
            </w:pPr>
            <w:r>
              <w:rPr>
                <w:rFonts w:ascii="Arial" w:cs="Arial" w:eastAsia="Arial" w:hAnsi="Arial"/>
                <w:sz w:val="18"/>
                <w:szCs w:val="18"/>
                <w:color w:val="auto"/>
                <w:w w:val="84"/>
              </w:rPr>
              <w:t>10.9#</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100" w:type="dxa"/>
            <w:vAlign w:val="bottom"/>
            <w:gridSpan w:val="21"/>
          </w:tcPr>
          <w:p>
            <w:pPr>
              <w:spacing w:after="0"/>
              <w:rPr>
                <w:rFonts w:ascii="Arial" w:cs="Arial" w:eastAsia="Arial" w:hAnsi="Arial"/>
                <w:sz w:val="18"/>
                <w:szCs w:val="18"/>
                <w:color w:val="0000EE"/>
                <w:w w:val="95"/>
              </w:rPr>
            </w:pPr>
            <w:hyperlink r:id="rId136">
              <w:r>
                <w:rPr>
                  <w:rFonts w:ascii="Arial" w:cs="Arial" w:eastAsia="Arial" w:hAnsi="Arial"/>
                  <w:sz w:val="18"/>
                  <w:szCs w:val="18"/>
                  <w:color w:val="0000EE"/>
                  <w:w w:val="95"/>
                </w:rPr>
                <w:t>Employment Agreement between the Registrant and Graham Griffiths, dated May 4, 2021 (incorporated by reference to</w:t>
              </w:r>
            </w:hyperlink>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7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Exhibit 10.15 to the Registrant’s Registration Statement on Form S-1/A (File No. 333-2551258) filed on April 26, 2021).</w:t>
              </w:r>
            </w:hyperlink>
          </w:p>
        </w:tc>
        <w:tc>
          <w:tcPr>
            <w:tcW w:w="380" w:type="dxa"/>
            <w:vAlign w:val="bottom"/>
            <w:gridSpan w:val="9"/>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400" w:type="dxa"/>
            <w:vAlign w:val="bottom"/>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100" w:type="dxa"/>
            <w:vAlign w:val="bottom"/>
            <w:gridSpan w:val="21"/>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Certification of Principal Executive Officer Pursuant to Rules 13a-14(a) and 15d-14(a) under the Securities Exchange Act of</w:t>
              </w:r>
            </w:hyperlink>
          </w:p>
        </w:tc>
      </w:tr>
      <w:tr>
        <w:trPr>
          <w:trHeight w:val="196"/>
        </w:trPr>
        <w:tc>
          <w:tcPr>
            <w:tcW w:w="10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1934, as Adopted Pursuant to Section 302 of the Sarbanes-Oxley Act of 2002.</w:t>
              </w:r>
            </w:hyperlink>
          </w:p>
        </w:tc>
        <w:tc>
          <w:tcPr>
            <w:tcW w:w="3340" w:type="dxa"/>
            <w:vAlign w:val="bottom"/>
            <w:tcBorders>
              <w:top w:val="single" w:sz="8" w:color="0000EE"/>
            </w:tcBorders>
            <w:gridSpan w:val="16"/>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9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Certification of Principal Financial Officer Pursuant to Rules 13a-14(a) and 15d-14(a) under the Securities Exchange Act of</w:t>
              </w:r>
            </w:hyperlink>
          </w:p>
        </w:tc>
        <w:tc>
          <w:tcPr>
            <w:tcW w:w="180" w:type="dxa"/>
            <w:vAlign w:val="bottom"/>
            <w:gridSpan w:val="3"/>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1934, as Adopted Pursuant to Section 302 of the Sarbanes-Oxley Act of 2002.</w:t>
              </w:r>
            </w:hyperlink>
          </w:p>
        </w:tc>
        <w:tc>
          <w:tcPr>
            <w:tcW w:w="3480" w:type="dxa"/>
            <w:vAlign w:val="bottom"/>
            <w:gridSpan w:val="17"/>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20">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hyperlink>
          </w:p>
        </w:tc>
        <w:tc>
          <w:tcPr>
            <w:tcW w:w="1540" w:type="dxa"/>
            <w:vAlign w:val="bottom"/>
          </w:tcPr>
          <w:p>
            <w:pPr>
              <w:spacing w:after="0"/>
              <w:rPr>
                <w:sz w:val="24"/>
                <w:szCs w:val="24"/>
                <w:color w:val="auto"/>
              </w:rPr>
            </w:pPr>
          </w:p>
        </w:tc>
        <w:tc>
          <w:tcPr>
            <w:tcW w:w="89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Certification of Principal Executive Officer and Principal Financial Officer Pursuant to 18 U.S.C. Section 1350, as Adopted</w:t>
              </w:r>
            </w:hyperlink>
          </w:p>
        </w:tc>
        <w:tc>
          <w:tcPr>
            <w:tcW w:w="200" w:type="dxa"/>
            <w:vAlign w:val="bottom"/>
            <w:gridSpan w:val="4"/>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10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Pursuant to Section 906 of the Sarbanes-Oxley Act of 2002.</w:t>
              </w:r>
            </w:hyperlink>
          </w:p>
        </w:tc>
      </w:tr>
      <w:tr>
        <w:trPr>
          <w:trHeight w:val="453"/>
        </w:trPr>
        <w:tc>
          <w:tcPr>
            <w:tcW w:w="2140" w:type="dxa"/>
            <w:vAlign w:val="bottom"/>
            <w:gridSpan w:val="4"/>
          </w:tcPr>
          <w:p>
            <w:pPr>
              <w:ind w:left="100"/>
              <w:spacing w:after="0"/>
              <w:rPr>
                <w:sz w:val="20"/>
                <w:szCs w:val="20"/>
                <w:color w:val="auto"/>
              </w:rPr>
            </w:pPr>
            <w:r>
              <w:rPr>
                <w:rFonts w:ascii="Arial" w:cs="Arial" w:eastAsia="Arial" w:hAnsi="Arial"/>
                <w:sz w:val="18"/>
                <w:szCs w:val="18"/>
                <w:color w:val="auto"/>
              </w:rPr>
              <w:t>101.INS</w:t>
            </w:r>
          </w:p>
        </w:tc>
        <w:tc>
          <w:tcPr>
            <w:tcW w:w="43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4800" w:type="dxa"/>
            <w:vAlign w:val="bottom"/>
            <w:gridSpan w:val="20"/>
          </w:tcPr>
          <w:p>
            <w:pPr>
              <w:spacing w:after="0"/>
              <w:rPr>
                <w:sz w:val="24"/>
                <w:szCs w:val="24"/>
                <w:color w:val="auto"/>
              </w:rPr>
            </w:pPr>
          </w:p>
        </w:tc>
      </w:tr>
      <w:tr>
        <w:trPr>
          <w:trHeight w:val="864"/>
        </w:trPr>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ind w:left="3380"/>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9" w:name="page110"/>
    <w:bookmarkEnd w:id="109"/>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5160" w:type="dxa"/>
            <w:vAlign w:val="bottom"/>
          </w:tcPr>
          <w:p>
            <w:pPr>
              <w:ind w:left="6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5160" w:type="dxa"/>
            <w:vAlign w:val="bottom"/>
          </w:tcPr>
          <w:p>
            <w:pPr>
              <w:ind w:left="6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5160" w:type="dxa"/>
            <w:vAlign w:val="bottom"/>
          </w:tcPr>
          <w:p>
            <w:pPr>
              <w:ind w:left="6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5160" w:type="dxa"/>
            <w:vAlign w:val="bottom"/>
          </w:tcPr>
          <w:p>
            <w:pPr>
              <w:ind w:left="6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5160" w:type="dxa"/>
            <w:vAlign w:val="bottom"/>
          </w:tcPr>
          <w:p>
            <w:pPr>
              <w:ind w:left="6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2" w:lineRule="exact"/>
        <w:rPr>
          <w:sz w:val="20"/>
          <w:szCs w:val="20"/>
          <w:color w:val="auto"/>
        </w:rPr>
      </w:pPr>
    </w:p>
    <w:p>
      <w:pPr>
        <w:ind w:right="4660" w:firstLine="8"/>
        <w:spacing w:after="0" w:line="258" w:lineRule="auto"/>
        <w:tabs>
          <w:tab w:leader="none" w:pos="4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 * Filed herewith.</w:t>
      </w:r>
    </w:p>
    <w:p>
      <w:pPr>
        <w:spacing w:after="0" w:line="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7"/>
          <w:szCs w:val="17"/>
          <w:color w:val="auto"/>
        </w:rPr>
        <w:t>** 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840" w:type="dxa"/>
            <w:vAlign w:val="bottom"/>
            <w:gridSpan w:val="2"/>
          </w:tcPr>
          <w:p>
            <w:pPr>
              <w:ind w:left="2140"/>
              <w:spacing w:after="0"/>
              <w:rPr>
                <w:sz w:val="20"/>
                <w:szCs w:val="20"/>
                <w:color w:val="auto"/>
              </w:rPr>
            </w:pPr>
            <w:r>
              <w:rPr>
                <w:rFonts w:ascii="Arial" w:cs="Arial" w:eastAsia="Arial" w:hAnsi="Arial"/>
                <w:sz w:val="18"/>
                <w:szCs w:val="18"/>
                <w:b w:val="1"/>
                <w:bCs w:val="1"/>
                <w:color w:val="auto"/>
              </w:rPr>
              <w:t>VACCITECH PLC</w:t>
            </w:r>
          </w:p>
        </w:tc>
        <w:tc>
          <w:tcPr>
            <w:tcW w:w="390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June 14, 2021</w:t>
            </w:r>
          </w:p>
        </w:tc>
        <w:tc>
          <w:tcPr>
            <w:tcW w:w="384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3900" w:type="dxa"/>
            <w:vAlign w:val="bottom"/>
          </w:tcPr>
          <w:p>
            <w:pPr>
              <w:jc w:val="center"/>
              <w:ind w:right="1290"/>
              <w:spacing w:after="0"/>
              <w:rPr>
                <w:sz w:val="20"/>
                <w:szCs w:val="20"/>
                <w:color w:val="auto"/>
              </w:rPr>
            </w:pPr>
            <w:r>
              <w:rPr>
                <w:rFonts w:ascii="Arial" w:cs="Arial" w:eastAsia="Arial" w:hAnsi="Arial"/>
                <w:sz w:val="18"/>
                <w:szCs w:val="18"/>
                <w:color w:val="auto"/>
                <w:w w:val="97"/>
              </w:rPr>
              <w:t>/s/ William Enright</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jc w:val="center"/>
              <w:ind w:right="1290"/>
              <w:spacing w:after="0" w:line="195" w:lineRule="exact"/>
              <w:rPr>
                <w:sz w:val="20"/>
                <w:szCs w:val="20"/>
                <w:color w:val="auto"/>
              </w:rPr>
            </w:pPr>
            <w:r>
              <w:rPr>
                <w:rFonts w:ascii="Arial" w:cs="Arial" w:eastAsia="Arial" w:hAnsi="Arial"/>
                <w:sz w:val="18"/>
                <w:szCs w:val="18"/>
                <w:color w:val="auto"/>
                <w:w w:val="96"/>
              </w:rPr>
              <w:t>William Enright</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00" w:type="dxa"/>
            <w:vAlign w:val="bottom"/>
          </w:tcPr>
          <w:p>
            <w:pPr>
              <w:jc w:val="center"/>
              <w:ind w:right="129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900" w:type="dxa"/>
            <w:vAlign w:val="bottom"/>
          </w:tcPr>
          <w:p>
            <w:pPr>
              <w:jc w:val="center"/>
              <w:ind w:right="1290"/>
              <w:spacing w:after="0"/>
              <w:rPr>
                <w:sz w:val="20"/>
                <w:szCs w:val="20"/>
                <w:color w:val="auto"/>
              </w:rPr>
            </w:pPr>
            <w:r>
              <w:rPr>
                <w:rFonts w:ascii="Arial" w:cs="Arial" w:eastAsia="Arial" w:hAnsi="Arial"/>
                <w:sz w:val="18"/>
                <w:szCs w:val="18"/>
                <w:color w:val="auto"/>
                <w:w w:val="93"/>
              </w:rPr>
              <w:t>(Principal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June 14, 2021</w:t>
            </w:r>
          </w:p>
        </w:tc>
        <w:tc>
          <w:tcPr>
            <w:tcW w:w="384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3900" w:type="dxa"/>
            <w:vAlign w:val="bottom"/>
          </w:tcPr>
          <w:p>
            <w:pPr>
              <w:jc w:val="center"/>
              <w:ind w:right="1290"/>
              <w:spacing w:after="0"/>
              <w:rPr>
                <w:sz w:val="20"/>
                <w:szCs w:val="20"/>
                <w:color w:val="auto"/>
              </w:rPr>
            </w:pPr>
            <w:r>
              <w:rPr>
                <w:rFonts w:ascii="Arial" w:cs="Arial" w:eastAsia="Arial" w:hAnsi="Arial"/>
                <w:sz w:val="18"/>
                <w:szCs w:val="18"/>
                <w:color w:val="auto"/>
                <w:w w:val="90"/>
              </w:rPr>
              <w:t>/s/ Georgy Egorov</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jc w:val="center"/>
              <w:ind w:right="1290"/>
              <w:spacing w:after="0" w:line="195" w:lineRule="exact"/>
              <w:rPr>
                <w:sz w:val="20"/>
                <w:szCs w:val="20"/>
                <w:color w:val="auto"/>
              </w:rPr>
            </w:pPr>
            <w:r>
              <w:rPr>
                <w:rFonts w:ascii="Arial" w:cs="Arial" w:eastAsia="Arial" w:hAnsi="Arial"/>
                <w:sz w:val="18"/>
                <w:szCs w:val="18"/>
                <w:color w:val="auto"/>
                <w:w w:val="92"/>
              </w:rPr>
              <w:t>Georgy Egorov</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00" w:type="dxa"/>
            <w:vAlign w:val="bottom"/>
          </w:tcPr>
          <w:p>
            <w:pPr>
              <w:jc w:val="center"/>
              <w:ind w:right="1290"/>
              <w:spacing w:after="0"/>
              <w:rPr>
                <w:sz w:val="20"/>
                <w:szCs w:val="20"/>
                <w:color w:val="auto"/>
              </w:rPr>
            </w:pPr>
            <w:r>
              <w:rPr>
                <w:rFonts w:ascii="Arial" w:cs="Arial" w:eastAsia="Arial" w:hAnsi="Arial"/>
                <w:sz w:val="18"/>
                <w:szCs w:val="18"/>
                <w:color w:val="auto"/>
                <w:w w:val="94"/>
              </w:rPr>
              <w:t>(Principal Financial</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900" w:type="dxa"/>
            <w:vAlign w:val="bottom"/>
          </w:tcPr>
          <w:p>
            <w:pPr>
              <w:jc w:val="center"/>
              <w:ind w:right="1290"/>
              <w:spacing w:after="0"/>
              <w:rPr>
                <w:sz w:val="20"/>
                <w:szCs w:val="20"/>
                <w:color w:val="auto"/>
              </w:rPr>
            </w:pPr>
            <w:r>
              <w:rPr>
                <w:rFonts w:ascii="Arial" w:cs="Arial" w:eastAsia="Arial" w:hAnsi="Arial"/>
                <w:sz w:val="18"/>
                <w:szCs w:val="18"/>
                <w:color w:val="auto"/>
                <w:w w:val="93"/>
              </w:rPr>
              <w:t>and Accounting Officer)</w:t>
            </w:r>
          </w:p>
        </w:tc>
      </w:tr>
      <w:tr>
        <w:trPr>
          <w:trHeight w:val="648"/>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97</w:t>
            </w:r>
          </w:p>
        </w:tc>
        <w:tc>
          <w:tcPr>
            <w:tcW w:w="13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w:t>
      </w:r>
      <w:r>
        <w:rPr>
          <w:rFonts w:ascii="Arial" w:cs="Arial" w:eastAsia="Arial" w:hAnsi="Arial"/>
          <w:sz w:val="18"/>
          <w:szCs w:val="18"/>
          <w:color w:val="auto"/>
        </w:rPr>
        <w:t>.</w:t>
      </w:r>
      <w:r>
        <w:rPr>
          <w:rFonts w:ascii="Arial" w:cs="Arial" w:eastAsia="Arial" w:hAnsi="Arial"/>
          <w:sz w:val="18"/>
          <w:szCs w:val="18"/>
          <w:b w:val="1"/>
          <w:bCs w:val="1"/>
          <w:color w:val="auto"/>
        </w:rPr>
        <w:t>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AND 15d-14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UNDER THE SECURITIES EXCHANGE ACT OF 1934</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Enright, certify that:</w:t>
      </w:r>
    </w:p>
    <w:p>
      <w:pPr>
        <w:spacing w:after="0" w:line="225"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Vaccitech plc;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40" w:hanging="332"/>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120" w:hanging="328"/>
        <w:spacing w:after="0" w:line="263"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18"/>
          <w:szCs w:val="18"/>
          <w:color w:val="auto"/>
        </w:rPr>
        <w:t>Date: June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William Enright</w:t>
      </w:r>
    </w:p>
    <w:p>
      <w:pPr>
        <w:spacing w:after="0" w:line="36"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w:t>
      </w:r>
      <w:r>
        <w:rPr>
          <w:rFonts w:ascii="Arial" w:cs="Arial" w:eastAsia="Arial" w:hAnsi="Arial"/>
          <w:sz w:val="18"/>
          <w:szCs w:val="18"/>
          <w:color w:val="auto"/>
        </w:rPr>
        <w:t>.</w:t>
      </w:r>
      <w:r>
        <w:rPr>
          <w:rFonts w:ascii="Arial" w:cs="Arial" w:eastAsia="Arial" w:hAnsi="Arial"/>
          <w:sz w:val="18"/>
          <w:szCs w:val="18"/>
          <w:b w:val="1"/>
          <w:bCs w:val="1"/>
          <w:color w:val="auto"/>
        </w:rPr>
        <w:t>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AND 15d-14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UNDER THE SECURITIES EXCHANGE ACT OF 1934</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Georgy Egorov, certify that:</w:t>
      </w:r>
    </w:p>
    <w:p>
      <w:pPr>
        <w:spacing w:after="0" w:line="225"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Vaccitech plc;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40" w:hanging="332"/>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120" w:hanging="328"/>
        <w:spacing w:after="0" w:line="263"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7920" w:val="left"/>
        </w:tabs>
        <w:rPr>
          <w:sz w:val="20"/>
          <w:szCs w:val="20"/>
          <w:color w:val="auto"/>
        </w:rPr>
      </w:pPr>
      <w:r>
        <w:rPr>
          <w:rFonts w:ascii="Arial" w:cs="Arial" w:eastAsia="Arial" w:hAnsi="Arial"/>
          <w:sz w:val="18"/>
          <w:szCs w:val="18"/>
          <w:color w:val="auto"/>
        </w:rPr>
        <w:t>Date: June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Georgy Egorov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Georgy Egorov</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w:t>
      </w:r>
      <w:r>
        <w:rPr>
          <w:rFonts w:ascii="Arial" w:cs="Arial" w:eastAsia="Arial" w:hAnsi="Arial"/>
          <w:sz w:val="18"/>
          <w:szCs w:val="18"/>
          <w:color w:val="auto"/>
        </w:rPr>
        <w:t>.</w:t>
      </w:r>
      <w:r>
        <w:rPr>
          <w:rFonts w:ascii="Arial" w:cs="Arial" w:eastAsia="Arial" w:hAnsi="Arial"/>
          <w:sz w:val="18"/>
          <w:szCs w:val="18"/>
          <w:b w:val="1"/>
          <w:bCs w:val="1"/>
          <w:color w:val="auto"/>
        </w:rPr>
        <w:t>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1350</w:t>
      </w:r>
      <w:r>
        <w:rPr>
          <w:rFonts w:ascii="Arial" w:cs="Arial" w:eastAsia="Arial" w:hAnsi="Arial"/>
          <w:sz w:val="18"/>
          <w:szCs w:val="18"/>
          <w:color w:val="auto"/>
        </w:rPr>
        <w:t>,</w:t>
      </w:r>
      <w:r>
        <w:rPr>
          <w:rFonts w:ascii="Arial" w:cs="Arial" w:eastAsia="Arial" w:hAnsi="Arial"/>
          <w:sz w:val="18"/>
          <w:szCs w:val="18"/>
          <w:b w:val="1"/>
          <w:bCs w:val="1"/>
          <w:color w:val="auto"/>
        </w:rPr>
        <w:t xml:space="preserve">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of Vaccitech plc (the “Company”) on Form 10-Q for the period ending March 31, 2021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84"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5480" w:val="left"/>
          <w:tab w:leader="none" w:pos="7820" w:val="left"/>
        </w:tabs>
        <w:rPr>
          <w:sz w:val="20"/>
          <w:szCs w:val="20"/>
          <w:color w:val="auto"/>
        </w:rPr>
      </w:pPr>
      <w:r>
        <w:rPr>
          <w:rFonts w:ascii="Arial" w:cs="Arial" w:eastAsia="Arial" w:hAnsi="Arial"/>
          <w:sz w:val="18"/>
          <w:szCs w:val="18"/>
          <w:color w:val="auto"/>
        </w:rPr>
        <w:t>Date: June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37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William Enright</w:t>
      </w:r>
    </w:p>
    <w:p>
      <w:pPr>
        <w:spacing w:after="0" w:line="23"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tabs>
          <w:tab w:leader="none" w:pos="5480" w:val="left"/>
          <w:tab w:leader="none" w:pos="7860" w:val="left"/>
        </w:tabs>
        <w:rPr>
          <w:sz w:val="20"/>
          <w:szCs w:val="20"/>
          <w:color w:val="auto"/>
        </w:rPr>
      </w:pPr>
      <w:r>
        <w:rPr>
          <w:rFonts w:ascii="Arial" w:cs="Arial" w:eastAsia="Arial" w:hAnsi="Arial"/>
          <w:sz w:val="18"/>
          <w:szCs w:val="18"/>
          <w:color w:val="auto"/>
        </w:rPr>
        <w:t>Date: June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Georgy Egorov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37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3"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Georgy Egorov</w:t>
      </w:r>
    </w:p>
    <w:p>
      <w:pPr>
        <w:spacing w:after="0" w:line="23"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2"/>
    </w:lvl>
  </w:abstractNum>
  <w:abstractNum w:abstractNumId="8">
    <w:nsid w:val="580BD78F"/>
    <w:multiLevelType w:val="hybridMultilevel"/>
    <w:lvl w:ilvl="0">
      <w:lvlJc w:val="left"/>
      <w:lvlText w:val="%1."/>
      <w:numFmt w:val="decimal"/>
      <w:start w:val="3"/>
    </w:lvl>
  </w:abstractNum>
  <w:abstractNum w:abstractNumId="9">
    <w:nsid w:val="153EA438"/>
    <w:multiLevelType w:val="hybridMultilevel"/>
    <w:lvl w:ilvl="0">
      <w:lvlJc w:val="left"/>
      <w:lvlText w:val="%1."/>
      <w:numFmt w:val="decimal"/>
      <w:start w:val="4"/>
    </w:lvl>
  </w:abstractNum>
  <w:abstractNum w:abstractNumId="10">
    <w:nsid w:val="3855585C"/>
    <w:multiLevelType w:val="hybridMultilevel"/>
    <w:lvl w:ilvl="0">
      <w:lvlJc w:val="left"/>
      <w:lvlText w:val="%1."/>
      <w:numFmt w:val="decimal"/>
      <w:start w:val="5"/>
    </w:lvl>
  </w:abstractNum>
  <w:abstractNum w:abstractNumId="11">
    <w:nsid w:val="70A64E2A"/>
    <w:multiLevelType w:val="hybridMultilevel"/>
    <w:lvl w:ilvl="0">
      <w:lvlJc w:val="left"/>
      <w:lvlText w:val="%1."/>
      <w:numFmt w:val="decimal"/>
      <w:start w:val="6"/>
    </w:lvl>
  </w:abstractNum>
  <w:abstractNum w:abstractNumId="12">
    <w:nsid w:val="6A2342EC"/>
    <w:multiLevelType w:val="hybridMultilevel"/>
    <w:lvl w:ilvl="0">
      <w:lvlJc w:val="left"/>
      <w:lvlText w:val="%1."/>
      <w:numFmt w:val="decimal"/>
      <w:start w:val="9"/>
    </w:lvl>
  </w:abstractNum>
  <w:abstractNum w:abstractNumId="13">
    <w:nsid w:val="2A487CB0"/>
    <w:multiLevelType w:val="hybridMultilevel"/>
    <w:lvl w:ilvl="0">
      <w:lvlJc w:val="left"/>
      <w:lvlText w:val="%1."/>
      <w:numFmt w:val="decimal"/>
      <w:start w:val="11"/>
    </w:lvl>
  </w:abstractNum>
  <w:abstractNum w:abstractNumId="14">
    <w:nsid w:val="1D4ED43B"/>
    <w:multiLevelType w:val="hybridMultilevel"/>
    <w:lvl w:ilvl="0">
      <w:lvlJc w:val="left"/>
      <w:lvlText w:val="%1."/>
      <w:numFmt w:val="decimal"/>
      <w:start w:val="12"/>
    </w:lvl>
  </w:abstractNum>
  <w:abstractNum w:abstractNumId="15">
    <w:nsid w:val="725A06FB"/>
    <w:multiLevelType w:val="hybridMultilevel"/>
    <w:lvl w:ilvl="0">
      <w:lvlJc w:val="left"/>
      <w:lvlText w:val="(%1)"/>
      <w:numFmt w:val="lowerLetter"/>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lvl w:ilvl="1">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1)"/>
      <w:numFmt w:val="lowerRoman"/>
      <w:start w:val="2"/>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lvl w:ilvl="1">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lvl w:ilvl="1">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lvl w:ilvl="1">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lowerRoman"/>
      <w:start w:val="2"/>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27" Type="http://schemas.openxmlformats.org/officeDocument/2006/relationships/hyperlink" Target="https://www.sec.gov/Archives/edgar/data/1828185/000110465921048698/tm2035121d10_ex3-2.htm" TargetMode="External"/><Relationship Id="rId128" Type="http://schemas.openxmlformats.org/officeDocument/2006/relationships/hyperlink" Target="https://www.sec.gov/Archives/edgar/data/1828185/000110465921054698/tm2035121d14_ex4-1.htm" TargetMode="External"/><Relationship Id="rId129" Type="http://schemas.openxmlformats.org/officeDocument/2006/relationships/hyperlink" Target="https://www.sec.gov/Archives/edgar/data/1828185/000110465921054698/tm2035121d14_ex10-17.htm" TargetMode="External"/><Relationship Id="rId130" Type="http://schemas.openxmlformats.org/officeDocument/2006/relationships/hyperlink" Target="https://www.sec.gov/Archives/edgar/data/1828185/000110465921054698/tm2035121d14_ex10-2.htm" TargetMode="External"/><Relationship Id="rId131" Type="http://schemas.openxmlformats.org/officeDocument/2006/relationships/hyperlink" Target="https://www.sec.gov/Archives/edgar/data/1828185/000110465921048698/tm2035121d10_ex10-10.htm" TargetMode="External"/><Relationship Id="rId132" Type="http://schemas.openxmlformats.org/officeDocument/2006/relationships/hyperlink" Target="https://www.sec.gov/Archives/edgar/data/1828185/000110465921054698/tm2035121d14_ex10-11.htm" TargetMode="External"/><Relationship Id="rId133" Type="http://schemas.openxmlformats.org/officeDocument/2006/relationships/hyperlink" Target="https://www.sec.gov/Archives/edgar/data/1828185/000110465921048698/tm2035121d10_ex10-12.htm" TargetMode="External"/><Relationship Id="rId134" Type="http://schemas.openxmlformats.org/officeDocument/2006/relationships/hyperlink" Target="https://www.sec.gov/Archives/edgar/data/1828185/000110465921048698/tm2035121d10_ex10-13.htm" TargetMode="External"/><Relationship Id="rId135" Type="http://schemas.openxmlformats.org/officeDocument/2006/relationships/hyperlink" Target="https://www.sec.gov/Archives/edgar/data/1828185/000110465921054698/tm2035121d14_ex10-14.htm" TargetMode="External"/><Relationship Id="rId136" Type="http://schemas.openxmlformats.org/officeDocument/2006/relationships/hyperlink" Target="https://www.sec.gov/Archives/edgar/data/1828185/000110465921054698/tm2035121d14_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2021-06-14T16:13:21Z</dcterms:created>
  <dcterms:modified xsi:type="dcterms:W3CDTF">2021-06-14T16:13:21Z</dcterms:modified>
</cp:coreProperties>
</file>