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pPr>
      <w:r>
        <w:rPr>
          <w:rFonts w:ascii="Times New Roman;serif" w:hAnsi="Times New Roman;serif"/>
          <w:b/>
          <w:color w:val="000000"/>
          <w:sz w:val="28"/>
        </w:rPr>
        <w:t>UNITED</w:t>
      </w:r>
      <w:r>
        <w:rPr>
          <w:color w:val="000000"/>
        </w:rPr>
        <w:t xml:space="preserve"> </w:t>
      </w:r>
      <w:r>
        <w:rPr>
          <w:rFonts w:ascii="Times New Roman;serif" w:hAnsi="Times New Roman;serif"/>
          <w:b/>
          <w:color w:val="000000"/>
          <w:sz w:val="28"/>
        </w:rPr>
        <w:t>STATES</w:t>
      </w:r>
    </w:p>
    <w:p>
      <w:pPr>
        <w:pStyle w:val="TextBody"/>
        <w:bidi w:val="0"/>
        <w:spacing w:lineRule="auto" w:line="288" w:before="0" w:after="0"/>
        <w:jc w:val="center"/>
        <w:rPr/>
      </w:pPr>
      <w:r>
        <w:rPr>
          <w:rFonts w:ascii="Times New Roman;serif" w:hAnsi="Times New Roman;serif"/>
          <w:b/>
          <w:color w:val="000000"/>
          <w:sz w:val="28"/>
        </w:rPr>
        <w:t>SECURITIES</w:t>
      </w:r>
      <w:r>
        <w:rPr>
          <w:color w:val="000000"/>
        </w:rPr>
        <w:t xml:space="preserve"> </w:t>
      </w:r>
      <w:r>
        <w:rPr>
          <w:rFonts w:ascii="Times New Roman;serif" w:hAnsi="Times New Roman;serif"/>
          <w:b/>
          <w:color w:val="000000"/>
          <w:sz w:val="28"/>
        </w:rPr>
        <w:t>AND</w:t>
      </w:r>
      <w:r>
        <w:rPr>
          <w:color w:val="000000"/>
        </w:rPr>
        <w:t xml:space="preserve"> </w:t>
      </w:r>
      <w:r>
        <w:rPr>
          <w:rFonts w:ascii="Times New Roman;serif" w:hAnsi="Times New Roman;serif"/>
          <w:b/>
          <w:color w:val="000000"/>
          <w:sz w:val="28"/>
        </w:rPr>
        <w:t>EXCHANGE</w:t>
      </w:r>
      <w:r>
        <w:rPr>
          <w:color w:val="000000"/>
        </w:rPr>
        <w:t xml:space="preserve"> </w:t>
      </w:r>
      <w:r>
        <w:rPr>
          <w:rFonts w:ascii="Times New Roman;serif" w:hAnsi="Times New Roman;serif"/>
          <w:b/>
          <w:color w:val="000000"/>
          <w:sz w:val="28"/>
        </w:rPr>
        <w:t>COMMISSION</w:t>
      </w:r>
    </w:p>
    <w:p>
      <w:pPr>
        <w:pStyle w:val="TextBody"/>
        <w:bidi w:val="0"/>
        <w:spacing w:lineRule="auto" w:line="288" w:before="0" w:after="0"/>
        <w:jc w:val="center"/>
        <w:rPr/>
      </w:pPr>
      <w:r>
        <w:rPr>
          <w:rFonts w:ascii="Times New Roman;serif" w:hAnsi="Times New Roman;serif"/>
          <w:b/>
          <w:color w:val="000000"/>
          <w:sz w:val="22"/>
        </w:rPr>
        <w:t>WASHINGTON</w:t>
      </w:r>
      <w:r>
        <w:rPr>
          <w:rFonts w:ascii="Times New Roman;serif" w:hAnsi="Times New Roman;serif"/>
          <w:b w:val="false"/>
          <w:color w:val="000000"/>
          <w:sz w:val="22"/>
        </w:rPr>
        <w:t xml:space="preserve">, </w:t>
      </w:r>
      <w:r>
        <w:rPr>
          <w:rFonts w:ascii="Times New Roman;serif" w:hAnsi="Times New Roman;serif"/>
          <w:b/>
          <w:color w:val="000000"/>
          <w:sz w:val="22"/>
        </w:rPr>
        <w:t>DC</w:t>
      </w:r>
      <w:r>
        <w:rPr>
          <w:color w:val="000000"/>
        </w:rPr>
        <w:t xml:space="preserve"> </w:t>
      </w:r>
      <w:r>
        <w:rPr>
          <w:rFonts w:ascii="Times New Roman;serif" w:hAnsi="Times New Roman;serif"/>
          <w:b/>
          <w:color w:val="000000"/>
          <w:sz w:val="22"/>
        </w:rPr>
        <w:t>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0"/>
        </w:rPr>
        <w:t>FORM</w:t>
      </w:r>
      <w:r>
        <w:rPr>
          <w:color w:val="000000"/>
        </w:rPr>
        <w:t xml:space="preserve"> </w:t>
      </w:r>
      <w:r>
        <w:rPr>
          <w:rFonts w:ascii="Times New Roman;serif" w:hAnsi="Times New Roman;serif"/>
          <w:b/>
          <w:color w:val="000000"/>
          <w:sz w:val="30"/>
        </w:rPr>
        <w:t>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w:t>
      </w:r>
      <w:r>
        <w:rPr>
          <w:rFonts w:ascii="Times New Roman;serif" w:hAnsi="Times New Roman;serif"/>
          <w:b/>
          <w:color w:val="000000"/>
          <w:sz w:val="18"/>
        </w:rPr>
        <w:t>Mark</w:t>
      </w:r>
      <w:r>
        <w:rPr>
          <w:color w:val="000000"/>
        </w:rPr>
        <w:t xml:space="preserve"> </w:t>
      </w:r>
      <w:r>
        <w:rPr>
          <w:rFonts w:ascii="Times New Roman;serif" w:hAnsi="Times New Roman;serif"/>
          <w:b/>
          <w:color w:val="000000"/>
          <w:sz w:val="18"/>
        </w:rPr>
        <w:t>One</w:t>
      </w:r>
      <w:r>
        <w:rPr>
          <w:rFonts w:ascii="Times New Roman;serif" w:hAnsi="Times New Roman;serif"/>
          <w:b w:val="false"/>
          <w:color w:val="000000"/>
          <w:sz w:val="18"/>
        </w:rPr>
        <w:t>)</w:t>
      </w:r>
    </w:p>
    <w:p>
      <w:pPr>
        <w:pStyle w:val="TextBody"/>
        <w:bidi w:val="0"/>
        <w:spacing w:lineRule="auto" w:line="288" w:before="120" w:after="283"/>
        <w:jc w:val="left"/>
        <w:rPr/>
      </w:pPr>
      <w:r>
        <w:rPr>
          <w:rFonts w:ascii="Wingdings;sans-serif" w:hAnsi="Wingdings;sans-serif"/>
          <w:b w:val="false"/>
          <w:color w:val="000000"/>
          <w:sz w:val="18"/>
        </w:rPr>
        <w:t>x</w:t>
      </w:r>
      <w:r>
        <w:rPr>
          <w:color w:val="000000"/>
        </w:rPr>
        <w:t>      </w:t>
      </w:r>
      <w:r>
        <w:rPr>
          <w:rFonts w:ascii="Times New Roman;serif" w:hAnsi="Times New Roman;serif"/>
          <w:b/>
          <w:color w:val="000000"/>
          <w:sz w:val="18"/>
        </w:rPr>
        <w:t>QUARTERLY</w:t>
      </w:r>
      <w:r>
        <w:rPr>
          <w:color w:val="000000"/>
        </w:rPr>
        <w:t xml:space="preserve"> </w:t>
      </w:r>
      <w:r>
        <w:rPr>
          <w:rFonts w:ascii="Times New Roman;serif" w:hAnsi="Times New Roman;serif"/>
          <w:b/>
          <w:color w:val="000000"/>
          <w:sz w:val="18"/>
        </w:rPr>
        <w:t>REPORT</w:t>
      </w:r>
      <w:r>
        <w:rPr>
          <w:color w:val="000000"/>
        </w:rPr>
        <w:t xml:space="preserve"> </w:t>
      </w:r>
      <w:r>
        <w:rPr>
          <w:rFonts w:ascii="Times New Roman;serif" w:hAnsi="Times New Roman;serif"/>
          <w:b/>
          <w:color w:val="000000"/>
          <w:sz w:val="18"/>
        </w:rPr>
        <w:t>PURSUANT</w:t>
      </w:r>
      <w:r>
        <w:rPr>
          <w:color w:val="000000"/>
        </w:rPr>
        <w:t xml:space="preserve"> </w:t>
      </w:r>
      <w:r>
        <w:rPr>
          <w:rFonts w:ascii="Times New Roman;serif" w:hAnsi="Times New Roman;serif"/>
          <w:b/>
          <w:color w:val="000000"/>
          <w:sz w:val="18"/>
        </w:rPr>
        <w:t>TO</w:t>
      </w:r>
      <w:r>
        <w:rPr>
          <w:color w:val="000000"/>
        </w:rPr>
        <w:t xml:space="preserve"> </w:t>
      </w:r>
      <w:r>
        <w:rPr>
          <w:rFonts w:ascii="Times New Roman;serif" w:hAnsi="Times New Roman;serif"/>
          <w:b/>
          <w:color w:val="000000"/>
          <w:sz w:val="18"/>
        </w:rPr>
        <w:t>SECTION</w:t>
      </w:r>
      <w:r>
        <w:rPr>
          <w:color w:val="000000"/>
        </w:rPr>
        <w:t xml:space="preserve"> </w:t>
      </w:r>
      <w:r>
        <w:rPr>
          <w:rFonts w:ascii="Times New Roman;serif" w:hAnsi="Times New Roman;serif"/>
          <w:b/>
          <w:color w:val="000000"/>
          <w:sz w:val="18"/>
        </w:rPr>
        <w:t>13</w:t>
      </w:r>
      <w:r>
        <w:rPr>
          <w:color w:val="000000"/>
        </w:rPr>
        <w:t xml:space="preserve"> </w:t>
      </w:r>
      <w:r>
        <w:rPr>
          <w:rFonts w:ascii="Times New Roman;serif" w:hAnsi="Times New Roman;serif"/>
          <w:b/>
          <w:color w:val="000000"/>
          <w:sz w:val="18"/>
        </w:rPr>
        <w:t>OR</w:t>
      </w:r>
      <w:r>
        <w:rPr>
          <w:color w:val="000000"/>
        </w:rPr>
        <w:t xml:space="preserve"> </w:t>
      </w:r>
      <w:r>
        <w:rPr>
          <w:rFonts w:ascii="Times New Roman;serif" w:hAnsi="Times New Roman;serif"/>
          <w:b/>
          <w:color w:val="000000"/>
          <w:sz w:val="18"/>
        </w:rPr>
        <w:t>15</w:t>
      </w:r>
      <w:r>
        <w:rPr>
          <w:rFonts w:ascii="Times New Roman;serif" w:hAnsi="Times New Roman;serif"/>
          <w:b w:val="false"/>
          <w:color w:val="000000"/>
          <w:sz w:val="18"/>
        </w:rPr>
        <w:t>(</w:t>
      </w:r>
      <w:r>
        <w:rPr>
          <w:rFonts w:ascii="Times New Roman;serif" w:hAnsi="Times New Roman;serif"/>
          <w:b/>
          <w:color w:val="000000"/>
          <w:sz w:val="18"/>
        </w:rPr>
        <w:t>d</w:t>
      </w:r>
      <w:r>
        <w:rPr>
          <w:rFonts w:ascii="Times New Roman;serif" w:hAnsi="Times New Roman;serif"/>
          <w:b w:val="false"/>
          <w:color w:val="000000"/>
          <w:sz w:val="18"/>
        </w:rPr>
        <w:t xml:space="preserve">) </w:t>
      </w:r>
      <w:r>
        <w:rPr>
          <w:rFonts w:ascii="Times New Roman;serif" w:hAnsi="Times New Roman;serif"/>
          <w:b/>
          <w:color w:val="000000"/>
          <w:sz w:val="18"/>
        </w:rPr>
        <w:t>OF</w:t>
      </w:r>
      <w:r>
        <w:rPr>
          <w:color w:val="000000"/>
        </w:rPr>
        <w:t xml:space="preserve"> </w:t>
      </w:r>
      <w:r>
        <w:rPr>
          <w:rFonts w:ascii="Times New Roman;serif" w:hAnsi="Times New Roman;serif"/>
          <w:b/>
          <w:color w:val="000000"/>
          <w:sz w:val="18"/>
        </w:rPr>
        <w:t>THE</w:t>
      </w:r>
      <w:r>
        <w:rPr>
          <w:color w:val="000000"/>
        </w:rPr>
        <w:t xml:space="preserve"> </w:t>
      </w:r>
      <w:r>
        <w:rPr>
          <w:rFonts w:ascii="Times New Roman;serif" w:hAnsi="Times New Roman;serif"/>
          <w:b/>
          <w:color w:val="000000"/>
          <w:sz w:val="18"/>
        </w:rPr>
        <w:t>SECURITIES</w:t>
      </w:r>
      <w:r>
        <w:rPr>
          <w:color w:val="000000"/>
        </w:rPr>
        <w:t xml:space="preserve"> </w:t>
      </w:r>
      <w:r>
        <w:rPr>
          <w:rFonts w:ascii="Times New Roman;serif" w:hAnsi="Times New Roman;serif"/>
          <w:b/>
          <w:color w:val="000000"/>
          <w:sz w:val="18"/>
        </w:rPr>
        <w:t>EXCHANGE</w:t>
      </w:r>
      <w:r>
        <w:rPr>
          <w:color w:val="000000"/>
        </w:rPr>
        <w:t xml:space="preserve"> </w:t>
      </w:r>
      <w:r>
        <w:rPr>
          <w:rFonts w:ascii="Times New Roman;serif" w:hAnsi="Times New Roman;serif"/>
          <w:b/>
          <w:color w:val="000000"/>
          <w:sz w:val="18"/>
        </w:rPr>
        <w:t>ACT</w:t>
      </w:r>
      <w:r>
        <w:rPr>
          <w:color w:val="000000"/>
        </w:rPr>
        <w:t xml:space="preserve"> </w:t>
      </w:r>
      <w:r>
        <w:rPr>
          <w:rFonts w:ascii="Times New Roman;serif" w:hAnsi="Times New Roman;serif"/>
          <w:b/>
          <w:color w:val="000000"/>
          <w:sz w:val="18"/>
        </w:rPr>
        <w:t>OF</w:t>
      </w:r>
      <w:r>
        <w:rPr>
          <w:color w:val="000000"/>
        </w:rPr>
        <w:t xml:space="preserve"> </w:t>
      </w:r>
      <w:r>
        <w:rPr>
          <w:rFonts w:ascii="Times New Roman;serif" w:hAnsi="Times New Roman;serif"/>
          <w:b/>
          <w:color w:val="000000"/>
          <w:sz w:val="18"/>
        </w:rPr>
        <w:t>1934</w:t>
      </w:r>
    </w:p>
    <w:p>
      <w:pPr>
        <w:pStyle w:val="TextBody"/>
        <w:bidi w:val="0"/>
        <w:spacing w:lineRule="auto" w:line="288" w:before="120" w:after="283"/>
        <w:jc w:val="center"/>
        <w:rPr/>
      </w:pPr>
      <w:r>
        <w:rPr>
          <w:rFonts w:ascii="Times New Roman;serif" w:hAnsi="Times New Roman;serif"/>
          <w:b/>
          <w:color w:val="000000"/>
          <w:sz w:val="18"/>
        </w:rPr>
        <w:t>For</w:t>
      </w:r>
      <w:r>
        <w:rPr>
          <w:color w:val="000000"/>
        </w:rPr>
        <w:t xml:space="preserve"> </w:t>
      </w:r>
      <w:r>
        <w:rPr>
          <w:rFonts w:ascii="Times New Roman;serif" w:hAnsi="Times New Roman;serif"/>
          <w:b/>
          <w:color w:val="000000"/>
          <w:sz w:val="18"/>
        </w:rPr>
        <w:t>the</w:t>
      </w:r>
      <w:r>
        <w:rPr>
          <w:color w:val="000000"/>
        </w:rPr>
        <w:t xml:space="preserve"> </w:t>
      </w:r>
      <w:r>
        <w:rPr>
          <w:rFonts w:ascii="Times New Roman;serif" w:hAnsi="Times New Roman;serif"/>
          <w:b/>
          <w:color w:val="000000"/>
          <w:sz w:val="18"/>
        </w:rPr>
        <w:t>quarterly</w:t>
      </w:r>
      <w:r>
        <w:rPr>
          <w:color w:val="000000"/>
        </w:rPr>
        <w:t xml:space="preserve"> </w:t>
      </w:r>
      <w:r>
        <w:rPr>
          <w:rFonts w:ascii="Times New Roman;serif" w:hAnsi="Times New Roman;serif"/>
          <w:b/>
          <w:color w:val="000000"/>
          <w:sz w:val="18"/>
        </w:rPr>
        <w:t>period ended June 30, 2026</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120" w:after="283"/>
        <w:jc w:val="left"/>
        <w:rPr/>
      </w:pPr>
      <w:r>
        <w:rPr>
          <w:rFonts w:ascii="Wingdings;sans-serif" w:hAnsi="Wingdings;sans-serif"/>
          <w:b w:val="false"/>
          <w:color w:val="000000"/>
          <w:sz w:val="18"/>
        </w:rPr>
        <w:t>o</w:t>
      </w:r>
      <w:r>
        <w:rPr>
          <w:color w:val="000000"/>
        </w:rPr>
        <w:t>       </w:t>
      </w:r>
      <w:r>
        <w:rPr>
          <w:rFonts w:ascii="Times New Roman;serif" w:hAnsi="Times New Roman;serif"/>
          <w:b/>
          <w:color w:val="000000"/>
          <w:sz w:val="18"/>
        </w:rPr>
        <w:t>TRANSITION</w:t>
      </w:r>
      <w:r>
        <w:rPr>
          <w:color w:val="000000"/>
        </w:rPr>
        <w:t xml:space="preserve"> </w:t>
      </w:r>
      <w:r>
        <w:rPr>
          <w:rFonts w:ascii="Times New Roman;serif" w:hAnsi="Times New Roman;serif"/>
          <w:b/>
          <w:color w:val="000000"/>
          <w:sz w:val="18"/>
        </w:rPr>
        <w:t>REPORT</w:t>
      </w:r>
      <w:r>
        <w:rPr>
          <w:color w:val="000000"/>
        </w:rPr>
        <w:t xml:space="preserve"> </w:t>
      </w:r>
      <w:r>
        <w:rPr>
          <w:rFonts w:ascii="Times New Roman;serif" w:hAnsi="Times New Roman;serif"/>
          <w:b/>
          <w:color w:val="000000"/>
          <w:sz w:val="18"/>
        </w:rPr>
        <w:t>PURSUANT</w:t>
      </w:r>
      <w:r>
        <w:rPr>
          <w:color w:val="000000"/>
        </w:rPr>
        <w:t xml:space="preserve"> </w:t>
      </w:r>
      <w:r>
        <w:rPr>
          <w:rFonts w:ascii="Times New Roman;serif" w:hAnsi="Times New Roman;serif"/>
          <w:b/>
          <w:color w:val="000000"/>
          <w:sz w:val="18"/>
        </w:rPr>
        <w:t>TO</w:t>
      </w:r>
      <w:r>
        <w:rPr>
          <w:color w:val="000000"/>
        </w:rPr>
        <w:t xml:space="preserve"> </w:t>
      </w:r>
      <w:r>
        <w:rPr>
          <w:rFonts w:ascii="Times New Roman;serif" w:hAnsi="Times New Roman;serif"/>
          <w:b/>
          <w:color w:val="000000"/>
          <w:sz w:val="18"/>
        </w:rPr>
        <w:t>SECTION</w:t>
      </w:r>
      <w:r>
        <w:rPr>
          <w:color w:val="000000"/>
        </w:rPr>
        <w:t xml:space="preserve"> </w:t>
      </w:r>
      <w:r>
        <w:rPr>
          <w:rFonts w:ascii="Times New Roman;serif" w:hAnsi="Times New Roman;serif"/>
          <w:b/>
          <w:color w:val="000000"/>
          <w:sz w:val="18"/>
        </w:rPr>
        <w:t>13</w:t>
      </w:r>
      <w:r>
        <w:rPr>
          <w:color w:val="000000"/>
        </w:rPr>
        <w:t xml:space="preserve"> </w:t>
      </w:r>
      <w:r>
        <w:rPr>
          <w:rFonts w:ascii="Times New Roman;serif" w:hAnsi="Times New Roman;serif"/>
          <w:b/>
          <w:color w:val="000000"/>
          <w:sz w:val="18"/>
        </w:rPr>
        <w:t>OR</w:t>
      </w:r>
      <w:r>
        <w:rPr>
          <w:color w:val="000000"/>
        </w:rPr>
        <w:t xml:space="preserve"> </w:t>
      </w:r>
      <w:r>
        <w:rPr>
          <w:rFonts w:ascii="Times New Roman;serif" w:hAnsi="Times New Roman;serif"/>
          <w:b/>
          <w:color w:val="000000"/>
          <w:sz w:val="18"/>
        </w:rPr>
        <w:t>15</w:t>
      </w:r>
      <w:r>
        <w:rPr>
          <w:rFonts w:ascii="Times New Roman;serif" w:hAnsi="Times New Roman;serif"/>
          <w:b w:val="false"/>
          <w:color w:val="000000"/>
          <w:sz w:val="18"/>
        </w:rPr>
        <w:t>(</w:t>
      </w:r>
      <w:r>
        <w:rPr>
          <w:rFonts w:ascii="Times New Roman;serif" w:hAnsi="Times New Roman;serif"/>
          <w:b/>
          <w:color w:val="000000"/>
          <w:sz w:val="18"/>
        </w:rPr>
        <w:t>d</w:t>
      </w:r>
      <w:r>
        <w:rPr>
          <w:rFonts w:ascii="Times New Roman;serif" w:hAnsi="Times New Roman;serif"/>
          <w:b w:val="false"/>
          <w:color w:val="000000"/>
          <w:sz w:val="18"/>
        </w:rPr>
        <w:t xml:space="preserve">) </w:t>
      </w:r>
      <w:r>
        <w:rPr>
          <w:rFonts w:ascii="Times New Roman;serif" w:hAnsi="Times New Roman;serif"/>
          <w:b/>
          <w:color w:val="000000"/>
          <w:sz w:val="18"/>
        </w:rPr>
        <w:t>OF</w:t>
      </w:r>
      <w:r>
        <w:rPr>
          <w:color w:val="000000"/>
        </w:rPr>
        <w:t xml:space="preserve"> </w:t>
      </w:r>
      <w:r>
        <w:rPr>
          <w:rFonts w:ascii="Times New Roman;serif" w:hAnsi="Times New Roman;serif"/>
          <w:b/>
          <w:color w:val="000000"/>
          <w:sz w:val="18"/>
        </w:rPr>
        <w:t>THE</w:t>
      </w:r>
      <w:r>
        <w:rPr>
          <w:color w:val="000000"/>
        </w:rPr>
        <w:t xml:space="preserve"> </w:t>
      </w:r>
      <w:r>
        <w:rPr>
          <w:rFonts w:ascii="Times New Roman;serif" w:hAnsi="Times New Roman;serif"/>
          <w:b/>
          <w:color w:val="000000"/>
          <w:sz w:val="18"/>
        </w:rPr>
        <w:t>SECURITIES</w:t>
      </w:r>
      <w:r>
        <w:rPr>
          <w:color w:val="000000"/>
        </w:rPr>
        <w:t xml:space="preserve"> </w:t>
      </w:r>
      <w:r>
        <w:rPr>
          <w:rFonts w:ascii="Times New Roman;serif" w:hAnsi="Times New Roman;serif"/>
          <w:b/>
          <w:color w:val="000000"/>
          <w:sz w:val="18"/>
        </w:rPr>
        <w:t>EXCHANGE</w:t>
      </w:r>
      <w:r>
        <w:rPr>
          <w:color w:val="000000"/>
        </w:rPr>
        <w:t xml:space="preserve"> </w:t>
      </w:r>
      <w:r>
        <w:rPr>
          <w:rFonts w:ascii="Times New Roman;serif" w:hAnsi="Times New Roman;serif"/>
          <w:b/>
          <w:color w:val="000000"/>
          <w:sz w:val="18"/>
        </w:rPr>
        <w:t>ACT</w:t>
      </w:r>
      <w:r>
        <w:rPr>
          <w:color w:val="000000"/>
        </w:rPr>
        <w:t xml:space="preserve"> </w:t>
      </w:r>
      <w:r>
        <w:rPr>
          <w:rFonts w:ascii="Times New Roman;serif" w:hAnsi="Times New Roman;serif"/>
          <w:b/>
          <w:color w:val="000000"/>
          <w:sz w:val="18"/>
        </w:rPr>
        <w:t>OF</w:t>
      </w:r>
      <w:r>
        <w:rPr>
          <w:color w:val="000000"/>
        </w:rPr>
        <w:t xml:space="preserve"> </w:t>
      </w:r>
      <w:r>
        <w:rPr>
          <w:rFonts w:ascii="Times New Roman;serif" w:hAnsi="Times New Roman;serif"/>
          <w:b/>
          <w:color w:val="000000"/>
          <w:sz w:val="18"/>
        </w:rPr>
        <w:t>1934</w:t>
      </w:r>
    </w:p>
    <w:p>
      <w:pPr>
        <w:pStyle w:val="TextBody"/>
        <w:bidi w:val="0"/>
        <w:spacing w:lineRule="auto" w:line="288" w:before="120" w:after="283"/>
        <w:jc w:val="center"/>
        <w:rPr/>
      </w:pPr>
      <w:r>
        <w:rPr>
          <w:rFonts w:ascii="Times New Roman;serif" w:hAnsi="Times New Roman;serif"/>
          <w:b/>
          <w:color w:val="000000"/>
          <w:sz w:val="18"/>
        </w:rPr>
        <w:t>For</w:t>
      </w:r>
      <w:r>
        <w:rPr>
          <w:color w:val="000000"/>
        </w:rPr>
        <w:t xml:space="preserve"> </w:t>
      </w:r>
      <w:r>
        <w:rPr>
          <w:rFonts w:ascii="Times New Roman;serif" w:hAnsi="Times New Roman;serif"/>
          <w:b/>
          <w:color w:val="000000"/>
          <w:sz w:val="18"/>
        </w:rPr>
        <w:t>the</w:t>
      </w:r>
      <w:r>
        <w:rPr>
          <w:color w:val="000000"/>
        </w:rPr>
        <w:t xml:space="preserve"> </w:t>
      </w:r>
      <w:r>
        <w:rPr>
          <w:rFonts w:ascii="Times New Roman;serif" w:hAnsi="Times New Roman;serif"/>
          <w:b/>
          <w:color w:val="000000"/>
          <w:sz w:val="18"/>
        </w:rPr>
        <w:t>transition</w:t>
      </w:r>
      <w:r>
        <w:rPr>
          <w:color w:val="000000"/>
        </w:rPr>
        <w:t xml:space="preserve"> </w:t>
      </w:r>
      <w:r>
        <w:rPr>
          <w:rFonts w:ascii="Times New Roman;serif" w:hAnsi="Times New Roman;serif"/>
          <w:b/>
          <w:color w:val="000000"/>
          <w:sz w:val="18"/>
        </w:rPr>
        <w:t>period</w:t>
      </w:r>
      <w:r>
        <w:rPr>
          <w:color w:val="000000"/>
        </w:rPr>
        <w:t xml:space="preserve"> </w:t>
      </w:r>
      <w:r>
        <w:rPr>
          <w:rFonts w:ascii="Times New Roman;serif" w:hAnsi="Times New Roman;serif"/>
          <w:b/>
          <w:color w:val="000000"/>
          <w:sz w:val="18"/>
        </w:rPr>
        <w:t>from ________to ________</w:t>
      </w:r>
    </w:p>
    <w:p>
      <w:pPr>
        <w:pStyle w:val="TextBody"/>
        <w:bidi w:val="0"/>
        <w:spacing w:lineRule="auto" w:line="288" w:before="120" w:after="283"/>
        <w:jc w:val="center"/>
        <w:rPr/>
      </w:pPr>
      <w:r>
        <w:rPr>
          <w:rFonts w:ascii="Times New Roman;serif" w:hAnsi="Times New Roman;serif"/>
          <w:b/>
          <w:color w:val="000000"/>
          <w:sz w:val="18"/>
        </w:rPr>
        <w:t>Commission</w:t>
      </w:r>
      <w:r>
        <w:rPr>
          <w:color w:val="000000"/>
        </w:rPr>
        <w:t xml:space="preserve"> </w:t>
      </w:r>
      <w:r>
        <w:rPr>
          <w:rFonts w:ascii="Times New Roman;serif" w:hAnsi="Times New Roman;serif"/>
          <w:b/>
          <w:color w:val="000000"/>
          <w:sz w:val="18"/>
        </w:rPr>
        <w:t>File</w:t>
      </w:r>
      <w:r>
        <w:rPr>
          <w:color w:val="000000"/>
        </w:rPr>
        <w:t xml:space="preserve"> </w:t>
      </w:r>
      <w:r>
        <w:rPr>
          <w:rFonts w:ascii="Times New Roman;serif" w:hAnsi="Times New Roman;serif"/>
          <w:b/>
          <w:color w:val="000000"/>
          <w:sz w:val="18"/>
        </w:rPr>
        <w:t>Number</w:t>
      </w:r>
      <w:r>
        <w:rPr>
          <w:rFonts w:ascii="Times New Roman;serif" w:hAnsi="Times New Roman;serif"/>
          <w:b w:val="false"/>
          <w:color w:val="000000"/>
          <w:sz w:val="18"/>
        </w:rPr>
        <w:t xml:space="preserve">: </w:t>
      </w:r>
      <w:r>
        <w:rPr>
          <w:rFonts w:ascii="Times New Roman;serif" w:hAnsi="Times New Roman;serif"/>
          <w:b/>
          <w:color w:val="000000"/>
          <w:sz w:val="18"/>
        </w:rPr>
        <w:t>001-40367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BARINTHUS BIOTHERAPEUTICS PLC</w:t>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color w:val="000000"/>
          <w:sz w:val="18"/>
        </w:rPr>
        <w:t>Exact</w:t>
      </w:r>
      <w:r>
        <w:rPr>
          <w:color w:val="000000"/>
        </w:rPr>
        <w:t xml:space="preserve"> </w:t>
      </w:r>
      <w:r>
        <w:rPr>
          <w:rFonts w:ascii="Times New Roman;serif" w:hAnsi="Times New Roman;serif"/>
          <w:b/>
          <w:color w:val="000000"/>
          <w:sz w:val="18"/>
        </w:rPr>
        <w:t>Name</w:t>
      </w:r>
      <w:r>
        <w:rPr>
          <w:color w:val="000000"/>
        </w:rPr>
        <w:t xml:space="preserve"> </w:t>
      </w:r>
      <w:r>
        <w:rPr>
          <w:rFonts w:ascii="Times New Roman;serif" w:hAnsi="Times New Roman;serif"/>
          <w:b/>
          <w:color w:val="000000"/>
          <w:sz w:val="18"/>
        </w:rPr>
        <w:t>of</w:t>
      </w:r>
      <w:r>
        <w:rPr>
          <w:color w:val="000000"/>
        </w:rPr>
        <w:t xml:space="preserve"> </w:t>
      </w:r>
      <w:r>
        <w:rPr>
          <w:rFonts w:ascii="Times New Roman;serif" w:hAnsi="Times New Roman;serif"/>
          <w:b/>
          <w:color w:val="000000"/>
          <w:sz w:val="18"/>
        </w:rPr>
        <w:t>Registrant</w:t>
      </w:r>
      <w:r>
        <w:rPr>
          <w:color w:val="000000"/>
        </w:rPr>
        <w:t xml:space="preserve"> </w:t>
      </w:r>
      <w:r>
        <w:rPr>
          <w:rFonts w:ascii="Times New Roman;serif" w:hAnsi="Times New Roman;serif"/>
          <w:b/>
          <w:color w:val="000000"/>
          <w:sz w:val="18"/>
        </w:rPr>
        <w:t>as</w:t>
      </w:r>
      <w:r>
        <w:rPr>
          <w:color w:val="000000"/>
        </w:rPr>
        <w:t xml:space="preserve"> </w:t>
      </w:r>
      <w:r>
        <w:rPr>
          <w:rFonts w:ascii="Times New Roman;serif" w:hAnsi="Times New Roman;serif"/>
          <w:b/>
          <w:color w:val="000000"/>
          <w:sz w:val="18"/>
        </w:rPr>
        <w:t>Specified</w:t>
      </w:r>
      <w:r>
        <w:rPr>
          <w:color w:val="000000"/>
        </w:rPr>
        <w:t xml:space="preserve"> </w:t>
      </w:r>
      <w:r>
        <w:rPr>
          <w:rFonts w:ascii="Times New Roman;serif" w:hAnsi="Times New Roman;serif"/>
          <w:b/>
          <w:color w:val="000000"/>
          <w:sz w:val="18"/>
        </w:rPr>
        <w:t>in</w:t>
      </w:r>
      <w:r>
        <w:rPr>
          <w:color w:val="000000"/>
        </w:rPr>
        <w:t xml:space="preserve"> </w:t>
      </w:r>
      <w:r>
        <w:rPr>
          <w:rFonts w:ascii="Times New Roman;serif" w:hAnsi="Times New Roman;serif"/>
          <w:b/>
          <w:color w:val="000000"/>
          <w:sz w:val="18"/>
        </w:rPr>
        <w:t>its</w:t>
      </w:r>
      <w:r>
        <w:rPr>
          <w:color w:val="000000"/>
        </w:rPr>
        <w:t xml:space="preserve"> </w:t>
      </w:r>
      <w:r>
        <w:rPr>
          <w:rFonts w:ascii="Times New Roman;serif" w:hAnsi="Times New Roman;serif"/>
          <w:b/>
          <w:color w:val="000000"/>
          <w:sz w:val="18"/>
        </w:rPr>
        <w:t>Charter</w:t>
      </w:r>
      <w:r>
        <w:rPr>
          <w:rFonts w:ascii="Times New Roman;serif" w:hAnsi="Times New Roman;serif"/>
          <w:b w:val="false"/>
          <w:color w:val="000000"/>
          <w:sz w:val="18"/>
        </w:rPr>
        <w:t>)</w:t>
      </w:r>
    </w:p>
    <w:tbl>
      <w:tblPr>
        <w:tblW w:w="5053" w:type="dxa"/>
        <w:jc w:val="left"/>
        <w:tblInd w:w="0" w:type="dxa"/>
        <w:tblLayout w:type="fixed"/>
        <w:tblCellMar>
          <w:top w:w="28" w:type="dxa"/>
          <w:left w:w="28" w:type="dxa"/>
          <w:bottom w:w="28" w:type="dxa"/>
          <w:right w:w="28" w:type="dxa"/>
        </w:tblCellMar>
      </w:tblPr>
      <w:tblGrid>
        <w:gridCol w:w="1220"/>
        <w:gridCol w:w="1074"/>
        <w:gridCol w:w="1080"/>
        <w:gridCol w:w="491"/>
        <w:gridCol w:w="491"/>
        <w:gridCol w:w="697"/>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20400 Century Blvd, Suite 210,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Germantown, MD</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20874</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18"/>
        </w:rPr>
        <w:t>Registrant</w:t>
      </w:r>
      <w:r>
        <w:rPr>
          <w:color w:val="000000"/>
        </w:rPr>
        <w:t>’</w:t>
      </w:r>
      <w:r>
        <w:rPr>
          <w:rFonts w:ascii="Times New Roman;serif" w:hAnsi="Times New Roman;serif"/>
          <w:b/>
          <w:color w:val="000000"/>
          <w:sz w:val="18"/>
        </w:rPr>
        <w:t>s</w:t>
      </w:r>
      <w:r>
        <w:rPr>
          <w:color w:val="000000"/>
        </w:rPr>
        <w:t xml:space="preserve"> </w:t>
      </w:r>
      <w:r>
        <w:rPr>
          <w:rFonts w:ascii="Times New Roman;serif" w:hAnsi="Times New Roman;serif"/>
          <w:b/>
          <w:color w:val="000000"/>
          <w:sz w:val="18"/>
        </w:rPr>
        <w:t>telephone</w:t>
      </w:r>
      <w:r>
        <w:rPr>
          <w:color w:val="000000"/>
        </w:rPr>
        <w:t xml:space="preserve"> </w:t>
      </w:r>
      <w:r>
        <w:rPr>
          <w:rFonts w:ascii="Times New Roman;serif" w:hAnsi="Times New Roman;serif"/>
          <w:b/>
          <w:color w:val="000000"/>
          <w:sz w:val="18"/>
        </w:rPr>
        <w:t>number</w:t>
      </w:r>
      <w:r>
        <w:rPr>
          <w:rFonts w:ascii="Times New Roman;serif" w:hAnsi="Times New Roman;serif"/>
          <w:b w:val="false"/>
          <w:color w:val="000000"/>
          <w:sz w:val="18"/>
        </w:rPr>
        <w:t xml:space="preserve">, </w:t>
      </w:r>
      <w:r>
        <w:rPr>
          <w:rFonts w:ascii="Times New Roman;serif" w:hAnsi="Times New Roman;serif"/>
          <w:b/>
          <w:color w:val="000000"/>
          <w:sz w:val="18"/>
        </w:rPr>
        <w:t>including</w:t>
      </w:r>
      <w:r>
        <w:rPr>
          <w:color w:val="000000"/>
        </w:rPr>
        <w:t xml:space="preserve"> </w:t>
      </w:r>
      <w:r>
        <w:rPr>
          <w:rFonts w:ascii="Times New Roman;serif" w:hAnsi="Times New Roman;serif"/>
          <w:b/>
          <w:color w:val="000000"/>
          <w:sz w:val="18"/>
        </w:rPr>
        <w:t>area</w:t>
      </w:r>
      <w:r>
        <w:rPr>
          <w:color w:val="000000"/>
        </w:rPr>
        <w:t xml:space="preserve"> </w:t>
      </w:r>
      <w:r>
        <w:rPr>
          <w:rFonts w:ascii="Times New Roman;serif" w:hAnsi="Times New Roman;serif"/>
          <w:b/>
          <w:color w:val="000000"/>
          <w:sz w:val="18"/>
        </w:rPr>
        <w:t>code</w:t>
      </w:r>
      <w:r>
        <w:rPr>
          <w:rFonts w:ascii="Times New Roman;serif" w:hAnsi="Times New Roman;serif"/>
          <w:b w:val="false"/>
          <w:color w:val="000000"/>
          <w:sz w:val="18"/>
        </w:rPr>
        <w:t>: </w:t>
      </w:r>
      <w:r>
        <w:rPr>
          <w:rFonts w:ascii="Times New Roman;serif" w:hAnsi="Times New Roman;serif"/>
          <w:b/>
          <w:color w:val="000000"/>
          <w:sz w:val="18"/>
        </w:rPr>
        <w:t>443 917-0966</w:t>
      </w:r>
    </w:p>
    <w:p>
      <w:pPr>
        <w:pStyle w:val="TextBody"/>
        <w:bidi w:val="0"/>
        <w:spacing w:before="120" w:after="283"/>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18"/>
        </w:rPr>
        <w:t>Securities</w:t>
      </w:r>
      <w:r>
        <w:rPr>
          <w:color w:val="000000"/>
        </w:rPr>
        <w:t xml:space="preserve"> </w:t>
      </w:r>
      <w:r>
        <w:rPr>
          <w:rFonts w:ascii="Times New Roman;serif" w:hAnsi="Times New Roman;serif"/>
          <w:b/>
          <w:color w:val="000000"/>
          <w:sz w:val="18"/>
        </w:rPr>
        <w:t>registered</w:t>
      </w:r>
      <w:r>
        <w:rPr>
          <w:color w:val="000000"/>
        </w:rPr>
        <w:t xml:space="preserve"> </w:t>
      </w:r>
      <w:r>
        <w:rPr>
          <w:rFonts w:ascii="Times New Roman;serif" w:hAnsi="Times New Roman;serif"/>
          <w:b/>
          <w:color w:val="000000"/>
          <w:sz w:val="18"/>
        </w:rPr>
        <w:t>pursuant</w:t>
      </w:r>
      <w:r>
        <w:rPr>
          <w:color w:val="000000"/>
        </w:rPr>
        <w:t xml:space="preserve"> </w:t>
      </w:r>
      <w:r>
        <w:rPr>
          <w:rFonts w:ascii="Times New Roman;serif" w:hAnsi="Times New Roman;serif"/>
          <w:b/>
          <w:color w:val="000000"/>
          <w:sz w:val="18"/>
        </w:rPr>
        <w:t>to</w:t>
      </w:r>
      <w:r>
        <w:rPr>
          <w:color w:val="000000"/>
        </w:rPr>
        <w:t xml:space="preserve"> </w:t>
      </w:r>
      <w:r>
        <w:rPr>
          <w:rFonts w:ascii="Times New Roman;serif" w:hAnsi="Times New Roman;serif"/>
          <w:b/>
          <w:color w:val="000000"/>
          <w:sz w:val="18"/>
        </w:rPr>
        <w:t>Section</w:t>
      </w:r>
      <w:r>
        <w:rPr>
          <w:color w:val="000000"/>
        </w:rPr>
        <w:t xml:space="preserve"> </w:t>
      </w:r>
      <w:r>
        <w:rPr>
          <w:rFonts w:ascii="Times New Roman;serif" w:hAnsi="Times New Roman;serif"/>
          <w:b/>
          <w:color w:val="000000"/>
          <w:sz w:val="18"/>
        </w:rPr>
        <w:t>12</w:t>
      </w:r>
      <w:r>
        <w:rPr>
          <w:rFonts w:ascii="Times New Roman;serif" w:hAnsi="Times New Roman;serif"/>
          <w:b w:val="false"/>
          <w:color w:val="000000"/>
          <w:sz w:val="18"/>
        </w:rPr>
        <w:t>(</w:t>
      </w:r>
      <w:r>
        <w:rPr>
          <w:rFonts w:ascii="Times New Roman;serif" w:hAnsi="Times New Roman;serif"/>
          <w:b/>
          <w:color w:val="000000"/>
          <w:sz w:val="18"/>
        </w:rPr>
        <w:t>b</w:t>
      </w:r>
      <w:r>
        <w:rPr>
          <w:rFonts w:ascii="Times New Roman;serif" w:hAnsi="Times New Roman;serif"/>
          <w:b w:val="false"/>
          <w:color w:val="000000"/>
          <w:sz w:val="18"/>
        </w:rPr>
        <w:t xml:space="preserve">) </w:t>
      </w:r>
      <w:r>
        <w:rPr>
          <w:rFonts w:ascii="Times New Roman;serif" w:hAnsi="Times New Roman;serif"/>
          <w:b/>
          <w:color w:val="000000"/>
          <w:sz w:val="18"/>
        </w:rPr>
        <w:t>of</w:t>
      </w:r>
      <w:r>
        <w:rPr>
          <w:color w:val="000000"/>
        </w:rPr>
        <w:t xml:space="preserve"> </w:t>
      </w:r>
      <w:r>
        <w:rPr>
          <w:rFonts w:ascii="Times New Roman;serif" w:hAnsi="Times New Roman;serif"/>
          <w:b/>
          <w:color w:val="000000"/>
          <w:sz w:val="18"/>
        </w:rPr>
        <w:t>the</w:t>
      </w:r>
      <w:r>
        <w:rPr>
          <w:color w:val="000000"/>
        </w:rPr>
        <w:t xml:space="preserve"> </w:t>
      </w:r>
      <w:r>
        <w:rPr>
          <w:rFonts w:ascii="Times New Roman;serif" w:hAnsi="Times New Roman;serif"/>
          <w:b/>
          <w:color w:val="000000"/>
          <w:sz w:val="18"/>
        </w:rPr>
        <w:t>Act</w:t>
      </w:r>
      <w:r>
        <w:rPr>
          <w:rFonts w:ascii="Times New Roman;serif" w:hAnsi="Times New Roman;serif"/>
          <w:b w:val="false"/>
          <w:color w:val="000000"/>
          <w:sz w:val="18"/>
        </w:rPr>
        <w:t>:</w:t>
      </w:r>
    </w:p>
    <w:tbl>
      <w:tblPr>
        <w:tblW w:w="8742" w:type="dxa"/>
        <w:jc w:val="left"/>
        <w:tblInd w:w="0" w:type="dxa"/>
        <w:tblLayout w:type="fixed"/>
        <w:tblCellMar>
          <w:top w:w="28" w:type="dxa"/>
          <w:left w:w="28" w:type="dxa"/>
          <w:bottom w:w="28" w:type="dxa"/>
          <w:right w:w="28" w:type="dxa"/>
        </w:tblCellMar>
      </w:tblPr>
      <w:tblGrid>
        <w:gridCol w:w="1449"/>
        <w:gridCol w:w="1276"/>
        <w:gridCol w:w="1294"/>
        <w:gridCol w:w="484"/>
        <w:gridCol w:w="484"/>
        <w:gridCol w:w="486"/>
        <w:gridCol w:w="956"/>
        <w:gridCol w:w="956"/>
        <w:gridCol w:w="1357"/>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6" w:space="0" w:color="000000"/>
              <w:left w:val="single" w:sz="6" w:space="0" w:color="000000"/>
              <w:right w:val="single" w:sz="6"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19"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American Depositary Shares*</w:t>
            </w:r>
          </w:p>
        </w:tc>
        <w:tc>
          <w:tcPr>
            <w:tcW w:w="1454"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BRNS</w:t>
            </w:r>
          </w:p>
        </w:tc>
        <w:tc>
          <w:tcPr>
            <w:tcW w:w="3269" w:type="dxa"/>
            <w:gridSpan w:val="3"/>
            <w:tcBorders>
              <w:top w:val="single" w:sz="6" w:space="0" w:color="000000"/>
              <w:left w:val="single" w:sz="6" w:space="0" w:color="000000"/>
              <w:right w:val="single" w:sz="6" w:space="0" w:color="000000"/>
            </w:tcBorders>
            <w:tcMar>
              <w:top w:w="52" w:type="dxa"/>
              <w:bottom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Capital Market</w:t>
            </w:r>
          </w:p>
        </w:tc>
      </w:tr>
      <w:tr>
        <w:trPr/>
        <w:tc>
          <w:tcPr>
            <w:tcW w:w="4019"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Ordinary shares, nominal value £0.000025 per share**</w:t>
            </w:r>
          </w:p>
        </w:tc>
        <w:tc>
          <w:tcPr>
            <w:tcW w:w="1454"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*American Depositary Shares may be evidenced by American Depositary Receipts. Each American Depositary Share represents one (1) ordinary share.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 for trading, but only in connection with the listing of American Depositary Shares on The Nasdaq Capital Market. </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99" w:type="dxa"/>
        <w:jc w:val="left"/>
        <w:tblInd w:w="0" w:type="dxa"/>
        <w:tblLayout w:type="fixed"/>
        <w:tblCellMar>
          <w:top w:w="28" w:type="dxa"/>
          <w:left w:w="28" w:type="dxa"/>
          <w:bottom w:w="28" w:type="dxa"/>
          <w:right w:w="28" w:type="dxa"/>
        </w:tblCellMar>
      </w:tblPr>
      <w:tblGrid>
        <w:gridCol w:w="679"/>
        <w:gridCol w:w="597"/>
        <w:gridCol w:w="599"/>
        <w:gridCol w:w="678"/>
        <w:gridCol w:w="678"/>
        <w:gridCol w:w="96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Large accelerated filer </w:t>
            </w:r>
            <w:r>
              <w:rPr>
                <w:rFonts w:ascii="Wingdings;sans-serif" w:hAnsi="Wingdings;sans-serif"/>
                <w:b w:val="false"/>
                <w:color w:val="000000"/>
                <w:sz w:val="18"/>
              </w:rPr>
              <w:t>o</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Accelerated filer </w:t>
            </w:r>
            <w:r>
              <w:rPr>
                <w:rFonts w:ascii="Wingdings;sans-serif" w:hAnsi="Wingdings;sans-serif"/>
                <w:b w:val="false"/>
                <w:color w:val="000000"/>
                <w:sz w:val="18"/>
              </w:rPr>
              <w:t>o</w:t>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Non-accelerated filer </w:t>
            </w:r>
            <w:r>
              <w:rPr>
                <w:rFonts w:ascii="Wingdings;sans-serif" w:hAnsi="Wingdings;sans-serif"/>
                <w:b w:val="false"/>
                <w:color w:val="000000"/>
                <w:sz w:val="18"/>
              </w:rPr>
              <w:t>x</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Smaller reporting company </w:t>
            </w:r>
            <w:r>
              <w:rPr>
                <w:rFonts w:ascii="Wingdings;sans-serif" w:hAnsi="Wingdings;sans-serif"/>
                <w:b w:val="false"/>
                <w:color w:val="000000"/>
                <w:sz w:val="18"/>
              </w:rPr>
              <w:t>x</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x</w:t>
            </w:r>
          </w:p>
        </w:tc>
      </w:tr>
    </w:tbl>
    <w:p>
      <w:pPr>
        <w:pStyle w:val="TextBody"/>
        <w:bidi w:val="0"/>
        <w:spacing w:lineRule="auto" w:line="288" w:before="6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As of July 30, 2026, the registrant had 40,848,893 ordinary shares, nominal value £0.000025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00" w:type="dxa"/>
        <w:jc w:val="left"/>
        <w:tblInd w:w="0" w:type="dxa"/>
        <w:tblLayout w:type="fixed"/>
        <w:tblCellMar>
          <w:top w:w="28" w:type="dxa"/>
          <w:left w:w="28" w:type="dxa"/>
          <w:bottom w:w="28" w:type="dxa"/>
          <w:right w:w="28" w:type="dxa"/>
        </w:tblCellMar>
      </w:tblPr>
      <w:tblGrid>
        <w:gridCol w:w="641"/>
        <w:gridCol w:w="562"/>
        <w:gridCol w:w="562"/>
        <w:gridCol w:w="2438"/>
        <w:gridCol w:w="2438"/>
        <w:gridCol w:w="2488"/>
        <w:gridCol w:w="167"/>
        <w:gridCol w:w="167"/>
        <w:gridCol w:w="23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1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da6254a1fab4c5da652e3a4fb458743_13">
              <w:r>
                <w:rPr>
                  <w:rStyle w:val="InternetLink"/>
                  <w:rFonts w:ascii="Times New Roman;serif" w:hAnsi="Times New Roman;serif"/>
                  <w:b w:val="false"/>
                  <w:strike w:val="false"/>
                  <w:dstrike w:val="false"/>
                  <w:color w:val="000000"/>
                  <w:sz w:val="20"/>
                  <w:u w:val="none"/>
                  <w:effect w:val="none"/>
                </w:rPr>
                <w:t>1</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6">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6">
              <w:r>
                <w:rPr>
                  <w:rStyle w:val="InternetLink"/>
                  <w:rFonts w:ascii="Times New Roman;serif" w:hAnsi="Times New Roman;serif"/>
                  <w:b w:val="false"/>
                  <w:strike w:val="false"/>
                  <w:dstrike w:val="false"/>
                  <w:color w:val="000000"/>
                  <w:sz w:val="20"/>
                  <w:u w:val="none"/>
                  <w:effect w:val="none"/>
                </w:rPr>
                <w:t>1</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85">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85">
              <w:r>
                <w:rPr>
                  <w:rStyle w:val="InternetLink"/>
                  <w:rFonts w:ascii="Times New Roman;serif" w:hAnsi="Times New Roman;serif"/>
                  <w:b w:val="false"/>
                  <w:strike w:val="false"/>
                  <w:dstrike w:val="false"/>
                  <w:color w:val="000000"/>
                  <w:sz w:val="20"/>
                  <w:u w:val="none"/>
                  <w:effect w:val="none"/>
                </w:rPr>
                <w:t>18</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18">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18">
              <w:r>
                <w:rPr>
                  <w:rStyle w:val="InternetLink"/>
                  <w:rFonts w:ascii="Times New Roman;serif" w:hAnsi="Times New Roman;serif"/>
                  <w:b w:val="false"/>
                  <w:color w:val="0000FF"/>
                  <w:sz w:val="20"/>
                  <w:u w:val="single"/>
                </w:rPr>
                <w:t>Quantitative and Qualitative Disclosure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18">
              <w:r>
                <w:rPr>
                  <w:rStyle w:val="InternetLink"/>
                  <w:rFonts w:ascii="Times New Roman;serif" w:hAnsi="Times New Roman;serif"/>
                  <w:b w:val="false"/>
                  <w:strike w:val="false"/>
                  <w:dstrike w:val="false"/>
                  <w:color w:val="000000"/>
                  <w:sz w:val="20"/>
                  <w:u w:val="none"/>
                  <w:effect w:val="none"/>
                </w:rPr>
                <w:t>30</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21">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21">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21">
              <w:r>
                <w:rPr>
                  <w:rStyle w:val="InternetLink"/>
                  <w:rFonts w:ascii="Times New Roman;serif" w:hAnsi="Times New Roman;serif"/>
                  <w:b w:val="false"/>
                  <w:strike w:val="false"/>
                  <w:dstrike w:val="false"/>
                  <w:color w:val="000000"/>
                  <w:sz w:val="20"/>
                  <w:u w:val="none"/>
                  <w:effect w:val="none"/>
                </w:rPr>
                <w:t>31</w:t>
              </w:r>
            </w:hyperlink>
          </w:p>
        </w:tc>
      </w:tr>
      <w:tr>
        <w:trPr/>
        <w:tc>
          <w:tcPr>
            <w:tcW w:w="91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24">
              <w:r>
                <w:rPr>
                  <w:rStyle w:val="InternetLink"/>
                  <w:rFonts w:ascii="Times New Roman;serif" w:hAnsi="Times New Roman;serif"/>
                  <w:b/>
                  <w:color w:val="0000FF"/>
                  <w:sz w:val="20"/>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24">
              <w:r>
                <w:rPr>
                  <w:rStyle w:val="InternetLink"/>
                  <w:rFonts w:ascii="Times New Roman;serif" w:hAnsi="Times New Roman;serif"/>
                  <w:b w:val="false"/>
                  <w:strike w:val="false"/>
                  <w:dstrike w:val="false"/>
                  <w:color w:val="000000"/>
                  <w:sz w:val="20"/>
                  <w:u w:val="none"/>
                  <w:effect w:val="none"/>
                </w:rPr>
                <w:t>32</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27">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2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27">
              <w:r>
                <w:rPr>
                  <w:rStyle w:val="InternetLink"/>
                  <w:rFonts w:ascii="Times New Roman;serif" w:hAnsi="Times New Roman;serif"/>
                  <w:b w:val="false"/>
                  <w:strike w:val="false"/>
                  <w:dstrike w:val="false"/>
                  <w:color w:val="000000"/>
                  <w:sz w:val="20"/>
                  <w:u w:val="none"/>
                  <w:effect w:val="none"/>
                </w:rPr>
                <w:t>32</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0">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30">
              <w:r>
                <w:rPr>
                  <w:rStyle w:val="InternetLink"/>
                  <w:rFonts w:ascii="Times New Roman;serif" w:hAnsi="Times New Roman;serif"/>
                  <w:b w:val="false"/>
                  <w:strike w:val="false"/>
                  <w:dstrike w:val="false"/>
                  <w:color w:val="000000"/>
                  <w:sz w:val="20"/>
                  <w:u w:val="none"/>
                  <w:effect w:val="none"/>
                </w:rPr>
                <w:t>32</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3">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33">
              <w:r>
                <w:rPr>
                  <w:rStyle w:val="InternetLink"/>
                  <w:rFonts w:ascii="Times New Roman;serif" w:hAnsi="Times New Roman;serif"/>
                  <w:b w:val="false"/>
                  <w:strike w:val="false"/>
                  <w:dstrike w:val="false"/>
                  <w:color w:val="000000"/>
                  <w:sz w:val="20"/>
                  <w:u w:val="none"/>
                  <w:effect w:val="none"/>
                </w:rPr>
                <w:t>34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6">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6">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36">
              <w:r>
                <w:rPr>
                  <w:rStyle w:val="InternetLink"/>
                  <w:rFonts w:ascii="Times New Roman;serif" w:hAnsi="Times New Roman;serif"/>
                  <w:b w:val="false"/>
                  <w:strike w:val="false"/>
                  <w:dstrike w:val="false"/>
                  <w:color w:val="000000"/>
                  <w:sz w:val="20"/>
                  <w:u w:val="none"/>
                  <w:effect w:val="none"/>
                </w:rPr>
                <w:t>34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9">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39">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39">
              <w:r>
                <w:rPr>
                  <w:rStyle w:val="InternetLink"/>
                  <w:rFonts w:ascii="Times New Roman;serif" w:hAnsi="Times New Roman;serif"/>
                  <w:b w:val="false"/>
                  <w:strike w:val="false"/>
                  <w:dstrike w:val="false"/>
                  <w:color w:val="000000"/>
                  <w:sz w:val="20"/>
                  <w:u w:val="none"/>
                  <w:effect w:val="none"/>
                </w:rPr>
                <w:t>34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42">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42">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42">
              <w:r>
                <w:rPr>
                  <w:rStyle w:val="InternetLink"/>
                  <w:rFonts w:ascii="Times New Roman;serif" w:hAnsi="Times New Roman;serif"/>
                  <w:b w:val="false"/>
                  <w:strike w:val="false"/>
                  <w:dstrike w:val="false"/>
                  <w:color w:val="000000"/>
                  <w:sz w:val="20"/>
                  <w:u w:val="none"/>
                  <w:effect w:val="none"/>
                </w:rPr>
                <w:t>34</w:t>
              </w:r>
            </w:hyperlink>
          </w:p>
        </w:tc>
      </w:tr>
      <w:tr>
        <w:trPr/>
        <w:tc>
          <w:tcPr>
            <w:tcW w:w="1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45">
              <w:r>
                <w:rPr>
                  <w:rStyle w:val="InternetLink"/>
                  <w:rFonts w:ascii="Times New Roman;serif" w:hAnsi="Times New Roman;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45">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45">
              <w:r>
                <w:rPr>
                  <w:rStyle w:val="InternetLink"/>
                  <w:rFonts w:ascii="Times New Roman;serif" w:hAnsi="Times New Roman;serif"/>
                  <w:b w:val="false"/>
                  <w:strike w:val="false"/>
                  <w:dstrike w:val="false"/>
                  <w:color w:val="000000"/>
                  <w:sz w:val="20"/>
                  <w:u w:val="none"/>
                  <w:effect w:val="none"/>
                </w:rPr>
                <w:t>34</w:t>
              </w:r>
            </w:hyperlink>
          </w:p>
        </w:tc>
      </w:tr>
      <w:tr>
        <w:trPr/>
        <w:tc>
          <w:tcPr>
            <w:tcW w:w="91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148">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a6254a1fab4c5da652e3a4fb458743_148">
              <w:r>
                <w:rPr>
                  <w:rStyle w:val="InternetLink"/>
                  <w:rFonts w:ascii="Times New Roman;serif" w:hAnsi="Times New Roman;serif"/>
                  <w:b w:val="false"/>
                  <w:strike w:val="false"/>
                  <w:dstrike w:val="false"/>
                  <w:color w:val="000000"/>
                  <w:sz w:val="20"/>
                  <w:u w:val="none"/>
                  <w:effect w:val="none"/>
                </w:rPr>
                <w:t>35</w:t>
              </w:r>
            </w:hyperlink>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own the registered trademark BARINTHUS in the United Kingdom ("U.K."), and we have filed applications at the U.K. Intellectual Property Office and other intellectual properties to register trademarks for BARINTHUS, SNAP-TI, SNAP-CI and a design logo globally. We also own various trademark registrations and applications, and unregistered trademarks, including the registered trademark VACCITECH, and trademarks relating to the technologies acquired as part of our acquisition of Avidea Technologies, Inc. ("Avidea") in December 2021 including the registered trademarks SNAPVAX and SYNTHOLYTIC. All other trade names, trademarks and service marks of other companies appearing in this Quarterly Report on Form 10-Q, or this Quarterly Report, are the property of their respective holders. Solely for convenience, the trademarks and trade names in this Quarterly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use our website, our X (formerly known as Twitter) account at @Barinthusbio and our LinkedIn account at linkedin.com/company/barinthus-bio to distribute material information about us and for complying with our disclosure obligations under Regulation FD. Our financial and other material information is routinely posted to and accessible on the Investors section of our website, available at www.barinthusbio.com. Investors are encouraged to review the Investors section of our website because we may post material information on that site that is not otherwise disseminated by us. Information that is contained in and can be accessed through our website, our X (formerly known as Twitter) posts and our LinkedIn posts are not incorporated into, and does not form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CONDENSED CONSOLIDATED FINANCIAL STATEMENTS (UNAUDITED)</w:t>
      </w:r>
    </w:p>
    <w:tbl>
      <w:tblPr>
        <w:tblW w:w="7228" w:type="dxa"/>
        <w:jc w:val="left"/>
        <w:tblInd w:w="0" w:type="dxa"/>
        <w:tblLayout w:type="fixed"/>
        <w:tblCellMar>
          <w:top w:w="28" w:type="dxa"/>
          <w:left w:w="28" w:type="dxa"/>
          <w:bottom w:w="28" w:type="dxa"/>
          <w:right w:w="28" w:type="dxa"/>
        </w:tblCellMar>
      </w:tblPr>
      <w:tblGrid>
        <w:gridCol w:w="2293"/>
        <w:gridCol w:w="2016"/>
        <w:gridCol w:w="2021"/>
        <w:gridCol w:w="109"/>
        <w:gridCol w:w="109"/>
        <w:gridCol w:w="109"/>
        <w:gridCol w:w="167"/>
        <w:gridCol w:w="167"/>
        <w:gridCol w:w="237"/>
      </w:tblGrid>
      <w:tr>
        <w:trPr/>
        <w:tc>
          <w:tcPr>
            <w:tcW w:w="229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Financial Statements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da6254a1fab4c5da652e3a4fb458743_19">
              <w:r>
                <w:rPr>
                  <w:rStyle w:val="InternetLink"/>
                  <w:rFonts w:ascii="Times New Roman;serif" w:hAnsi="Times New Roman;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pPr>
            <w:hyperlink w:anchor="i6da6254a1fab4c5da652e3a4fb458743_19">
              <w:r>
                <w:rPr>
                  <w:rStyle w:val="InternetLink"/>
                  <w:rFonts w:ascii="Times New Roman;serif" w:hAnsi="Times New Roman;serif"/>
                  <w:b w:val="false"/>
                  <w:strike w:val="false"/>
                  <w:dstrike w:val="false"/>
                  <w:color w:val="000000"/>
                  <w:sz w:val="20"/>
                  <w:u w:val="none"/>
                  <w:effect w:val="none"/>
                </w:rPr>
                <w:t>F</w:t>
              </w:r>
            </w:hyperlink>
            <w:r>
              <w:rPr>
                <w:rFonts w:ascii="Times New Roman;serif" w:hAnsi="Times New Roman;serif"/>
                <w:b w:val="false"/>
                <w:color w:val="000000"/>
                <w:sz w:val="20"/>
              </w:rPr>
              <w:t>-</w:t>
            </w:r>
            <w:hyperlink w:anchor="i6da6254a1fab4c5da652e3a4fb458743_19">
              <w:r>
                <w:rPr>
                  <w:rStyle w:val="InternetLink"/>
                  <w:rFonts w:ascii="Times New Roman;serif" w:hAnsi="Times New Roman;serif"/>
                  <w:b w:val="false"/>
                  <w:strike w:val="false"/>
                  <w:dstrike w:val="false"/>
                  <w:color w:val="000000"/>
                  <w:sz w:val="20"/>
                  <w:u w:val="none"/>
                  <w:effect w:val="none"/>
                </w:rPr>
                <w:t>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22">
              <w:r>
                <w:rPr>
                  <w:rStyle w:val="InternetLink"/>
                  <w:rFonts w:ascii="Times New Roman;serif" w:hAnsi="Times New Roman;serif"/>
                  <w:b w:val="false"/>
                  <w:color w:val="0000FF"/>
                  <w:sz w:val="20"/>
                  <w:u w:val="single"/>
                </w:rPr>
                <w:t>Condensed Consolidated Statements of Operations and Comprehensive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da6254a1fab4c5da652e3a4fb458743_22">
              <w:r>
                <w:rPr>
                  <w:rStyle w:val="InternetLink"/>
                  <w:rFonts w:ascii="Times New Roman;serif" w:hAnsi="Times New Roman;serif"/>
                  <w:b w:val="false"/>
                  <w:strike w:val="false"/>
                  <w:dstrike w:val="false"/>
                  <w:color w:val="000000"/>
                  <w:sz w:val="20"/>
                  <w:u w:val="none"/>
                  <w:effect w:val="none"/>
                </w:rPr>
                <w:t>F</w:t>
              </w:r>
            </w:hyperlink>
            <w:r>
              <w:rPr>
                <w:rFonts w:ascii="Times New Roman;serif" w:hAnsi="Times New Roman;serif"/>
                <w:b w:val="false"/>
                <w:color w:val="000000"/>
                <w:sz w:val="20"/>
              </w:rPr>
              <w:t>-</w:t>
            </w:r>
            <w:hyperlink w:anchor="i6da6254a1fab4c5da652e3a4fb458743_22">
              <w:r>
                <w:rPr>
                  <w:rStyle w:val="InternetLink"/>
                  <w:rFonts w:ascii="Times New Roman;serif" w:hAnsi="Times New Roman;serif"/>
                  <w:b w:val="false"/>
                  <w:strike w:val="false"/>
                  <w:dstrike w:val="false"/>
                  <w:color w:val="000000"/>
                  <w:sz w:val="20"/>
                  <w:u w:val="none"/>
                  <w:effect w:val="none"/>
                </w:rPr>
                <w:t>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25">
              <w:r>
                <w:rPr>
                  <w:rStyle w:val="InternetLink"/>
                  <w:rFonts w:ascii="Times New Roman;serif" w:hAnsi="Times New Roman;serif"/>
                  <w:b w:val="false"/>
                  <w:color w:val="0000FF"/>
                  <w:sz w:val="20"/>
                  <w:u w:val="single"/>
                </w:rPr>
                <w:t xml:space="preserve">Condensed Consolidated Statements of Changes in Stockholders’ Equity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da6254a1fab4c5da652e3a4fb458743_25">
              <w:r>
                <w:rPr>
                  <w:rStyle w:val="InternetLink"/>
                  <w:rFonts w:ascii="Times New Roman;serif" w:hAnsi="Times New Roman;serif"/>
                  <w:b w:val="false"/>
                  <w:strike w:val="false"/>
                  <w:dstrike w:val="false"/>
                  <w:color w:val="000000"/>
                  <w:sz w:val="20"/>
                  <w:u w:val="none"/>
                  <w:effect w:val="none"/>
                </w:rPr>
                <w:t>F</w:t>
              </w:r>
            </w:hyperlink>
            <w:r>
              <w:rPr>
                <w:rFonts w:ascii="Times New Roman;serif" w:hAnsi="Times New Roman;serif"/>
                <w:b w:val="false"/>
                <w:color w:val="000000"/>
                <w:sz w:val="20"/>
              </w:rPr>
              <w:t>-</w:t>
            </w:r>
            <w:hyperlink w:anchor="i6da6254a1fab4c5da652e3a4fb458743_25">
              <w:r>
                <w:rPr>
                  <w:rStyle w:val="InternetLink"/>
                  <w:rFonts w:ascii="Times New Roman;serif" w:hAnsi="Times New Roman;serif"/>
                  <w:b w:val="false"/>
                  <w:strike w:val="false"/>
                  <w:dstrike w:val="false"/>
                  <w:color w:val="000000"/>
                  <w:sz w:val="20"/>
                  <w:u w:val="none"/>
                  <w:effect w:val="none"/>
                </w:rPr>
                <w:t>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28">
              <w:r>
                <w:rPr>
                  <w:rStyle w:val="InternetLink"/>
                  <w:rFonts w:ascii="Times New Roman;serif" w:hAnsi="Times New Roman;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da6254a1fab4c5da652e3a4fb458743_28">
              <w:r>
                <w:rPr>
                  <w:rStyle w:val="InternetLink"/>
                  <w:rFonts w:ascii="Times New Roman;serif" w:hAnsi="Times New Roman;serif"/>
                  <w:b w:val="false"/>
                  <w:strike w:val="false"/>
                  <w:dstrike w:val="false"/>
                  <w:color w:val="000000"/>
                  <w:sz w:val="20"/>
                  <w:u w:val="none"/>
                  <w:effect w:val="none"/>
                </w:rPr>
                <w:t>F</w:t>
              </w:r>
            </w:hyperlink>
            <w:r>
              <w:rPr>
                <w:rFonts w:ascii="Times New Roman;serif" w:hAnsi="Times New Roman;serif"/>
                <w:b w:val="false"/>
                <w:color w:val="000000"/>
                <w:sz w:val="20"/>
              </w:rPr>
              <w:t>-</w:t>
            </w:r>
            <w:hyperlink w:anchor="i6da6254a1fab4c5da652e3a4fb458743_28">
              <w:r>
                <w:rPr>
                  <w:rStyle w:val="InternetLink"/>
                  <w:rFonts w:ascii="Times New Roman;serif" w:hAnsi="Times New Roman;serif"/>
                  <w:b w:val="false"/>
                  <w:strike w:val="false"/>
                  <w:dstrike w:val="false"/>
                  <w:color w:val="000000"/>
                  <w:sz w:val="20"/>
                  <w:u w:val="none"/>
                  <w:effect w:val="non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a6254a1fab4c5da652e3a4fb458743_31">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da6254a1fab4c5da652e3a4fb458743_31">
              <w:r>
                <w:rPr>
                  <w:rStyle w:val="InternetLink"/>
                  <w:rFonts w:ascii="Times New Roman;serif" w:hAnsi="Times New Roman;serif"/>
                  <w:b w:val="false"/>
                  <w:strike w:val="false"/>
                  <w:dstrike w:val="false"/>
                  <w:color w:val="000000"/>
                  <w:sz w:val="20"/>
                  <w:u w:val="none"/>
                  <w:effect w:val="none"/>
                </w:rPr>
                <w:t>F</w:t>
              </w:r>
            </w:hyperlink>
            <w:r>
              <w:rPr>
                <w:rFonts w:ascii="Times New Roman;serif" w:hAnsi="Times New Roman;serif"/>
                <w:b w:val="false"/>
                <w:color w:val="000000"/>
                <w:sz w:val="20"/>
              </w:rPr>
              <w:t>-</w:t>
            </w:r>
            <w:hyperlink w:anchor="i6da6254a1fab4c5da652e3a4fb458743_31">
              <w:r>
                <w:rPr>
                  <w:rStyle w:val="InternetLink"/>
                  <w:rFonts w:ascii="Times New Roman;serif" w:hAnsi="Times New Roman;serif"/>
                  <w:b w:val="false"/>
                  <w:strike w:val="false"/>
                  <w:dstrike w:val="false"/>
                  <w:color w:val="000000"/>
                  <w:sz w:val="20"/>
                  <w:u w:val="none"/>
                  <w:effect w:val="none"/>
                </w:rPr>
                <w:t>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59"/>
        <w:gridCol w:w="2375"/>
        <w:gridCol w:w="2389"/>
        <w:gridCol w:w="196"/>
        <w:gridCol w:w="646"/>
        <w:gridCol w:w="109"/>
        <w:gridCol w:w="109"/>
        <w:gridCol w:w="109"/>
        <w:gridCol w:w="109"/>
        <w:gridCol w:w="215"/>
        <w:gridCol w:w="712"/>
        <w:gridCol w:w="119"/>
        <w:gridCol w:w="158"/>
      </w:tblGrid>
      <w:tr>
        <w:trPr/>
        <w:tc>
          <w:tcPr>
            <w:tcW w:w="2959"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b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70,456 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incentives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63,273 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77,790 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81,893 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98,169 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bookmarkStart w:id="0" w:name="iba1b018f452d48c4940b6578129caad4_15-0-1"/>
            <w:bookmarkEnd w:id="0"/>
            <w:r>
              <w:rPr>
                <w:rFonts w:ascii="Times New Roman;serif" w:hAnsi="Times New Roman;serif"/>
                <w:b w:val="false"/>
                <w:color w:val="000000"/>
                <w:sz w:val="18"/>
              </w:rPr>
              <w:t>Accrued expenses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10,018 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24,759 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23,877 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rFonts w:ascii="Times New Roman;serif" w:hAnsi="Times New Roman;serif"/>
                <w:b w:val="false"/>
                <w:color w:val="000000"/>
                <w:sz w:val="18"/>
              </w:rPr>
            </w:pPr>
            <w:r>
              <w:rPr>
                <w:rFonts w:ascii="Times New Roman;serif" w:hAnsi="Times New Roman;serif"/>
                <w:b w:val="false"/>
                <w:color w:val="000000"/>
                <w:sz w:val="18"/>
              </w:rPr>
              <w:t>Ordinary shares, £0.000025 nominal value; as at June 30, 2026 40,848,893 shares authorized, issued and outstanding and as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rFonts w:ascii="Times New Roman;serif" w:hAnsi="Times New Roman;serif"/>
                <w:b w:val="false"/>
                <w:color w:val="000000"/>
                <w:sz w:val="18"/>
              </w:rPr>
            </w:pPr>
            <w:r>
              <w:rPr>
                <w:rFonts w:ascii="Times New Roman;serif" w:hAnsi="Times New Roman;serif"/>
                <w:b w:val="false"/>
                <w:color w:val="000000"/>
                <w:sz w:val="18"/>
              </w:rPr>
              <w:t xml:space="preserve">Deferred A shares, £1 nominal value; as at June 30, 2026 63,443 shares authorized, issued and outstanding and as at December 31, 2025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(304,092)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 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attributable to Barinthus Biotherapeutics plc shareholders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74,208 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74,292 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81,893 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98,169 </w:t>
            </w:r>
          </w:p>
        </w:tc>
        <w:tc>
          <w:tcPr>
            <w:tcW w:w="11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18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82"/>
        <w:gridCol w:w="1442"/>
        <w:gridCol w:w="1453"/>
        <w:gridCol w:w="211"/>
        <w:gridCol w:w="779"/>
        <w:gridCol w:w="109"/>
        <w:gridCol w:w="109"/>
        <w:gridCol w:w="109"/>
        <w:gridCol w:w="109"/>
        <w:gridCol w:w="211"/>
        <w:gridCol w:w="779"/>
        <w:gridCol w:w="109"/>
        <w:gridCol w:w="109"/>
        <w:gridCol w:w="109"/>
        <w:gridCol w:w="109"/>
        <w:gridCol w:w="211"/>
        <w:gridCol w:w="779"/>
        <w:gridCol w:w="109"/>
        <w:gridCol w:w="109"/>
        <w:gridCol w:w="109"/>
        <w:gridCol w:w="109"/>
        <w:gridCol w:w="211"/>
        <w:gridCol w:w="778"/>
        <w:gridCol w:w="161"/>
      </w:tblGrid>
      <w:tr>
        <w:trPr/>
        <w:tc>
          <w:tcPr>
            <w:tcW w:w="188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44,266 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(23,324)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(43,924)</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(40,831)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(40,784)</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Barinthus Biotherapeutics plc shareholders</w:t>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(40,772)</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ordinary shares outstanding, basic </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40,343,521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40,304,584</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outstanding, diluted</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40,343,521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40,304,584</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ordinary shareholders, basic</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ordinary shareholders,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(loss)/gain – foreign currency translation adjustments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(27,843)</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loss/(gain) attributable to noncontrolling interest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Barinthus Biotherapeutics plc shareholders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(12,836)</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(18,124)</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(27,841)</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180"/>
        <w:jc w:val="left"/>
        <w:rPr/>
      </w:pPr>
      <w:r>
        <w:rPr/>
      </w:r>
    </w:p>
    <w:p>
      <w:pPr>
        <w:pStyle w:val="TextBody"/>
        <w:bidi w:val="0"/>
        <w:spacing w:before="240" w:after="283"/>
        <w:ind w:left="0" w:right="0" w:hanging="180"/>
        <w:jc w:val="left"/>
        <w:rPr/>
      </w:pPr>
      <w:r>
        <w:rPr/>
      </w:r>
    </w:p>
    <w:p>
      <w:pPr>
        <w:pStyle w:val="TextBody"/>
        <w:bidi w:val="0"/>
        <w:spacing w:before="240" w:after="283"/>
        <w:ind w:left="0" w:right="0" w:firstLine="18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458" w:type="dxa"/>
        <w:jc w:val="left"/>
        <w:tblInd w:w="0" w:type="dxa"/>
        <w:tblLayout w:type="fixed"/>
        <w:tblCellMar>
          <w:top w:w="28" w:type="dxa"/>
          <w:left w:w="28" w:type="dxa"/>
          <w:bottom w:w="28" w:type="dxa"/>
          <w:right w:w="28" w:type="dxa"/>
        </w:tblCellMar>
      </w:tblPr>
      <w:tblGrid>
        <w:gridCol w:w="441"/>
        <w:gridCol w:w="177"/>
        <w:gridCol w:w="178"/>
        <w:gridCol w:w="214"/>
        <w:gridCol w:w="214"/>
        <w:gridCol w:w="218"/>
        <w:gridCol w:w="109"/>
        <w:gridCol w:w="109"/>
        <w:gridCol w:w="109"/>
        <w:gridCol w:w="174"/>
        <w:gridCol w:w="237"/>
        <w:gridCol w:w="115"/>
        <w:gridCol w:w="109"/>
        <w:gridCol w:w="109"/>
        <w:gridCol w:w="109"/>
        <w:gridCol w:w="109"/>
        <w:gridCol w:w="109"/>
        <w:gridCol w:w="109"/>
        <w:gridCol w:w="150"/>
        <w:gridCol w:w="150"/>
        <w:gridCol w:w="151"/>
        <w:gridCol w:w="109"/>
        <w:gridCol w:w="109"/>
        <w:gridCol w:w="109"/>
        <w:gridCol w:w="166"/>
        <w:gridCol w:w="286"/>
        <w:gridCol w:w="109"/>
        <w:gridCol w:w="109"/>
        <w:gridCol w:w="109"/>
        <w:gridCol w:w="109"/>
        <w:gridCol w:w="109"/>
        <w:gridCol w:w="109"/>
        <w:gridCol w:w="109"/>
        <w:gridCol w:w="109"/>
        <w:gridCol w:w="109"/>
        <w:gridCol w:w="109"/>
        <w:gridCol w:w="109"/>
        <w:gridCol w:w="109"/>
        <w:gridCol w:w="109"/>
        <w:gridCol w:w="109"/>
        <w:gridCol w:w="109"/>
        <w:gridCol w:w="176"/>
        <w:gridCol w:w="592"/>
        <w:gridCol w:w="118"/>
        <w:gridCol w:w="109"/>
        <w:gridCol w:w="109"/>
        <w:gridCol w:w="109"/>
        <w:gridCol w:w="109"/>
        <w:gridCol w:w="166"/>
        <w:gridCol w:w="541"/>
        <w:gridCol w:w="109"/>
        <w:gridCol w:w="109"/>
        <w:gridCol w:w="109"/>
        <w:gridCol w:w="109"/>
        <w:gridCol w:w="201"/>
        <w:gridCol w:w="582"/>
        <w:gridCol w:w="133"/>
        <w:gridCol w:w="109"/>
        <w:gridCol w:w="109"/>
        <w:gridCol w:w="109"/>
        <w:gridCol w:w="197"/>
        <w:gridCol w:w="589"/>
        <w:gridCol w:w="130"/>
        <w:gridCol w:w="327"/>
        <w:gridCol w:w="257"/>
        <w:gridCol w:w="444"/>
        <w:gridCol w:w="170"/>
        <w:gridCol w:w="327"/>
        <w:gridCol w:w="171"/>
        <w:gridCol w:w="512"/>
        <w:gridCol w:w="113"/>
        <w:gridCol w:w="327"/>
        <w:gridCol w:w="372"/>
      </w:tblGrid>
      <w:tr>
        <w:trPr/>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and Six months ended June 30, 2026</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27"/>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Ordinary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Deferred A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1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stockholders’ equity attributable to Barinthus Biotherapeutics plc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Balance, January 1, 2026</w:t>
            </w:r>
          </w:p>
        </w:tc>
        <w:tc>
          <w:tcPr>
            <w:tcW w:w="6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w:t>
            </w:r>
            <w:r>
              <w:rPr>
                <w:color w:val="000000"/>
              </w:rPr>
              <w:t> </w:t>
            </w:r>
          </w:p>
        </w:tc>
        <w:tc>
          <w:tcPr>
            <w:tcW w:w="11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86</w:t>
            </w: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393,944</w:t>
            </w:r>
            <w:r>
              <w:rPr>
                <w:color w:val="000000"/>
              </w:rPr>
              <w:t>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(304,092)</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(15,731)</w:t>
            </w:r>
          </w:p>
        </w:tc>
        <w:tc>
          <w:tcPr>
            <w:tcW w:w="13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74,208</w:t>
            </w:r>
            <w:r>
              <w:rPr>
                <w:color w:val="000000"/>
              </w:rPr>
              <w:t> </w:t>
            </w:r>
          </w:p>
        </w:tc>
        <w:tc>
          <w:tcPr>
            <w:tcW w:w="13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84</w:t>
            </w:r>
            <w:r>
              <w:rPr>
                <w:color w:val="000000"/>
              </w:rPr>
              <w:t> </w:t>
            </w:r>
          </w:p>
        </w:tc>
        <w:tc>
          <w:tcPr>
            <w:tcW w:w="17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74,292</w:t>
            </w:r>
            <w:r>
              <w:rPr>
                <w:color w:val="000000"/>
              </w:rPr>
              <w:t> </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Balance, March 31, 2026</w:t>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394,499</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(309,628)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(18,559)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66,399</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79</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66,478</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433 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433 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433 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ind w:left="0" w:right="0" w:hanging="1"/>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(10,580)</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ind w:left="0" w:right="0" w:hanging="1"/>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(10,580)</w:t>
            </w:r>
          </w:p>
        </w:tc>
        <w:tc>
          <w:tcPr>
            <w:tcW w:w="130" w:type="dxa"/>
            <w:tcBorders/>
            <w:shd w:fill="FFFFFF" w:val="clear"/>
            <w:tcMar>
              <w:top w:w="0" w:type="dxa"/>
              <w:left w:w="0" w:type="dxa"/>
              <w:bottom w:w="0" w:type="dxa"/>
              <w:right w:w="0" w:type="dxa"/>
            </w:tcMar>
            <w:vAlign w:val="center"/>
          </w:tcPr>
          <w:p>
            <w:pPr>
              <w:pStyle w:val="TableContents"/>
              <w:bidi w:val="0"/>
              <w:spacing w:before="0" w:after="283"/>
              <w:ind w:left="0" w:right="0" w:hanging="1"/>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(10,599)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Balance, June 30, 2026</w:t>
            </w:r>
          </w:p>
        </w:tc>
        <w:tc>
          <w:tcPr>
            <w:tcW w:w="64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w:t>
            </w:r>
            <w:r>
              <w:rPr>
                <w:color w:val="000000"/>
              </w:rPr>
              <w:t> </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86</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394,932</w:t>
            </w:r>
            <w:r>
              <w:rPr>
                <w:color w:val="000000"/>
              </w:rPr>
              <w:t>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(320,208)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(17,738)</w:t>
            </w:r>
          </w:p>
        </w:tc>
        <w:tc>
          <w:tcPr>
            <w:tcW w:w="1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57,073</w:t>
            </w:r>
            <w:r>
              <w:rPr>
                <w:color w:val="000000"/>
              </w:rPr>
              <w:t> </w:t>
            </w:r>
          </w:p>
        </w:tc>
        <w:tc>
          <w:tcPr>
            <w:tcW w:w="1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61</w:t>
            </w:r>
            <w:r>
              <w:rPr>
                <w:color w:val="000000"/>
              </w:rPr>
              <w:t> </w:t>
            </w:r>
          </w:p>
        </w:tc>
        <w:tc>
          <w:tcPr>
            <w:tcW w:w="1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57,134</w:t>
            </w:r>
            <w:r>
              <w:rPr>
                <w:color w:val="000000"/>
              </w:rPr>
              <w:t> </w:t>
            </w:r>
          </w:p>
        </w:tc>
        <w:tc>
          <w:tcPr>
            <w:tcW w:w="1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512" w:type="dxa"/>
        <w:jc w:val="left"/>
        <w:tblInd w:w="0" w:type="dxa"/>
        <w:tblLayout w:type="fixed"/>
        <w:tblCellMar>
          <w:top w:w="28" w:type="dxa"/>
          <w:left w:w="28" w:type="dxa"/>
          <w:bottom w:w="28" w:type="dxa"/>
          <w:right w:w="28" w:type="dxa"/>
        </w:tblCellMar>
      </w:tblPr>
      <w:tblGrid>
        <w:gridCol w:w="441"/>
        <w:gridCol w:w="177"/>
        <w:gridCol w:w="178"/>
        <w:gridCol w:w="214"/>
        <w:gridCol w:w="214"/>
        <w:gridCol w:w="218"/>
        <w:gridCol w:w="109"/>
        <w:gridCol w:w="109"/>
        <w:gridCol w:w="109"/>
        <w:gridCol w:w="174"/>
        <w:gridCol w:w="237"/>
        <w:gridCol w:w="115"/>
        <w:gridCol w:w="109"/>
        <w:gridCol w:w="109"/>
        <w:gridCol w:w="109"/>
        <w:gridCol w:w="109"/>
        <w:gridCol w:w="109"/>
        <w:gridCol w:w="109"/>
        <w:gridCol w:w="150"/>
        <w:gridCol w:w="150"/>
        <w:gridCol w:w="151"/>
        <w:gridCol w:w="109"/>
        <w:gridCol w:w="109"/>
        <w:gridCol w:w="109"/>
        <w:gridCol w:w="166"/>
        <w:gridCol w:w="286"/>
        <w:gridCol w:w="109"/>
        <w:gridCol w:w="109"/>
        <w:gridCol w:w="109"/>
        <w:gridCol w:w="109"/>
        <w:gridCol w:w="109"/>
        <w:gridCol w:w="109"/>
        <w:gridCol w:w="109"/>
        <w:gridCol w:w="176"/>
        <w:gridCol w:w="592"/>
        <w:gridCol w:w="118"/>
        <w:gridCol w:w="109"/>
        <w:gridCol w:w="109"/>
        <w:gridCol w:w="109"/>
        <w:gridCol w:w="109"/>
        <w:gridCol w:w="109"/>
        <w:gridCol w:w="109"/>
        <w:gridCol w:w="166"/>
        <w:gridCol w:w="541"/>
        <w:gridCol w:w="109"/>
        <w:gridCol w:w="109"/>
        <w:gridCol w:w="109"/>
        <w:gridCol w:w="109"/>
        <w:gridCol w:w="201"/>
        <w:gridCol w:w="582"/>
        <w:gridCol w:w="133"/>
        <w:gridCol w:w="109"/>
        <w:gridCol w:w="109"/>
        <w:gridCol w:w="109"/>
        <w:gridCol w:w="182"/>
        <w:gridCol w:w="612"/>
        <w:gridCol w:w="122"/>
        <w:gridCol w:w="109"/>
        <w:gridCol w:w="109"/>
        <w:gridCol w:w="109"/>
        <w:gridCol w:w="232"/>
        <w:gridCol w:w="485"/>
        <w:gridCol w:w="154"/>
        <w:gridCol w:w="327"/>
        <w:gridCol w:w="166"/>
        <w:gridCol w:w="556"/>
        <w:gridCol w:w="109"/>
        <w:gridCol w:w="372"/>
      </w:tblGrid>
      <w:tr>
        <w:trPr/>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4" w:type="dxa"/>
            <w:gridSpan w:val="6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and Six months ended June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Ordinary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Deferred A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stockholders’ equity attributable to Barinthus Biotherapeutics plc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Balance, January 1, 2025</w:t>
            </w:r>
          </w:p>
        </w:tc>
        <w:tc>
          <w:tcPr>
            <w:tcW w:w="64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40,234,663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w:t>
            </w:r>
            <w:r>
              <w:rPr>
                <w:color w:val="000000"/>
              </w:rPr>
              <w:t> </w:t>
            </w:r>
          </w:p>
        </w:tc>
        <w:tc>
          <w:tcPr>
            <w:tcW w:w="11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86</w:t>
            </w: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393,474</w:t>
            </w:r>
            <w:r>
              <w:rPr>
                <w:color w:val="000000"/>
              </w:rPr>
              <w:t>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(237,664)</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(25,868)</w:t>
            </w:r>
          </w:p>
        </w:tc>
        <w:tc>
          <w:tcPr>
            <w:tcW w:w="13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130,029</w:t>
            </w:r>
            <w:r>
              <w:rPr>
                <w:color w:val="000000"/>
              </w:rPr>
              <w:t> </w:t>
            </w:r>
          </w:p>
        </w:tc>
        <w:tc>
          <w:tcPr>
            <w:tcW w:w="1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106</w:t>
            </w:r>
            <w:r>
              <w:rPr>
                <w:color w:val="000000"/>
              </w:rPr>
              <w:t>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130,135</w:t>
            </w:r>
            <w:r>
              <w:rPr>
                <w:color w:val="000000"/>
              </w:rPr>
              <w:t>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Issue of ordinary shares, net of issuance costs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104,732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
              </w:rPr>
            </w:pPr>
            <w:r>
              <w:rPr>
                <w:rFonts w:ascii="Times New Roman;serif" w:hAnsi="Times New Roman;serif"/>
                <w:b w:val="false"/>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(19,648)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Balance, March 31, 2025</w:t>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40,339,395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63,443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393,944</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(257,312)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(21,225)</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115,494</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99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115,593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(281)</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Issue of ordinary shares, net of issuance costs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
              </w:rPr>
            </w:pPr>
            <w:r>
              <w:rPr>
                <w:rFonts w:ascii="Times New Roman;serif" w:hAnsi="Times New Roman;serif"/>
                <w:b w:val="false"/>
                <w:color w:val="000000"/>
                <w:sz w:val="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
              </w:rPr>
            </w:pPr>
            <w:r>
              <w:rPr>
                <w:rFonts w:ascii="Times New Roman;serif" w:hAnsi="Times New Roman;serif"/>
                <w:b w:val="false"/>
                <w:color w:val="000000"/>
                <w:sz w:val="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
              </w:rPr>
            </w:pPr>
            <w:r>
              <w:rPr>
                <w:rFonts w:ascii="Times New Roman;serif" w:hAnsi="Times New Roman;serif"/>
                <w:b w:val="false"/>
                <w:color w:val="000000"/>
                <w:sz w:val="8"/>
              </w:rPr>
              <w:t>1</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
              </w:rPr>
            </w:pPr>
            <w:r>
              <w:rPr>
                <w:rFonts w:ascii="Times New Roman;serif" w:hAnsi="Times New Roman;serif"/>
                <w:b w:val="false"/>
                <w:color w:val="000000"/>
                <w:sz w:val="8"/>
              </w:rPr>
              <w:t>1</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adjustments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Balance, June 30, 2025</w:t>
            </w:r>
          </w:p>
        </w:tc>
        <w:tc>
          <w:tcPr>
            <w:tcW w:w="64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40,348,665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w:t>
            </w:r>
            <w:r>
              <w:rPr>
                <w:color w:val="000000"/>
              </w:rPr>
              <w:t> </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63,443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86</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393,663</w:t>
            </w:r>
            <w:r>
              <w:rPr>
                <w:color w:val="000000"/>
              </w:rPr>
              <w:t>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(278,436)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2"/>
              </w:rPr>
            </w:pPr>
            <w:r>
              <w:rPr>
                <w:rFonts w:ascii="Times New Roman;serif" w:hAnsi="Times New Roman;serif"/>
                <w:b/>
                <w:color w:val="000000"/>
                <w:sz w:val="12"/>
              </w:rPr>
              <w:t>(12,937)</w:t>
            </w:r>
          </w:p>
        </w:tc>
        <w:tc>
          <w:tcPr>
            <w:tcW w:w="13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102,377</w:t>
            </w:r>
            <w:r>
              <w:rPr>
                <w:color w:val="000000"/>
              </w:rPr>
              <w:t> </w:t>
            </w:r>
          </w:p>
        </w:tc>
        <w:tc>
          <w:tcPr>
            <w:tcW w:w="1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104</w:t>
            </w:r>
            <w:r>
              <w:rPr>
                <w:color w:val="000000"/>
              </w:rPr>
              <w:t>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2"/>
              </w:rPr>
              <w:t>102,481</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Indicates amount less than one thousand</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75" w:type="dxa"/>
        <w:jc w:val="left"/>
        <w:tblInd w:w="0" w:type="dxa"/>
        <w:tblLayout w:type="fixed"/>
        <w:tblCellMar>
          <w:top w:w="28" w:type="dxa"/>
          <w:left w:w="28" w:type="dxa"/>
          <w:bottom w:w="28" w:type="dxa"/>
          <w:right w:w="28" w:type="dxa"/>
        </w:tblCellMar>
      </w:tblPr>
      <w:tblGrid>
        <w:gridCol w:w="1847"/>
        <w:gridCol w:w="1622"/>
        <w:gridCol w:w="1630"/>
        <w:gridCol w:w="215"/>
        <w:gridCol w:w="791"/>
        <w:gridCol w:w="119"/>
        <w:gridCol w:w="109"/>
        <w:gridCol w:w="109"/>
        <w:gridCol w:w="109"/>
        <w:gridCol w:w="109"/>
        <w:gridCol w:w="109"/>
        <w:gridCol w:w="109"/>
        <w:gridCol w:w="215"/>
        <w:gridCol w:w="791"/>
        <w:gridCol w:w="119"/>
        <w:gridCol w:w="109"/>
        <w:gridCol w:w="109"/>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2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(gain)/loss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contingent consideration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Profit on sale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incentives receivable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(11,457)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(33,011)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provided by/(used) in investing activities</w:t>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2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Issue of shares from the exercise of stock options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cash equivalents and restricted cash</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8,430 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(12,222)</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(24,616)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the period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71,852 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the period</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59,630 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87,784 </w:t>
            </w:r>
          </w:p>
        </w:tc>
        <w:tc>
          <w:tcPr>
            <w:tcW w:w="11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18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Barinthus Biotherapeutics plc is a public limited company incorporated pursuant to the laws of England and Wales in March 2021. Barinthus Biotherapeutics plc and its direct and indirect subsidiaries, Barinthus Biotherapeutics (UK) Limited, Barinthus Biotherapeutics North America, Vaccitech Oncology Limited (“VOLT”), Barinthus Biotherapeutics Pty Limited, Barinthus Biotherapeutics Switzerland GmbH, are collectively referred to as the “Company” or “Barinthus Bio.” During the quarterly period ended September 30, 2025, the Company incorporated two new subsidiaries, Beacon Topco, Inc. (“Topco”) and Cdog Merger Sub, Inc. (“Merger Sub”), for the purpose of the transactions contemplated by the recently announced merger agreement with Clywedog Therapeutics, Inc. ("Clywedog"). These entities are not material to the Company's condensed consolidated financial position or results of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clinical-stage biopharmaceutical company focused on developing novel immunotherapeutic drug candidates for treating autoimmune and inflammatory diseases within the immunology and inflammation (“I&amp;I”) space enabled by the proprietary and highly differentiated platform for promoting immune tolerance, referred to as SNAP-TI. The Company's lead candidate, VTP-1000, is designed to restore immune non-responsiveness to gluten in patients with celiac disease and is currently being assessed in a Phase 1 clinical trial. The Company occupies laboratory and office space in Germantown, Maryland, United States.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in an environment of rapid technological change and substantial competition from pharmaceutical and biotechnology companies. The Company is subject to risks common to companies in the biopharmaceutical industry that are also in a similar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Merger Agreement with Clywedog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2025, the Company entered into an Agreement and Plan of Merger (the “Original Merger Agreement”) by and among the Company, Topco, Merger Sub and Clywedog, as amended by that certain Amendment to the Original Merger Agreement, dated as of February 22, 2026 (the “Merger Agreement Amendment,” together with the Original Merger Agreement, the “Merger Agreement”). The Merger Agreement provides that, among other things, upon the terms and subject to the conditions set forth therein: (i) Topco will acquire the entire issued and to be issued share capital of the Company pursuant to (1) a scheme of arrangement (subject to any modification, addition or condition which (a) the Company, Topco and Clywedog mutually agree and which (if required) is approved by the High Court of Justice of England and Wales (the “Court”) or (b) is otherwise imposed by the Court and mutually acceptable to the Company, Topco and Clywedog, each acting reasonably and in good faith, in each case in accordance with the Part 26 of the United Kingdom Companies Act 2006 (the “Scheme of Arrangement”), (2) a share purchase agreement pursuant to which the deferred A shares in the capital of the Company will be acquired by Topco subject to and upon effectiveness of the Scheme of Arrangement, and (3) the Merger Agreement (such transaction, together with the Scheme of Arrangement the “Scheme Transaction”), resulting in the Company becoming a direct wholly owned subsidiary of Topco, and (ii) Merger Sub will merge with and into Clywedog, with Clywedog continuing as the surviving corporation and a direct wholly owned subsidiary of Topco in accordance with the Delaware General Corporations Law (the “Merger” and, together with the Scheme Transaction, the “Combinations”, and, together with such other transactions contemplated by the Merger Agreement, the “Contemplated Transactions”). The Scheme Transaction will be consummated prior to the Merger.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effective time of the Scheme Transaction (the “Scheme Effective Time”), upon the terms and subject to the conditions set forth in the Merger Agreement, Topco will acquire each outstanding ordinary share of the Company, with a par value £0.000025 per ordinary share (each such acquired ordinary share, a “Scheme Share”), which, for the avoidance of doubt, will include ordinary shares held by The Bank of New York Mellon (the “Depositary”) (or to the extent that the Depositary is not itself the registered holder of such shares that underly the Company’s American Depositary Shares (the “ADSs”), each representing one (1) ordinary share, whichever nominee, custodian or other entity is the registered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Deposit Agreement, dated as of April 29, 2021, among the Company, the Depositary, and all holders from time to time of the ADSs, as may be amended from time to time), from the holders of Scheme Shares whose names appear in the register of members of the Company at the Scheme Effective Time) in accordance with the provisions of the Scheme of Arrangement, and each Scheme Share will be converted into the right to receive (i) between 0.1 and 0.166667, as finally determined by the Company’s board of directors (or a duly appointed committee thereof) in its sole discretion prior to the Scheme Effective Time, shares of common stock, $0.0001 par value per share, of Topco (the “Topco Common Stock”) rounded down to the nearest whole share, plus (ii) cash in lieu of any fraction of a real share, each subject to and strictly in accordance with the terms of the Scheme of Arrangement. Following the Scheme Effective Time, Topco may in its discretion elect to commence a self-tender offer (“Self-Tender Offer”) to purchase up to $27.0 million in shares of Topco Common Stock then issued and outstanding, which Self-Tender Offer, if elected, will be consummated prior to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effective time of the Merger (the “Merger Effective Time”), subject to adjustment in accordance with the terms of the Merger Agreement, each share of common stock, $0.0001 par value per share, of Clywedog (the “Clywedog Common Stock”) and each share of Series Seed Preferred Stock, $0.0001 par value per share, of Clywedog (the “Clywedog Preferred Stock”, and together with the Clywedog Common Stock, the “Clywedog Capital Stock”), other than Clywedog Capital Stock held as treasury stock or owned by Topco or Merger Sub immediately prior to the Merger Effective Time, will be converted solely into the right to receive (i) between 0.000305 and 0.000508, as finally determined by Clywedog and the Company, of shares of Topco Common Stock rounded down to the nearest whole share plus (ii) cash in lieu of any fraction of a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closing of the Contemplated Transactions is subject to the satisfaction or waiver of certain customary conditions, including, among other things: (i) the effectiveness of a registration statement (the “Registration Statement”) to register the shares of Topco Common Stock to be issued in connection with the Combinations; (ii) approvals by the Company’s shareholders of the Scheme Transaction and certain related matters, and sanction by the Court of the Scheme Transaction; (iii) approval by Clywedog’s stockholders of the Merger Agreement, the Merger and Contemplated Transactions; (iv) the approval for listing by the Nasdaq Stock Market of the shares of Topco Common Stock issuable in the Combinations, subject to official notice of issuance; (v) the completion of the Self-Tender Offer to the extent that Topco elects to commence the Self-Tender Offer; (vi) minimum cash requirements for each party.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may be terminated and the transactions contemplated thereby abandoned at any time prior to the closing under certain specified circumstances. Either the Company or Clywedog may terminate the Merger Agreement if, among other things: (i) the closing date will not have occurred by September 30, 2026, subject to up to a 60 day extension if the U.S. Securities and Exchange Commission (the “SEC”) has not declared effective the Registration Statement by July 31, 2026, (ii) a governmental authority of competent jurisdiction has issued a final, non-appealable order prohibiting the Contemplated Transactions, (iii) the required Company shareholder approval or Clywedog shareholder approval is not obtained in accordance with the Merger Agreement, (iv) the Scheme of Arrangement is not sanctioned by the Court, or (v) another party breaches or fails to perform in any material respect any of its covenants or any of the other party’s representations or warranties are inaccurate and such breach, failure to perform or inaccuracy would result in certain of the closing conditions not being satisfied, subject to a cure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conformity with accounting principles generally accepted in the United States of America (“GAAP”) and pursuant to the rules and regulations of the U.S. Securities and Exchange Commission (the "SEC")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subsidiaries. All intercompany accounts and transactions have been eliminated in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consolidated financial statements and related notes as of and for the year ended December 31, 2025.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balance sheet as of December 31, 2025, was derived from the audited financial statements but does not contain all of the footnote disclosures from the annual financial statements.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cash equivalents and restricted cash of $59.6 million and an accumulated deficit of $320.2 million, and the Company expects to incur losses for the foreseeable future as it continues to pursue its activities, including the commercialization of its research and development. The Company expects to continue to incur costs and expenditures in connection with the Contemplated Transactions. In connection with the Contemplated Transactions, the Company may pay up to $27.0 million to existing shareholders under a self tender offer. If the Contemplated Transactions are consummated, any additional funding will be sought by the combined company. However, as the transaction is not yet consummated, when performing the going concern assessment, management have assessed the Company on a standalone basis and expects that its cash, cash equivalents and restricted cash will be sufficient to fund current operations for at least the next 12 months from the issuance of these condensed consolidated financial statements. In the future the Company will need additional cash inflows to pursue its activities, including the commercialization of its research and development. There is no assurance that the Company will be successful in obtaining sufficient cash inflows on terms acceptable to the Company to fund continuing operations, if at all. The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Unaudited Condensed Consolidated Financial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Sheets as of June 30, 2026, and December 31, 2025, the Condensed Consolidated Statements of Operations and Comprehensive Loss, Condensed Consolidated Statements of Changes in Stockholders’ Equity and the Condensed Consolidated Statements of Cash Flows for the three and six months ended June 30, 2026 and 2025 are unaudited. These unaudited condensed consolidated financial statements have been prepared on the same basis as the audited annual consolidated financial statements contained in the Company’s Annual Report on Form 10-K for the year ended December 31, 2025, filed with the Securities Exchange Commission (the “Annual Report”) on March 13, 2026. In the Company's opinion, the unaudited condensed consolidated financial statements include all adjustments of a normal recurring nature necessary for the fair statement of its financial position as of June 30, 2026, its results of operations for the three and six months ended June 30, 2026, and 2025, and its cash flows for the six months ended June 30, 2026, and 2025. The results of operations for the three and six months ended June 30, 2026, are not necessarily indicative of the results to be expected for the year ending December 31, 2026, or any other interim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Company are set forth in Note 2 to the consolidated financial statements contained in the Annual Report, except as discussed below related to newly adopted accounting pronouncements.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income and expenses during the reporting period. The Company bases its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issuance of these unaudited condensed consolidated financial statements, the Company is not aware of any other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reviewed all recently issued standards and have determined that such standards do not or are not expected to have a material impact on its condensed consolidated financial statements or do not otherwise apply to its current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Accounting Standards Update Codification Improvements. The amendments in this update facilitates codification updates for a broad range of Topics arising from technical corrections, unintended application of the codification, clarifications, and other minor improvements. This standard is effective for fiscal years beginning after December 15, 2026, including interim periods within those fiscal years. The Company is currently evaluating the impact of adopting this standard to determine its impact on its disclosures.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amendments in this update clarify interim disclosure requirements and the applicability of Topic 270. This standard is effective for interim reporting periods within annual reporting periods beginning after December 15, 2027. The Company is currently evaluating the impact of adopting this standard to determine its impact on its disclosures.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2025, the FASB issued ASU 2025-01, Income Statement-Reporting Comprehensive Income-Expense Disaggregation Disclosures (Subtopic 220-40): Clarifying the Effective Date, in which the Board's intent in the basis of conclusion of Update 2024-03 is clear that all public business entities should initially adopt the disclosure requirements in the first annual reporting period beginning after December 15, 2026, and interim reporting periods within annual reporting periods beginning after December 15, 2027. The Company is currently evaluating the impact of adopting this standard to determine its impact on its disclosures.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which requires disaggregation of specific expense categories in the notes to the 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The Company is currently evaluating the impact of adopting this standard to determine its impact on its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Segment information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 maker (“CODM”), the Company’s Chief Executive Officer, in making decisions regarding resource allocation and assessing performance. The CODM approves key operating and strategic decisions, including key decisions in clinical development and clinical operating activities, entering into significant contracts and approves the Company's consolidated operating budget. The Company views its operations and manages its business as one operating segment, the research and development of immunotherapies and vaccines. The CODM uses loss before income tax to monitor budget versus actual results and decide how to use the Company's resources. As the Company operates in one operating segment, all required financial segment information can be found in these condensed consolidated financial statements. The following table is a summary of the Company's significant segment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33"/>
        <w:gridCol w:w="1170"/>
        <w:gridCol w:w="1176"/>
        <w:gridCol w:w="109"/>
        <w:gridCol w:w="109"/>
        <w:gridCol w:w="109"/>
        <w:gridCol w:w="109"/>
        <w:gridCol w:w="483"/>
        <w:gridCol w:w="1414"/>
        <w:gridCol w:w="249"/>
        <w:gridCol w:w="109"/>
        <w:gridCol w:w="109"/>
        <w:gridCol w:w="109"/>
        <w:gridCol w:w="483"/>
        <w:gridCol w:w="1414"/>
        <w:gridCol w:w="249"/>
        <w:gridCol w:w="109"/>
        <w:gridCol w:w="109"/>
        <w:gridCol w:w="109"/>
        <w:gridCol w:w="211"/>
        <w:gridCol w:w="674"/>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VTP-1000 Celiac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Barinthus legacy assets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4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24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70"/>
        <w:gridCol w:w="1216"/>
        <w:gridCol w:w="1222"/>
        <w:gridCol w:w="109"/>
        <w:gridCol w:w="109"/>
        <w:gridCol w:w="109"/>
        <w:gridCol w:w="109"/>
        <w:gridCol w:w="466"/>
        <w:gridCol w:w="1361"/>
        <w:gridCol w:w="241"/>
        <w:gridCol w:w="109"/>
        <w:gridCol w:w="109"/>
        <w:gridCol w:w="109"/>
        <w:gridCol w:w="424"/>
        <w:gridCol w:w="1451"/>
        <w:gridCol w:w="219"/>
        <w:gridCol w:w="109"/>
        <w:gridCol w:w="109"/>
        <w:gridCol w:w="109"/>
        <w:gridCol w:w="211"/>
        <w:gridCol w:w="676"/>
        <w:gridCol w:w="158"/>
      </w:tblGrid>
      <w:tr>
        <w:trPr/>
        <w:tc>
          <w:tcPr>
            <w:tcW w:w="147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VTP-1000 Celiac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Barinthus legacy assets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(1,858)</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16,243 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(8,727)</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VTP-600NSCLC, VTP-500 MERS and other and earlier stage programs.</w:t>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in two geographic regions: the U.S. and the U.K. The following table summarizes the Company’s long-lived assets, which include the Company’s intangible assets, property and equipment, net, and right-of-use assets, by geography:</w:t>
      </w:r>
    </w:p>
    <w:tbl>
      <w:tblPr>
        <w:tblW w:w="4481" w:type="dxa"/>
        <w:jc w:val="left"/>
        <w:tblInd w:w="0" w:type="dxa"/>
        <w:tblLayout w:type="fixed"/>
        <w:tblCellMar>
          <w:top w:w="28" w:type="dxa"/>
          <w:left w:w="28" w:type="dxa"/>
          <w:bottom w:w="28" w:type="dxa"/>
          <w:right w:w="28" w:type="dxa"/>
        </w:tblCellMar>
      </w:tblPr>
      <w:tblGrid>
        <w:gridCol w:w="539"/>
        <w:gridCol w:w="472"/>
        <w:gridCol w:w="474"/>
        <w:gridCol w:w="228"/>
        <w:gridCol w:w="779"/>
        <w:gridCol w:w="117"/>
        <w:gridCol w:w="109"/>
        <w:gridCol w:w="109"/>
        <w:gridCol w:w="109"/>
        <w:gridCol w:w="300"/>
        <w:gridCol w:w="1026"/>
        <w:gridCol w:w="219"/>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19,449 </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19,449 </w:t>
            </w:r>
          </w:p>
        </w:tc>
        <w:tc>
          <w:tcPr>
            <w:tcW w:w="21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Foreign Currency Translation in General and Administrative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aggregate, net foreign exchange gain or loss recognized in general and administrative expenses for the three and six months ended June 30, 2026 was a loss of $0.9 million and gain of $2.1 million, respectively (three and six months ended June 30, 2025: $8.0 million loss and $12.4 million loss,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Net Loss Per Share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for the three and six months ended June 30, 2026, and 2025 (in thousands, except number of shares):</w:t>
      </w:r>
    </w:p>
    <w:tbl>
      <w:tblPr>
        <w:tblW w:w="10205" w:type="dxa"/>
        <w:jc w:val="left"/>
        <w:tblInd w:w="0" w:type="dxa"/>
        <w:tblLayout w:type="fixed"/>
        <w:tblCellMar>
          <w:top w:w="28" w:type="dxa"/>
          <w:left w:w="28" w:type="dxa"/>
          <w:bottom w:w="28" w:type="dxa"/>
          <w:right w:w="28" w:type="dxa"/>
        </w:tblCellMar>
      </w:tblPr>
      <w:tblGrid>
        <w:gridCol w:w="1750"/>
        <w:gridCol w:w="1499"/>
        <w:gridCol w:w="1510"/>
        <w:gridCol w:w="211"/>
        <w:gridCol w:w="784"/>
        <w:gridCol w:w="109"/>
        <w:gridCol w:w="109"/>
        <w:gridCol w:w="109"/>
        <w:gridCol w:w="109"/>
        <w:gridCol w:w="211"/>
        <w:gridCol w:w="784"/>
        <w:gridCol w:w="109"/>
        <w:gridCol w:w="109"/>
        <w:gridCol w:w="109"/>
        <w:gridCol w:w="109"/>
        <w:gridCol w:w="211"/>
        <w:gridCol w:w="784"/>
        <w:gridCol w:w="109"/>
        <w:gridCol w:w="109"/>
        <w:gridCol w:w="109"/>
        <w:gridCol w:w="109"/>
        <w:gridCol w:w="211"/>
        <w:gridCol w:w="784"/>
        <w:gridCol w:w="158"/>
      </w:tblGrid>
      <w:tr>
        <w:trPr/>
        <w:tc>
          <w:tcPr>
            <w:tcW w:w="175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Numerator:</w:t>
            </w:r>
          </w:p>
        </w:tc>
        <w:tc>
          <w:tcPr>
            <w:tcW w:w="11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(16,133)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(40,784)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noncontrolling interest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Barinthus Biotherapeutics plc shareholders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(10,580)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(21,124)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(16,111)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(40,772)</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Denominator:</w:t>
            </w:r>
          </w:p>
        </w:tc>
        <w:tc>
          <w:tcPr>
            <w:tcW w:w="11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ordinary shares outstanding, basic</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40,848,893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40,343,521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40,848,893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40,304,584</w:t>
            </w:r>
          </w:p>
        </w:tc>
      </w:tr>
      <w:tr>
        <w:trPr/>
        <w:tc>
          <w:tcPr>
            <w:tcW w:w="475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ordinary shares outstanding, diluted</w:t>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40,343,521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40,848,893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40,304,584</w:t>
            </w:r>
          </w:p>
        </w:tc>
      </w:tr>
      <w:tr>
        <w:trPr/>
        <w:tc>
          <w:tcPr>
            <w:tcW w:w="4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attributable to ordinary shareholders, basic</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(0.26)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(0.52)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(0.39)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attributable to ordinary shareholders, 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(0.26)</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(0.52)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(0.39)</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the Company was in a loss position for all periods presented, basic net loss per share is the same as diluted net loss per share, as the inclusion of all potential ordinary share equivalents outstanding would have been anti-dilutive. As of June 30, 2026, 3,992,720 potential ordinary shares issuable for stock options were excluded from the computation of diluted weighted-average shares outstanding because including these shares would have had an anti-dilutive effect (June 30, 2025: 7,625,728).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and six months ended June 30, 2026 was $0.2 million and $0.4 million (three and six months ended June 30, 2025: $1.2 million and $2.5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had no additions to property and equipment (six months ended June 30, 2025: $0.04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$0.2 million sales of equipment during the three and six months ended June 30, 2026, the Company recorded a gain of $0.1 million and recorded associated proceeds of $0.1 million. During the three and six ended June 30, 2025, the Company recorded a gain of $0.3 million from the sale of U.K. laboratory equipment and recorded associated proceeds of $0.5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gross amount of amortizable intangible assets, consisting of acquired developed technology, was $31.6 million as of both June 30, 2026 and December 31, 2025, and accumulated amortization was $18.5 million and $17.3 million as of June 30, 2026 and December 31, 2025, respectively. The amortization expense for the three and six months ended June 30, 2026 was $0.6 million and $1.2 million, respectively (three and six months ended June 30, 2025: $0.8 million and $1.6 million, respectively). The estimated annual amortization expense is $2.5 million for the years 2026 through 2031.</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Prepaid Expenses and Other Current Assets (in thousands):</w:t>
      </w:r>
    </w:p>
    <w:tbl>
      <w:tblPr>
        <w:tblW w:w="4832" w:type="dxa"/>
        <w:jc w:val="left"/>
        <w:tblInd w:w="0" w:type="dxa"/>
        <w:tblLayout w:type="fixed"/>
        <w:tblCellMar>
          <w:top w:w="28" w:type="dxa"/>
          <w:left w:w="28" w:type="dxa"/>
          <w:bottom w:w="28" w:type="dxa"/>
          <w:right w:w="28" w:type="dxa"/>
        </w:tblCellMar>
      </w:tblPr>
      <w:tblGrid>
        <w:gridCol w:w="881"/>
        <w:gridCol w:w="773"/>
        <w:gridCol w:w="775"/>
        <w:gridCol w:w="211"/>
        <w:gridCol w:w="616"/>
        <w:gridCol w:w="109"/>
        <w:gridCol w:w="109"/>
        <w:gridCol w:w="109"/>
        <w:gridCol w:w="109"/>
        <w:gridCol w:w="245"/>
        <w:gridCol w:w="716"/>
        <w:gridCol w:w="179"/>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Accrued Expenses and Other Current Liabilities (in thousands):</w:t>
      </w:r>
    </w:p>
    <w:tbl>
      <w:tblPr>
        <w:tblW w:w="6212" w:type="dxa"/>
        <w:jc w:val="left"/>
        <w:tblInd w:w="0" w:type="dxa"/>
        <w:tblLayout w:type="fixed"/>
        <w:tblCellMar>
          <w:top w:w="28" w:type="dxa"/>
          <w:left w:w="28" w:type="dxa"/>
          <w:bottom w:w="28" w:type="dxa"/>
          <w:right w:w="28" w:type="dxa"/>
        </w:tblCellMar>
      </w:tblPr>
      <w:tblGrid>
        <w:gridCol w:w="1380"/>
        <w:gridCol w:w="1213"/>
        <w:gridCol w:w="1216"/>
        <w:gridCol w:w="211"/>
        <w:gridCol w:w="616"/>
        <w:gridCol w:w="109"/>
        <w:gridCol w:w="109"/>
        <w:gridCol w:w="109"/>
        <w:gridCol w:w="109"/>
        <w:gridCol w:w="245"/>
        <w:gridCol w:w="716"/>
        <w:gridCol w:w="179"/>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manufacturing and clinical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Accrued grant repayment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7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10. Grant Income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Coalition for Epidemic Preparedness Innovations (“CEPI”) Funding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20, 2023, Barinthus Biotherapeutics (UK) Limited, the Chancellors, Masters and Scholars of the University of Oxford (“Oxford,” together with Barinthus Biotherapeutics (UK) Limited, the “Partners”) and the Coalition for Epidemic Preparedness Innovations (“CEPI”) entered into a Funding Agreement (the “Funding Agreement”) pursuant to which CEPI will provide funding of up to $34.8 million to the Company to advance the development of VTP-500, the Company’s vaccine candidate against Middle East Respiratory Syndrome (“MERS,” and such development activities, the “Project”). In December 2023, VTP-500 received PRIME (PRIority MEdicines) designation by the European Medicines Agency. There have been no changes to the terms or conditions of the grant since the previous reporting period.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announced its strategic focus on developing a pipeline in I&amp;I, and the deprioritization of its programs in infectious disease and oncology. The Company intends to exit the Funding Agreement as part of aligning resources in accordance with the Company's strategy.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The Funding Agreement cash payments are restricted as to the use and management of the funds. During the first quarter of 2026, a repayment of $1.0 million was requested, resulting in a reduction of the remaining unused Funding Agreement cash payments. The Company repaid that amount during the second quarter of 2026. The unused amounts total $0.3 million as of June 30, 2026 (December 31, 2025: $1.4 million) and continue to be reflected in deferred income in the condensed consolidated balance sheets until expenditures contemplated in the Funding Agreement are incurred. Restricted cash as of June 30, 2026 is $0.3 million (December 31, 2025: $1.4 million), as the related cash had not been repaid as of period end.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Deferred income</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relates to payments received from CEPI in advance of the eligible research and development expenses being incurred and are disclosed as deferred income separately in the condensed consolidated balance sheets. Deferred income is released to the condensed consolidated statements of operations and comprehensive loss in the period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such research and development activities are actually performed in a manner that satisfies the conditions of the Funding Agreement.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deferred income during the three and six months ended June 30, 2026 and 2025, are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68"/>
        <w:gridCol w:w="1725"/>
        <w:gridCol w:w="1734"/>
        <w:gridCol w:w="226"/>
        <w:gridCol w:w="502"/>
        <w:gridCol w:w="117"/>
        <w:gridCol w:w="117"/>
        <w:gridCol w:w="117"/>
        <w:gridCol w:w="117"/>
        <w:gridCol w:w="226"/>
        <w:gridCol w:w="663"/>
        <w:gridCol w:w="117"/>
        <w:gridCol w:w="109"/>
        <w:gridCol w:w="109"/>
        <w:gridCol w:w="109"/>
        <w:gridCol w:w="211"/>
        <w:gridCol w:w="616"/>
        <w:gridCol w:w="109"/>
        <w:gridCol w:w="109"/>
        <w:gridCol w:w="109"/>
        <w:gridCol w:w="109"/>
        <w:gridCol w:w="211"/>
        <w:gridCol w:w="616"/>
        <w:gridCol w:w="159"/>
      </w:tblGrid>
      <w:tr>
        <w:trPr/>
        <w:tc>
          <w:tcPr>
            <w:tcW w:w="196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recognized related to the Funding Agreement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Ordinary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ordinary shares rank pari passu as a single class. The following is a summary of the rights and privileges of the holders of ordinary shares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Dividends: The Company may, subject to the provisions of the Companies Act 2006 and its Articles, by ordinary resolution from time to time declare dividends to be paid to shareholders not exceeding the amount recommended by the Company’s board of directors. Subject to the provisions of the Companies Act 2006, insofar as, in the board of directors’ opinions, the Company’s profits justify such payments, the board of directors (the "Board") may pay interim dividends on the Company’s ordinary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Voting Rights: Each holder of ordinary shares has the right to receive notice of, and to vote at, the Company’s general meetings. Each holder of ordinary shares who is present (in person or by proxy) at a general meeting on a show of hands has one vote and, on a poll, every such holder who is present (in person or by proxy) has one vote in respect of each share of which they are the holder.</w:t>
      </w:r>
    </w:p>
    <w:p>
      <w:pPr>
        <w:pStyle w:val="TextBody"/>
        <w:bidi w:val="0"/>
        <w:spacing w:lineRule="auto" w:line="288" w:before="240" w:after="283"/>
        <w:jc w:val="both"/>
        <w:rPr/>
      </w:pPr>
      <w:r>
        <w:rPr>
          <w:rFonts w:ascii="Times New Roman;serif" w:hAnsi="Times New Roman;serif"/>
          <w:b w:val="false"/>
          <w:color w:val="000000"/>
          <w:sz w:val="20"/>
        </w:rPr>
        <w:t>Preemption rights: Pursuant to section 561 of the Companies Act 2006, shareholders are granted preemptive rights when new shares are issued for cash. However, it is possible under the Articles, for shareholders at a general meeting representing at least 75% of the Company's ordinary shares present (in person or by proxy) and eligible to vote at that general meeting, to disapply these preemptive rights by passing a special resolution. Such a disapplication of preemption rights may be for a maximum period of up to five years from the date on which the shareholder resolution was passed. In either case, this disapplication would need to be renewed by the Company's shareholders upon its expiration (</w:t>
      </w:r>
      <w:r>
        <w:rPr>
          <w:rFonts w:ascii="Times New Roman;serif" w:hAnsi="Times New Roman;serif"/>
          <w:b w:val="false"/>
          <w:i/>
          <w:color w:val="000000"/>
          <w:sz w:val="20"/>
        </w:rPr>
        <w:t>i.e.</w:t>
      </w:r>
      <w:r>
        <w:rPr>
          <w:rFonts w:ascii="Times New Roman;serif" w:hAnsi="Times New Roman;serif"/>
          <w:b w:val="false"/>
          <w:color w:val="000000"/>
          <w:sz w:val="20"/>
        </w:rPr>
        <w:t>, at least every five years) to remain effective.</w:t>
      </w:r>
    </w:p>
    <w:p>
      <w:pPr>
        <w:pStyle w:val="TextBody"/>
        <w:bidi w:val="0"/>
        <w:spacing w:lineRule="auto" w:line="288" w:before="240" w:after="283"/>
        <w:jc w:val="both"/>
        <w:rPr/>
      </w:pPr>
      <w:r>
        <w:rPr>
          <w:rFonts w:ascii="Times New Roman;serif" w:hAnsi="Times New Roman;serif"/>
          <w:b w:val="false"/>
          <w:color w:val="000000"/>
          <w:sz w:val="20"/>
        </w:rPr>
        <w:t>On April 21, 2021, the Company's shareholders approved the disapplication of preemptive rights for a period of five years from the date of approval by way of a special resolution of shareholders. This included the disapplication of preemption rights in relation to the allotment of the Company's ordinary shares in connection with the initial public offering ("IPO"). This disapplication will need to be renewed upon expiration (</w:t>
      </w:r>
      <w:r>
        <w:rPr>
          <w:rFonts w:ascii="Times New Roman;serif" w:hAnsi="Times New Roman;serif"/>
          <w:b w:val="false"/>
          <w:i/>
          <w:color w:val="000000"/>
          <w:sz w:val="20"/>
        </w:rPr>
        <w:t>i.e.</w:t>
      </w:r>
      <w:r>
        <w:rPr>
          <w:rFonts w:ascii="Times New Roman;serif" w:hAnsi="Times New Roman;serif"/>
          <w:b w:val="false"/>
          <w:color w:val="000000"/>
          <w:sz w:val="20"/>
        </w:rPr>
        <w:t>, at least every five years) to remain effective, but may be sought more frequently for additional five-year terms (or any shorter period).</w:t>
      </w:r>
    </w:p>
    <w:p>
      <w:pPr>
        <w:pStyle w:val="TextBody"/>
        <w:bidi w:val="0"/>
        <w:spacing w:lineRule="auto" w:line="288" w:before="240" w:after="283"/>
        <w:jc w:val="both"/>
        <w:rPr/>
      </w:pPr>
      <w:r>
        <w:rPr>
          <w:rFonts w:ascii="Times New Roman;serif" w:hAnsi="Times New Roman;serif"/>
          <w:b w:val="false"/>
          <w:color w:val="000000"/>
          <w:sz w:val="20"/>
        </w:rPr>
        <w:t>On November 6, 2023, the Company held a general meeting where its shareholders approved resolutions granting the Board or any duly authorized committee of the Board the authority to allot shares in the Company or grant rights to subscribe for or to convert any security into shares in the Company free from pre-emption rights. Pursuant to such approval, the Board was authorized to allot shares up to an aggregate nominal amount of £1,928 free from statutory pre-emption rights. The granting of this authority and the corresponding disapplication of preemptive rights was in addition to all subsisting authorities. This disapplication will need to be renewed upon expiration (</w:t>
      </w:r>
      <w:r>
        <w:rPr>
          <w:rFonts w:ascii="Times New Roman;serif" w:hAnsi="Times New Roman;serif"/>
          <w:b w:val="false"/>
          <w:i/>
          <w:color w:val="000000"/>
          <w:sz w:val="20"/>
        </w:rPr>
        <w:t>i.e.</w:t>
      </w:r>
      <w:r>
        <w:rPr>
          <w:rFonts w:ascii="Times New Roman;serif" w:hAnsi="Times New Roman;serif"/>
          <w:b w:val="false"/>
          <w:color w:val="000000"/>
          <w:sz w:val="20"/>
        </w:rPr>
        <w:t>, at least every five years) to remain effective, but may be sought more frequently for additional five-year terms (or any shorter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Deferred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deferred shares rank pari passu as a single class. The deferred shares do not have rights to dividends or to any other right of participation in the profits of the Company. On a return of assets on liquidation, the deferred shares shall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in respect of each ordinary share held by them respectively. The deferred shares shall confer on the holders thereof no further right to participate in the assets of the Company. The Company’s deferred A shares with a nominal value of £1.00 each remain in issue for the purposes of satisfying the minimum share capital requirements for a public limited company as prescribed by the Companies Act 2006.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13</w:t>
      </w:r>
      <w:r>
        <w:rPr>
          <w:rFonts w:ascii="Times New Roman;serif" w:hAnsi="Times New Roman;serif"/>
          <w:b w:val="false"/>
          <w:color w:val="000000"/>
          <w:sz w:val="20"/>
        </w:rPr>
        <w:t>.</w:t>
      </w:r>
      <w:r>
        <w:rPr>
          <w:color w:val="000000"/>
        </w:rPr>
        <w:t> </w:t>
      </w:r>
      <w:r>
        <w:rPr>
          <w:rFonts w:ascii="Times New Roman;serif" w:hAnsi="Times New Roman;serif"/>
          <w:b/>
          <w:color w:val="000000"/>
          <w:sz w:val="20"/>
        </w:rPr>
        <w:t>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consist of cash, cash equivalents and restricted cash, accounts payable, certain accrued expenses, and contingent consideration. The carrying amounts of cash, cash equivalents and restricted cash, accounts payable and accrued expenses approximated their respective fair value due to the short-term nature and maturity of these instruments.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 contingent consideration liability of $3.1 million related to the acquisition of Avidea. Avidea’s stockholders may be entitled to receive an aggregate of up to $40.0 million in additional payments, payable in a combination of cash and ADSs, upon the achievement of certain milestones. To date, the Company has made settlement payments of $0.5 million. The fair value of the contingent consideration is a Level 3 valuation and determined using the cost approach. The significant unobservable inputs used in the fair value measurement of the contingent consideration are the probability of success of achievement of the milestones and the expected date of the milestone achievement. Significant judgment is employed in determining the appropriateness of certain of these inputs. Significant increases (decreases) in the probability of success of achievement of the milestones would have resulted in a significantly higher (lower) fair value measurement. Significant extension (reduction) in the expected date of the milestone achievement would have resulted in a significantly lower (higher)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the Company's financial instruments carried at fair value and classified within Level 3 of the fair value hierarchy (in thousands):</w:t>
      </w:r>
    </w:p>
    <w:tbl>
      <w:tblPr>
        <w:tblW w:w="10205" w:type="dxa"/>
        <w:jc w:val="left"/>
        <w:tblInd w:w="0" w:type="dxa"/>
        <w:tblLayout w:type="fixed"/>
        <w:tblCellMar>
          <w:top w:w="28" w:type="dxa"/>
          <w:left w:w="28" w:type="dxa"/>
          <w:bottom w:w="28" w:type="dxa"/>
          <w:right w:w="28" w:type="dxa"/>
        </w:tblCellMar>
      </w:tblPr>
      <w:tblGrid>
        <w:gridCol w:w="1979"/>
        <w:gridCol w:w="1713"/>
        <w:gridCol w:w="1722"/>
        <w:gridCol w:w="212"/>
        <w:gridCol w:w="621"/>
        <w:gridCol w:w="109"/>
        <w:gridCol w:w="109"/>
        <w:gridCol w:w="109"/>
        <w:gridCol w:w="109"/>
        <w:gridCol w:w="212"/>
        <w:gridCol w:w="621"/>
        <w:gridCol w:w="109"/>
        <w:gridCol w:w="109"/>
        <w:gridCol w:w="109"/>
        <w:gridCol w:w="109"/>
        <w:gridCol w:w="211"/>
        <w:gridCol w:w="616"/>
        <w:gridCol w:w="109"/>
        <w:gridCol w:w="109"/>
        <w:gridCol w:w="109"/>
        <w:gridCol w:w="109"/>
        <w:gridCol w:w="211"/>
        <w:gridCol w:w="616"/>
        <w:gridCol w:w="163"/>
      </w:tblGrid>
      <w:tr>
        <w:trPr/>
        <w:tc>
          <w:tcPr>
            <w:tcW w:w="197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net loss</w:t>
            </w:r>
          </w:p>
        </w:tc>
        <w:tc>
          <w:tcPr>
            <w:tcW w:w="83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recognized in other comprehensive loss</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6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Share-Based Compensation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granted 8,779 options to employees and directors under the Barinthus Biotherapeutics plc Award Plan 2021 (the “Plan”) with a weighted average grant date fair value of $0.60 per share and a weighted average exercise price of $0.73 per share (June 30, 2025: granted 1,470,812 options, weighted average grant date fair value of $0.85 per share and a weighted average exercise price of $1.00 per share). For the six months ended June 30, 2026, 1,993,860 options (June 30, 2025: 1,016,357) were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issued to employees was estimated at the date of grant using the Black-Scholes model with the following weighted-average assumptions:</w:t>
      </w:r>
    </w:p>
    <w:tbl>
      <w:tblPr>
        <w:tblW w:w="5081" w:type="dxa"/>
        <w:jc w:val="left"/>
        <w:tblInd w:w="0" w:type="dxa"/>
        <w:tblLayout w:type="fixed"/>
        <w:tblCellMar>
          <w:top w:w="28" w:type="dxa"/>
          <w:left w:w="28" w:type="dxa"/>
          <w:bottom w:w="28" w:type="dxa"/>
          <w:right w:w="28" w:type="dxa"/>
        </w:tblCellMar>
      </w:tblPr>
      <w:tblGrid>
        <w:gridCol w:w="772"/>
        <w:gridCol w:w="677"/>
        <w:gridCol w:w="681"/>
        <w:gridCol w:w="308"/>
        <w:gridCol w:w="308"/>
        <w:gridCol w:w="420"/>
        <w:gridCol w:w="169"/>
        <w:gridCol w:w="169"/>
        <w:gridCol w:w="169"/>
        <w:gridCol w:w="308"/>
        <w:gridCol w:w="308"/>
        <w:gridCol w:w="420"/>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4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4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3,992,720 options with a weighted average exercise price of $5.49 per share were outstanding (June 30, 2025: 7,625,728 options with a weighted average exercise price of $5.30 per share were outstanding). As of June 30, 2026, there was $0.3 million unrecognized compensation cost related to stock options, which is expected to be recognized over a weighted average period of 1.3 years. </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restricted stock units ('RSUs") under the Plan as of June 30, 2026:</w:t>
      </w:r>
    </w:p>
    <w:tbl>
      <w:tblPr>
        <w:tblW w:w="9126" w:type="dxa"/>
        <w:jc w:val="left"/>
        <w:tblInd w:w="0" w:type="dxa"/>
        <w:tblLayout w:type="fixed"/>
        <w:tblCellMar>
          <w:top w:w="28" w:type="dxa"/>
          <w:left w:w="28" w:type="dxa"/>
          <w:bottom w:w="28" w:type="dxa"/>
          <w:right w:w="28" w:type="dxa"/>
        </w:tblCellMar>
      </w:tblPr>
      <w:tblGrid>
        <w:gridCol w:w="1738"/>
        <w:gridCol w:w="1525"/>
        <w:gridCol w:w="1536"/>
        <w:gridCol w:w="539"/>
        <w:gridCol w:w="539"/>
        <w:gridCol w:w="541"/>
        <w:gridCol w:w="109"/>
        <w:gridCol w:w="109"/>
        <w:gridCol w:w="109"/>
        <w:gridCol w:w="509"/>
        <w:gridCol w:w="1235"/>
        <w:gridCol w:w="265"/>
        <w:gridCol w:w="109"/>
        <w:gridCol w:w="109"/>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br/>
              <w:t>Underlying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January 1, 2026</w:t>
            </w:r>
          </w:p>
        </w:tc>
        <w:tc>
          <w:tcPr>
            <w:tcW w:w="107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864,724 </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6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deferred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outstanding, June 30, 2026</w:t>
            </w:r>
          </w:p>
        </w:tc>
        <w:tc>
          <w:tcPr>
            <w:tcW w:w="16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but subject to deferred settlement at June 30, 2026</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6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granted an aggregate of 886,018 restricted stock units (“RSUs”) to employees under the Plan. The RSUs will vest in full on the seventh day following the occurrence of either the closing of the Contemplated Transactions or the termination of the Merger Agreement pursuant to its terms, subject to the employee’s continued employment with the Company through such vesting date, and were granted as part of the Company’s equity incentive program with a grant date fair value of $1.3 million.</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share-based compensation expense for RSUs for the three and six months ended June 30, 2026 was $0.3 million and $0.7 million, respectively (three and six months ended June 30, 2025: nil). As of June 30, 2026, the total unrecognized compensation expense related to RSUs was nil. </w:t>
      </w:r>
    </w:p>
    <w:p>
      <w:pPr>
        <w:pStyle w:val="TextBody"/>
        <w:bidi w:val="0"/>
        <w:spacing w:before="240" w:after="283"/>
        <w:jc w:val="both"/>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Share based compensation expense is classified in the unaudited condensed consolidated statements of operations and comprehensive loss as follows (in thousands):</w:t>
      </w:r>
    </w:p>
    <w:tbl>
      <w:tblPr>
        <w:tblW w:w="6920" w:type="dxa"/>
        <w:jc w:val="left"/>
        <w:tblInd w:w="0" w:type="dxa"/>
        <w:tblLayout w:type="fixed"/>
        <w:tblCellMar>
          <w:top w:w="28" w:type="dxa"/>
          <w:left w:w="28" w:type="dxa"/>
          <w:bottom w:w="28" w:type="dxa"/>
          <w:right w:w="28" w:type="dxa"/>
        </w:tblCellMar>
      </w:tblPr>
      <w:tblGrid>
        <w:gridCol w:w="837"/>
        <w:gridCol w:w="734"/>
        <w:gridCol w:w="738"/>
        <w:gridCol w:w="237"/>
        <w:gridCol w:w="524"/>
        <w:gridCol w:w="122"/>
        <w:gridCol w:w="122"/>
        <w:gridCol w:w="122"/>
        <w:gridCol w:w="122"/>
        <w:gridCol w:w="237"/>
        <w:gridCol w:w="608"/>
        <w:gridCol w:w="122"/>
        <w:gridCol w:w="109"/>
        <w:gridCol w:w="109"/>
        <w:gridCol w:w="109"/>
        <w:gridCol w:w="224"/>
        <w:gridCol w:w="496"/>
        <w:gridCol w:w="116"/>
        <w:gridCol w:w="116"/>
        <w:gridCol w:w="116"/>
        <w:gridCol w:w="116"/>
        <w:gridCol w:w="224"/>
        <w:gridCol w:w="496"/>
        <w:gridCol w:w="16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In-License Agreements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 number of licensing agreements.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tolerance induction and celiac disease.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or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or accrued any material payments under these license agreements during the six month periods ended June 30, 2026 and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certain laboratory and office space under operating leases, which are described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Harwell Science and Innovation Campus, Oxfordshire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3, 2021, the Company entered into a lease agreement for the lease of approximately 31,000 square feet in Harwell, Oxfordshire which expires in September 2031.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an impairment charge to write down the U.K. operating lease right-of-use asset to the estimated recoverable amount was recorded and the estimated useful life of the asset reduced. In August 2025, the Company ceased the research and development activities undertaken in the laboratory and transitioned the remaining clinical and operational workforce to remote roles. The U.K. operating lease right-of-use asset has a value of nil as of June 30, 2026. The Company is actively marketing the building in Harwell, Oxfordshire, for the remainder of the lease.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Germantown, Maryland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14, 2022, the Company entered into a lease agreement for the lease of approximately 19,700 square feet in Germantown, Maryland. The site houses the Company’s state-of-the-art wet laboratory in the United States of America.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right-of-use asset and a lease liability on the effective date of the lease term. The Company’s right-of-use asset and lease liability are as follows (in thousands):</w:t>
      </w:r>
    </w:p>
    <w:tbl>
      <w:tblPr>
        <w:tblW w:w="4728" w:type="dxa"/>
        <w:jc w:val="left"/>
        <w:tblInd w:w="0" w:type="dxa"/>
        <w:tblLayout w:type="fixed"/>
        <w:tblCellMar>
          <w:top w:w="28" w:type="dxa"/>
          <w:left w:w="28" w:type="dxa"/>
          <w:bottom w:w="28" w:type="dxa"/>
          <w:right w:w="28" w:type="dxa"/>
        </w:tblCellMar>
      </w:tblPr>
      <w:tblGrid>
        <w:gridCol w:w="842"/>
        <w:gridCol w:w="739"/>
        <w:gridCol w:w="744"/>
        <w:gridCol w:w="211"/>
        <w:gridCol w:w="616"/>
        <w:gridCol w:w="109"/>
        <w:gridCol w:w="109"/>
        <w:gridCol w:w="109"/>
        <w:gridCol w:w="109"/>
        <w:gridCol w:w="245"/>
        <w:gridCol w:w="716"/>
        <w:gridCol w:w="17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current</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137" w:type="dxa"/>
        <w:jc w:val="left"/>
        <w:tblInd w:w="0" w:type="dxa"/>
        <w:tblLayout w:type="fixed"/>
        <w:tblCellMar>
          <w:top w:w="28" w:type="dxa"/>
          <w:left w:w="28" w:type="dxa"/>
          <w:bottom w:w="28" w:type="dxa"/>
          <w:right w:w="28" w:type="dxa"/>
        </w:tblCellMar>
      </w:tblPr>
      <w:tblGrid>
        <w:gridCol w:w="1412"/>
        <w:gridCol w:w="1240"/>
        <w:gridCol w:w="1247"/>
        <w:gridCol w:w="283"/>
        <w:gridCol w:w="163"/>
        <w:gridCol w:w="408"/>
        <w:gridCol w:w="146"/>
        <w:gridCol w:w="146"/>
        <w:gridCol w:w="146"/>
        <w:gridCol w:w="283"/>
        <w:gridCol w:w="146"/>
        <w:gridCol w:w="363"/>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8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0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6321" w:type="dxa"/>
        <w:jc w:val="left"/>
        <w:tblInd w:w="0" w:type="dxa"/>
        <w:tblLayout w:type="fixed"/>
        <w:tblCellMar>
          <w:top w:w="28" w:type="dxa"/>
          <w:left w:w="28" w:type="dxa"/>
          <w:bottom w:w="28" w:type="dxa"/>
          <w:right w:w="28" w:type="dxa"/>
        </w:tblCellMar>
      </w:tblPr>
      <w:tblGrid>
        <w:gridCol w:w="527"/>
        <w:gridCol w:w="462"/>
        <w:gridCol w:w="465"/>
        <w:gridCol w:w="395"/>
        <w:gridCol w:w="210"/>
        <w:gridCol w:w="211"/>
        <w:gridCol w:w="204"/>
        <w:gridCol w:w="204"/>
        <w:gridCol w:w="204"/>
        <w:gridCol w:w="395"/>
        <w:gridCol w:w="210"/>
        <w:gridCol w:w="211"/>
        <w:gridCol w:w="109"/>
        <w:gridCol w:w="109"/>
        <w:gridCol w:w="109"/>
        <w:gridCol w:w="355"/>
        <w:gridCol w:w="210"/>
        <w:gridCol w:w="211"/>
        <w:gridCol w:w="183"/>
        <w:gridCol w:w="183"/>
        <w:gridCol w:w="183"/>
        <w:gridCol w:w="355"/>
        <w:gridCol w:w="255"/>
        <w:gridCol w:w="361"/>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8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9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Future annual minimum lease payments under operating leases as of June 30, 2026, were as follows (in thousands):</w:t>
      </w:r>
    </w:p>
    <w:tbl>
      <w:tblPr>
        <w:tblW w:w="3741" w:type="dxa"/>
        <w:jc w:val="center"/>
        <w:tblInd w:w="0" w:type="dxa"/>
        <w:tblLayout w:type="fixed"/>
        <w:tblCellMar>
          <w:top w:w="28" w:type="dxa"/>
          <w:left w:w="28" w:type="dxa"/>
          <w:bottom w:w="28" w:type="dxa"/>
          <w:right w:w="28" w:type="dxa"/>
        </w:tblCellMar>
      </w:tblPr>
      <w:tblGrid>
        <w:gridCol w:w="961"/>
        <w:gridCol w:w="844"/>
        <w:gridCol w:w="850"/>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Contemplated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29, 2025, the Company entered into a merger agreement to combine with Clywedog, a private company advancing novel breakthrough medicines in diabetes. The Contemplated Transactions are expected to close in the second half of 2026, subject to customary closing conditions. In connection with this strategic combination, the Company may incur additional or contingent costs, including transaction-related legal and advisory fees, and other expenses. The Company recorded and expensed transaction related legal and advisory fees in the amount of $1.5 million and $2.4 million for the three and six months ended June 30, 2026, respectively (three and six months ended June 30, 2025: nil). Regardless of the outcome, there are anticipated additional costs and a focus of management resources on the strategic transaction which may or may not complete.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 Company does not believe it is party to any claim or litigation the outcome of which, if determined adversely to it, would individually or in the aggregate be reasonably expected to have a material adverse effect on the Company's business. However, 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BARINTHUS BIOTHERAPEUTICS PLC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incurred expenses, related to clinical study costs, of $0.1 million and $0.2 million, respectively (three and six months ended June 30, 2025: $0.1 million and $0.3 million, respectively) from Oxford University Innovation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2025, included in our Annual Report on Form 10-K for the year ended December 31, 2025, which was filed with the SEC on March 13, 2026.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prioritizing the development of a pipeline for I&amp;I indications enabled by our proprietary and highly differentiated platform for promoting immune tolerance, referred to as SNAP-TI, that are designed to guide patient's T cells to reduce inflammation and restore the natural state of immune non-responsiveness to healthy tissue. Our lead candidate, VTP-1000, is designed to restore immune non-responsiveness to gluten in patients with celiac disease, and is currently being assessed in a Phase 1 clinical trial. Based on encouraging preclinical data, we believe that the SNAP-TI platform has the potential to impact multiple other I&amp;I indications.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exploring partnership opportunities for VTP-300, a product candidate to treat Chronic Hepatitis B ("CHB") that harnesses viral vector platform technologies, consisting of ChAdOx and MVA; which are designed to increase disease-specific CD8+ T cells. VTP-300 is a Phase 2 immunotherapeutic treatment modality that is a component of a treatment regimen to establish functional cure in patients who are chronically infected by the hepatitis B virus.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our core capabilities at the intersection of T cell immunology and immunotherapeutic technology platforms combined with our track record of successfully executing development path activities uniquely position us to navigate towards delivering promising new treatments for patients with autoimmune and inflammatory diseases and building value for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we entered into the Merger Agreement to combine in an all-stock transaction with Clywedog, which we amended in February 2026 to update the exchange ratio framework to provide additional flexibility in finalizing the transaction terms and to revise certain minimum cash requirements to reflect the anticipated timing of the transaction, with all other material terms remaining unchanged. The newly combined company will advance a differentiated portfolio of clinical-stage candidates targeting metabolic and autoimmune diseases, with multiple clinical data milestones expected within 18 months of the closing of the transaction. Upon the closing of the transaction, the combined company will be renamed “Clywedog Therapeutics Holdings, Inc.” and is expected to trade on the Nasdaq under the new ticker symbol “CLYD.” The transaction is expected to close in the second half of 2026, supported by existing cash and additional investments by OrbiMed and TPAV, LLC, both existing shareholders in Clywedog, and new investors.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in each annual and interim reporting period since 2023. For the three and six months ended June 30, 2026, we incurred a net loss of $10.6 million and $16.1 million, respectively. As of June 30, 2026, we had an accumulated deficit of $320.2 million, and we do not currently expect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as and when appropriate.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 completion of preclinical studies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sufficiency of our financial and other resources to complete the necessary preclinical studies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acceptance of investigational new drug applications (“INDs”) for our planned clinical trials or future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 and timely enrollment and completion of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data from our clinical program supporting approvable and commercially acceptable risk/benefit profiles for our product candidates in the intended populations;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receipt and maintenance of necessary regulatory and marketing approvals from applicable regulatory authorities, in the light of the commercial environment then existent;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and successful procurement of raw materials required to manufacture our products for clinical trials, scale-up of our manufacturing processes and formulation of our product candidates for later stages of development and commercial production;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establishing either our own manufacturing capabilities or satisfactory agreements with third-party manufacturers for clinical supply for later stages of development and commercial manufacturing;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entry into collaborations or partnerships, where appropriate, to further the development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and maintaining intellectual property and trade secret protection or regulatory exclusivity for our product candidates as well as qualifying for, maintaining, enforcing and defending such intellectual property rights and claims;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launching or assisting with the launch of commercial sales of our product candidates following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acceptance of each product’s benefits and uses by patients, the medical community and third-party payors following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prevalence and severity of any adverse events experienced with our product candidates in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establishing and maintaining a continued acceptable safety profile of the product candidates following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and maintaining healthcare coverage and adequate reimbursement from third-party payors if necessary or desirable;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effectively competing with other therapies.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if approved, we expect to finance our future cash needs through public or private equity offerings, debt financings, collaborations, licensing arrangements or other sources, or any combination of the foregoing. Based on our current standalone research and development plans, we expect that our existing cash, cash equivalents, restricted cash and other financial resources will enable us to fund our operating expenses and capital expenditure requirements for at least the next 12 months. These estimates are based on assumptions that may prove to be wrong, and we could use our available capital resources more quickly than we expect.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Phase 1 AVALON clinical trial</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third quarter of 2026, we completed enrollment in all cohorts in the multiple ascending dose portion of the Phase 1 AVALON clinical trial.</w:t>
      </w:r>
    </w:p>
    <w:p>
      <w:pPr>
        <w:pStyle w:val="TextBody"/>
        <w:bidi w:val="0"/>
        <w:spacing w:before="0" w:after="60"/>
        <w:jc w:val="both"/>
        <w:rPr/>
      </w:pPr>
      <w:r>
        <w:rPr/>
      </w:r>
    </w:p>
    <w:p>
      <w:pPr>
        <w:pStyle w:val="TextBody"/>
        <w:bidi w:val="0"/>
        <w:spacing w:lineRule="auto" w:line="276"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Nasdaq Listing Rule Compliance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we received a notice (the “Extension Notice”) from the Nasdaq Stock Market (“Nasdaq”) informing us that Nasdaq had granted us an additional 180 calendar days, or until December 28, 2026, to regain compliance with the Bid Price Requirement for continued listing on the Nasdaq Capital Market under Nasdaq Listing Rule 5550(a)(2). In connection with the Extension Notice, the listing of the ADSs was transferred from the Nasdaq Global Market to the Nasdaq Capital Market, effective as of July 2, 2026. The Extension Notice has no other immediate effect on the listing of the ADSs.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International Conflicts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respect of the international conflicts in Gaza, Ukraine and Iran, we have no operations or suppliers based in Israel, Gaza, Ukraine, Belarus, Russia, or Iran, and as a result, as of the date of this Quarterly Report on Form 10-Q, we believe the impact on our business, operations and financial condition will be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Global Economic Conditions and Inflationary Pressures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Instability in global economic conditions and geopolitical matters, as well as volatility in financial markets, could have a material adverse effect on our results of operations and financial condition. Inflationary pressures, volatile interest rates, or intensified disruptions in the global financial markets could adversely affect our future financing capability or ability to access the capital markets. Additionally, we may incur future increases in operating costs due to additional inflationary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operating expenses since inception have consisted of research and development costs and general and administrative costs.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significant resources on our research and development activities, including establishing and building on our adenovirus platform, further enhancing our in-licensed ChAdOx1, ChAdOx2 and MVA vectors, developing a next-generation adenoviral vector, acquiring new technology platforms including SNAP-TI, conducting preclinical studies, developing various manufacturing processes, and advancing our clinical programs. Research and development activities account for a large portion of our operating expenses, and product candidates in later stages of development generally have higher development costs than those in earlier stages, due to larger and more complex clinical trials, manufacturing scale-up and an increase in research and development headcount to oversee these activities. We are currently seeking partners to fund or collaborate on certain of our programs, including VTP-300 and VTP-850, which we do not intend to develop beyond the completion of the ongoing trials, as applicable. We expect research and development expenses to increase in the future as we progress our program through the next stage of development. Research and development costs are expensed as incurred. These costs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salaries, benefits, and other related costs, including share-based compensation, for personnel engaged in research and development functions;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expenses incurred in connection with the development of our programs including preclinical studies and clinical trials of our product candidates, under agreements with third parties, such as consultants, contractors, academic institutions and contract research organizations (</w:t>
      </w:r>
      <w:r>
        <w:rPr>
          <w:color w:val="000000"/>
          <w:shd w:fill="FFFFFF" w:val="clear"/>
        </w:rPr>
        <w:t>“</w:t>
      </w:r>
      <w:r>
        <w:rPr>
          <w:rFonts w:ascii="Times New Roman;serif" w:hAnsi="Times New Roman;serif"/>
          <w:b w:val="false"/>
          <w:color w:val="000000"/>
          <w:sz w:val="20"/>
        </w:rPr>
        <w:t>CROs</w:t>
      </w:r>
      <w:r>
        <w:rPr>
          <w:color w:val="000000"/>
          <w:shd w:fill="FFFFFF" w:val="clear"/>
        </w:rPr>
        <w: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 of manufacturing drug products for use in preclinical development and clinical trials, including agreements with third parties, such as contract manufacturing organizations, consultants and contractors;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laboratory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leased facility costs, equipment depreciation and other expenses, which include direct and allocated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consist primarily of personnel-related expenses,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impairment of property and equipment and right-of-use assets, foreign exchange gains and losses on our cash balances, other central non-research costs and changes in the fair value of contingent consideration. When determining the fair value of contingent consideration, significant judgment is used to determine the probability of success of achievement of the technology and clinical milestones and the date of the expected milestone.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would continue to increase in the future if we expand our operating activities and if we seek to manufacture and/or commercialize any of our current and future product candidates. These costs will increase if our headcount rises to allow full support for our operations as a public company, including increased expenses related to legal, accounting, regulatory and tax-related services associated with maintaining compliance with requirements of Nasdaq and the SEC, directors’ and officers’ liability insurance premiums and investor relations activities.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Other Operating Income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operating income includes grant income from an agreement (the "CEPI Funding Agreement") with the Coalition for Epidemic Preparedness Innovations ("CEPI") pursuant to which CEPI will provide funding to us to advance the development of VTP-500, a vaccine candidate against MERS. When there is reasonable assurance that we will comply with the conditions attached to a received grant, and when there is reasonable assurance that the grant will be received, grant income is recognized as other operating income on a gross basis in the condensed consolidated statements of operations and comprehensive loss on a systematic basis over the periods in which we recognize expenses for the related costs for which the grants are intended to compensate. Payments received in advance of incurring reimbursable expenses are recorded as deferred income. Any remaining unused amounts of the cash payments received on the balance sheets will be disclosed as restricted cash in the notes of the condensed consolidated financial statements. Minimal future activity is expected in relation to the VTP-500 program following the strategic decision to prioritize pipeline assets in the I&amp;I space. We intend to exit the Funding Agreement as part of aligning resources in accordance with the strategy in 2026.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Income/(Expense)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income results primarily from the interest earned on our short-term cash deposits and cash balances held by Barinthus Biotherapeutics (UK) Limited.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results primarily from the asset retirement obligation discounted over the length of the relevant lease.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Incentives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incentives contain payments receivable from the U.K. government related to corporation tax relief for qualifying expenditure on research and development projects in the U.K.. We account for such relief received as other income. Qualifying expenditures largely comprise employment costs for research staff, consumables, outsourced CRO costs, externally provided workers and utilities costs incurred as part of research projects. A large portion of costs relating to research and development, clinical trials and manufacturing activities are eligible for inclusion within these tax credit cash rebate claims.</w:t>
      </w:r>
    </w:p>
    <w:p>
      <w:pPr>
        <w:pStyle w:val="TextBody"/>
        <w:bidi w:val="0"/>
        <w:spacing w:lineRule="auto" w:line="288" w:before="180" w:after="283"/>
        <w:jc w:val="both"/>
        <w:rPr/>
      </w:pPr>
      <w:r>
        <w:rPr>
          <w:rFonts w:ascii="Times New Roman;serif" w:hAnsi="Times New Roman;serif"/>
          <w:b w:val="false"/>
          <w:color w:val="000000"/>
          <w:sz w:val="20"/>
        </w:rPr>
        <w:t>We benefit from the applicable U.K. research and development tax credit regime, which is the merged scheme Research &amp; Development expenditure credit (</w:t>
      </w:r>
      <w:r>
        <w:rPr>
          <w:color w:val="000000"/>
          <w:shd w:fill="FFFFFF" w:val="clear"/>
        </w:rPr>
        <w:t>“</w:t>
      </w:r>
      <w:r>
        <w:rPr>
          <w:rFonts w:ascii="Times New Roman;serif" w:hAnsi="Times New Roman;serif"/>
          <w:b w:val="false"/>
          <w:color w:val="000000"/>
          <w:sz w:val="20"/>
        </w:rPr>
        <w:t>RDEC</w:t>
      </w:r>
      <w:r>
        <w:rPr>
          <w:color w:val="000000"/>
          <w:shd w:fill="FFFFFF" w:val="clear"/>
        </w:rPr>
        <w:t>”</w:t>
      </w:r>
      <w:r>
        <w:rPr>
          <w:rFonts w:ascii="Times New Roman;serif" w:hAnsi="Times New Roman;serif"/>
          <w:b w:val="false"/>
          <w:color w:val="000000"/>
          <w:sz w:val="20"/>
        </w:rPr>
        <w:t>) and enhanced R&amp;D intensive support (</w:t>
      </w:r>
      <w:r>
        <w:rPr>
          <w:color w:val="000000"/>
          <w:shd w:fill="FFFFFF" w:val="clear"/>
        </w:rPr>
        <w:t>“</w:t>
      </w:r>
      <w:r>
        <w:rPr>
          <w:rFonts w:ascii="Times New Roman;serif" w:hAnsi="Times New Roman;serif"/>
          <w:b w:val="false"/>
          <w:color w:val="000000"/>
          <w:sz w:val="20"/>
        </w:rPr>
        <w:t>ERIS</w:t>
      </w:r>
      <w:r>
        <w:rPr>
          <w:color w:val="000000"/>
          <w:shd w:fill="FFFFFF" w:val="clear"/>
        </w:rPr>
        <w:t>”</w:t>
      </w:r>
      <w:r>
        <w:rPr>
          <w:rFonts w:ascii="Times New Roman;serif" w:hAnsi="Times New Roman;serif"/>
          <w:b w:val="false"/>
          <w:color w:val="000000"/>
          <w:sz w:val="20"/>
        </w:rPr>
        <w:t>) that replaces the old RDEC and small and medium-sized enterprise (</w:t>
      </w:r>
      <w:r>
        <w:rPr>
          <w:color w:val="000000"/>
          <w:shd w:fill="FFFFFF" w:val="clear"/>
        </w:rPr>
        <w:t>“</w:t>
      </w:r>
      <w:r>
        <w:rPr>
          <w:rFonts w:ascii="Times New Roman;serif" w:hAnsi="Times New Roman;serif"/>
          <w:b w:val="false"/>
          <w:color w:val="000000"/>
          <w:sz w:val="20"/>
        </w:rPr>
        <w:t>SME</w:t>
      </w:r>
      <w:r>
        <w:rPr>
          <w:color w:val="000000"/>
          <w:shd w:fill="FFFFFF" w:val="clear"/>
        </w:rPr>
        <w:t>”</w:t>
      </w:r>
      <w:r>
        <w:rPr>
          <w:rFonts w:ascii="Times New Roman;serif" w:hAnsi="Times New Roman;serif"/>
          <w:b w:val="false"/>
          <w:color w:val="000000"/>
          <w:sz w:val="20"/>
        </w:rPr>
        <w:t xml:space="preserve">) schemes for accounting periods beginning on or after April 1, 2024. For expenditure under the merged scheme, the rate of Research and Development expenditure credit is 20%, which is the same as the rate under the old RDEC scheme for expenditure incurred on or after April 1, 2023. For loss-makers and small profit-makers, a lower rate of notional tax restriction (currently 19%) applies at payment. The amount of the Pay As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Earn (</w:t>
      </w:r>
      <w:r>
        <w:rPr>
          <w:color w:val="000000"/>
          <w:shd w:fill="FFFFFF" w:val="clear"/>
        </w:rPr>
        <w:t>“</w:t>
      </w:r>
      <w:r>
        <w:rPr>
          <w:rFonts w:ascii="Times New Roman;serif" w:hAnsi="Times New Roman;serif"/>
          <w:b w:val="false"/>
          <w:color w:val="000000"/>
          <w:sz w:val="20"/>
        </w:rPr>
        <w:t>PAYE</w:t>
      </w:r>
      <w:r>
        <w:rPr>
          <w:color w:val="000000"/>
          <w:shd w:fill="FFFFFF" w:val="clear"/>
        </w:rPr>
        <w:t>”</w:t>
      </w:r>
      <w:r>
        <w:rPr>
          <w:rFonts w:ascii="Times New Roman;serif" w:hAnsi="Times New Roman;serif"/>
          <w:b w:val="false"/>
          <w:color w:val="000000"/>
          <w:sz w:val="20"/>
        </w:rPr>
        <w:t>) cap for claims under both the merged scheme and ERIS is £20,000 plus 300% of the company’s relevant PAYE and National Insurance contributions liabilities. The PAYE cap (where applicable) will limit the amount of payable credit that can be received in the accounting period under consideration. Any excess over the cap will be carried forward and treated as an amount of Research and Development expenditure credit to which the company will be entitled for the next accounting period. Based on prior claims and the split of qualifying spend it is expected that the PAYE cap is unlikely to affect the net benefit. Furthermore, legislation included in Finance Act 2024 restricts the extent to which payments to contractors for R&amp;D and externally provided workers can qualify for R&amp;D relief where R&amp;D activity takes place outside the U.K., which may restrict the ability to include cost incurred on externally provided workers based in the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the RDEC scheme, a U.K. company qualifies as an R&amp;D intensive business if U.K. R&amp;D expenditure constitutes at least 30% of total expenditure. From the analysis performed, we have not and do not expect to claim under the loss-making R&amp;D intensive scheme criteria primarily due to the proportion of total relevant expenditure occurring outside the U.K.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future years, we may not be able to continue to claim research and development tax credits under the U.K. research and development tax credit regime if we no longer qualify based on the eligibility criteria. Unsurrendered U.K. losses may be carried forward indefinitely to be offset against future taxable profits, subject to numerous utilization criteria and restrictions. The amount that can be offset each year is limited to £5.0 million plus an incremental 50% of U.K. taxable profits. There was no tax loss restriction applied to the R&amp;D tax credits in the U.K.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discussion and analysis of financial condition and results of operations is based on our condensed consolidated financial statements, which have been prepared in accordance with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income and expenses during the reporting period. On an ongoing basis, management evaluates its estimates, including those related to fair value of contingent consideration and impairment of intangible assets. Management bases its estimates on historical experience and on various other market specific and relevant assumptions that management believes to be reasonable under the circumstances. Actual results could differ from those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are critical to the process of making significant judgments and estimates in the preparation of our financial statements and understanding and evaluating our reported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review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 </w:t>
      </w:r>
    </w:p>
    <w:p>
      <w:pPr>
        <w:pStyle w:val="TextBody"/>
        <w:bidi w:val="0"/>
        <w:spacing w:lineRule="auto" w:line="288" w:before="240" w:after="283"/>
        <w:jc w:val="both"/>
        <w:rPr/>
      </w:pPr>
      <w:r>
        <w:rPr>
          <w:rFonts w:ascii="Times New Roman;serif" w:hAnsi="Times New Roman;serif"/>
          <w:b/>
          <w:i/>
          <w:color w:val="000000"/>
          <w:sz w:val="20"/>
        </w:rPr>
        <w:t>Contingent Consideration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recognize a contingent consideration liability related to the acquisition of Avidea.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Avidea’s stockholders may be entitled to receive an aggregate of up to $40.0 million in additional payments, payable in a combination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general and administrative expenses in the condensed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pPr>
      <w:r>
        <w:rPr>
          <w:rFonts w:ascii="Times New Roman;serif" w:hAnsi="Times New Roman;serif"/>
          <w:b/>
          <w:i/>
          <w:color w:val="000000"/>
          <w:sz w:val="20"/>
        </w:rPr>
        <w:t>Comparison of the Three Months Ended June 30, 2026</w:t>
      </w:r>
      <w:r>
        <w:rPr>
          <w:color w:val="000000"/>
        </w:rPr>
        <w:t xml:space="preserve"> </w:t>
      </w:r>
      <w:r>
        <w:rPr>
          <w:rFonts w:ascii="Times New Roman;serif" w:hAnsi="Times New Roman;serif"/>
          <w:b/>
          <w:i/>
          <w:color w:val="000000"/>
          <w:sz w:val="20"/>
        </w:rPr>
        <w:t>and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significant components of our results of operations (in thousands):</w:t>
      </w:r>
    </w:p>
    <w:tbl>
      <w:tblPr>
        <w:tblW w:w="10185" w:type="dxa"/>
        <w:jc w:val="left"/>
        <w:tblInd w:w="0" w:type="dxa"/>
        <w:tblLayout w:type="fixed"/>
        <w:tblCellMar>
          <w:top w:w="28" w:type="dxa"/>
          <w:left w:w="28" w:type="dxa"/>
          <w:bottom w:w="28" w:type="dxa"/>
          <w:right w:w="28" w:type="dxa"/>
        </w:tblCellMar>
      </w:tblPr>
      <w:tblGrid>
        <w:gridCol w:w="1157"/>
        <w:gridCol w:w="1017"/>
        <w:gridCol w:w="1021"/>
        <w:gridCol w:w="496"/>
        <w:gridCol w:w="1873"/>
        <w:gridCol w:w="256"/>
        <w:gridCol w:w="109"/>
        <w:gridCol w:w="109"/>
        <w:gridCol w:w="109"/>
        <w:gridCol w:w="496"/>
        <w:gridCol w:w="1873"/>
        <w:gridCol w:w="256"/>
        <w:gridCol w:w="109"/>
        <w:gridCol w:w="109"/>
        <w:gridCol w:w="109"/>
        <w:gridCol w:w="211"/>
        <w:gridCol w:w="72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62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23,337 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(11,019)</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(23,324)</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w:t>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23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(21,151)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49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(10,599)</w:t>
            </w:r>
          </w:p>
        </w:tc>
        <w:tc>
          <w:tcPr>
            <w:tcW w:w="25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(21,126)</w:t>
            </w:r>
          </w:p>
        </w:tc>
        <w:tc>
          <w:tcPr>
            <w:tcW w:w="25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5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493"/>
        <w:gridCol w:w="1244"/>
        <w:gridCol w:w="1250"/>
        <w:gridCol w:w="508"/>
        <w:gridCol w:w="1487"/>
        <w:gridCol w:w="262"/>
        <w:gridCol w:w="109"/>
        <w:gridCol w:w="109"/>
        <w:gridCol w:w="109"/>
        <w:gridCol w:w="508"/>
        <w:gridCol w:w="1487"/>
        <w:gridCol w:w="262"/>
        <w:gridCol w:w="109"/>
        <w:gridCol w:w="109"/>
        <w:gridCol w:w="109"/>
        <w:gridCol w:w="211"/>
        <w:gridCol w:w="678"/>
        <w:gridCol w:w="161"/>
      </w:tblGrid>
      <w:tr>
        <w:trPr/>
        <w:tc>
          <w:tcPr>
            <w:tcW w:w="149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22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VTP-1000 Celiac</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Barinthus legacy assets</w:t>
            </w:r>
            <w:r>
              <w:rPr>
                <w:rFonts w:ascii="Times New Roman;serif" w:hAnsi="Times New Roman;serif"/>
                <w:b w:val="false"/>
                <w:color w:val="000000"/>
                <w:sz w:val="13"/>
              </w:rPr>
              <w:t>1</w:t>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research and development expenses</w:t>
            </w:r>
          </w:p>
        </w:tc>
        <w:tc>
          <w:tcPr>
            <w:tcW w:w="19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2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costs</w:t>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research and development expenses</w:t>
            </w:r>
          </w:p>
        </w:tc>
        <w:tc>
          <w:tcPr>
            <w:tcW w:w="199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 xml:space="preserve">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VTP-600NSCLC, VTP-500 MERS and other and earlier stage programs </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for the three months ended June 30, 2026 and 2025 were $3.9 million and $8.0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Direct expenses for the three months ended June 30, 2026 and 2025 were $3.4 million and $4.7 million, respectively, and consisted of outside services, consultants, laboratory materials, clinical trials, manufacturing of clinical trial materials, as well as costs for external preclinical services and sample testing. Of the $1.3 million decrease, $2.4 million pertains to a net decrease in spend across the infectious disease and oncology programs following the strategic decision to prioritize pipeline assets within the I&amp;I space and wind down of the ongoing trials, offset by $1.2 million increase in spend on VTP-1000 for the Phase 1 AVALON clinical trial.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 for the three months ended June 30, 2026 and 2025 were $0.5 million and $3.2 million, respectively. The decrease of $2.8 million primarily relates to the reduction in headcount, following the strategic reprioritization and the associated personnel-related expense (including share-based compensation), combined with the closure of the U.K. laboratory, which occurred in the third quarter of 2025, resulting in a reduction in the allocation of facility and other indirect costs to research and development from that period onwards.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jc w:val="both"/>
        <w:rPr/>
      </w:pPr>
      <w:r>
        <w:rPr>
          <w:rFonts w:ascii="Times New Roman;serif" w:hAnsi="Times New Roman;serif"/>
          <w:b w:val="false"/>
          <w:color w:val="000000"/>
          <w:sz w:val="20"/>
        </w:rPr>
        <w:t>General and administrative expenses for the three months ended June 30, 2026 and 2025 were $7.1 million and $15.4 million, respectively. The decrease of $8.3 million relates primarily to a foreign exchange loss of $0.9 million for the three months ended June 30, 2026, compared to a loss of $8.0 million for the three months ended June 30, 2025, driven by movement from the translation of United States dollar balances held</w:t>
      </w:r>
      <w:r>
        <w:rPr>
          <w:color w:val="000000"/>
          <w:shd w:fill="FFFFFF" w:val="clear"/>
        </w:rPr>
        <w:t xml:space="preserve"> </w:t>
      </w:r>
      <w:r>
        <w:rPr>
          <w:rFonts w:ascii="Times New Roman;serif" w:hAnsi="Times New Roman;serif"/>
          <w:b w:val="false"/>
          <w:color w:val="000000"/>
          <w:sz w:val="20"/>
          <w:shd w:fill="FFFFFF" w:val="clear"/>
        </w:rPr>
        <w:t xml:space="preserve">in pound sterling denominated entities. The remaining reduction in expenses is related to </w:t>
      </w:r>
      <w:r>
        <w:rPr>
          <w:rFonts w:ascii="Times New Roman;serif" w:hAnsi="Times New Roman;serif"/>
          <w:b w:val="false"/>
          <w:color w:val="000000"/>
          <w:sz w:val="20"/>
        </w:rPr>
        <w:t>a decrease of $1.4 million in depreciation charges due to the sale and disposal of U.K. assets by the end of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Operating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other operating income was $0.005 million and $0.013 million, respectively, primarily resulting from a reduction in qualifying activity for the development of VTP-500 for the prevention of MERS, and associated utilization of the funding provided by CEPI under the Funding Agreement. Minimal future activity is expected following the strategic decision to prioritize pipeline assets in the I&amp;I space.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interest income was $0.3 million and $0.5 million, respectively, with the decrease resulting from both the reduction in interest rates and the reduction in cash amounts on short-term cash deposits held by Barinthus Biotherapeutics (UK) Limited.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Incentives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research and development incentives were $0.04 million and $1.3 million, respectively. Such research and development incentives relate to corporation tax relief on research and development projects incentive programs in the United Kingdom. The decrease is due to a decrease in qualifying R&amp;D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Comparison of the Six Months Ended June 30, 2026</w:t>
      </w:r>
      <w:r>
        <w:rPr>
          <w:color w:val="000000"/>
        </w:rPr>
        <w:t xml:space="preserve"> </w:t>
      </w:r>
      <w:r>
        <w:rPr>
          <w:rFonts w:ascii="Times New Roman;serif" w:hAnsi="Times New Roman;serif"/>
          <w:b/>
          <w:i/>
          <w:color w:val="000000"/>
          <w:sz w:val="20"/>
        </w:rPr>
        <w:t>and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significant components of our results of operations (in thousands):</w:t>
      </w:r>
    </w:p>
    <w:tbl>
      <w:tblPr>
        <w:tblW w:w="9793" w:type="dxa"/>
        <w:jc w:val="left"/>
        <w:tblInd w:w="0" w:type="dxa"/>
        <w:tblLayout w:type="fixed"/>
        <w:tblCellMar>
          <w:top w:w="28" w:type="dxa"/>
          <w:left w:w="28" w:type="dxa"/>
          <w:bottom w:w="28" w:type="dxa"/>
          <w:right w:w="28" w:type="dxa"/>
        </w:tblCellMar>
      </w:tblPr>
      <w:tblGrid>
        <w:gridCol w:w="1157"/>
        <w:gridCol w:w="1017"/>
        <w:gridCol w:w="1021"/>
        <w:gridCol w:w="459"/>
        <w:gridCol w:w="1733"/>
        <w:gridCol w:w="237"/>
        <w:gridCol w:w="109"/>
        <w:gridCol w:w="109"/>
        <w:gridCol w:w="109"/>
        <w:gridCol w:w="459"/>
        <w:gridCol w:w="1733"/>
        <w:gridCol w:w="237"/>
        <w:gridCol w:w="109"/>
        <w:gridCol w:w="109"/>
        <w:gridCol w:w="109"/>
        <w:gridCol w:w="211"/>
        <w:gridCol w:w="72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4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17,145 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44,266 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(17,094)</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(43,924)</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2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(16,172)</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(40,831)</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45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(16,133)</w:t>
            </w:r>
          </w:p>
        </w:tc>
        <w:tc>
          <w:tcPr>
            <w:tcW w:w="237"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(40,784)</w:t>
            </w:r>
          </w:p>
        </w:tc>
        <w:tc>
          <w:tcPr>
            <w:tcW w:w="237"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24,651 </w:t>
            </w:r>
          </w:p>
        </w:tc>
        <w:tc>
          <w:tcPr>
            <w:tcW w:w="15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535"/>
        <w:gridCol w:w="1295"/>
        <w:gridCol w:w="1302"/>
        <w:gridCol w:w="490"/>
        <w:gridCol w:w="1432"/>
        <w:gridCol w:w="253"/>
        <w:gridCol w:w="109"/>
        <w:gridCol w:w="109"/>
        <w:gridCol w:w="109"/>
        <w:gridCol w:w="444"/>
        <w:gridCol w:w="1520"/>
        <w:gridCol w:w="229"/>
        <w:gridCol w:w="109"/>
        <w:gridCol w:w="109"/>
        <w:gridCol w:w="109"/>
        <w:gridCol w:w="211"/>
        <w:gridCol w:w="680"/>
        <w:gridCol w:w="160"/>
      </w:tblGrid>
      <w:tr>
        <w:trPr/>
        <w:tc>
          <w:tcPr>
            <w:tcW w:w="153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21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VTP-1000 Celiac</w:t>
            </w:r>
          </w:p>
        </w:tc>
        <w:tc>
          <w:tcPr>
            <w:tcW w:w="4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Barinthus legacy assets</w:t>
            </w:r>
            <w:r>
              <w:rPr>
                <w:rFonts w:ascii="Times New Roman;serif" w:hAnsi="Times New Roman;serif"/>
                <w:b w:val="false"/>
                <w:color w:val="000000"/>
                <w:sz w:val="13"/>
              </w:rPr>
              <w:t>1</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research and development expenses</w:t>
            </w:r>
          </w:p>
        </w:tc>
        <w:tc>
          <w:tcPr>
            <w:tcW w:w="19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25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22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(1,858)</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(including share-based compensation)</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indirect costs</w:t>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research and development expenses</w:t>
            </w:r>
          </w:p>
        </w:tc>
        <w:tc>
          <w:tcPr>
            <w:tcW w:w="19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(6,869)</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4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16,243 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(8,727)</w:t>
            </w:r>
          </w:p>
        </w:tc>
        <w:tc>
          <w:tcPr>
            <w:tcW w:w="16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 xml:space="preserve">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VTP-600NSCLC, VTP-500 MERS and other and earlier stage programs </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for the six months ended June 30, 2026 and 2025 were $7.5 million and $16.2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Direct expenses for the six months ended June 30, 2026 and 2025 were $6.3 million and $8.2 million, respectively, and consisted of outside services, consultants, laboratory materials, clinical trials, manufacturing of clinical trial materials,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well as costs for external preclinical services and sample testing. Of the $1.9 million decrease, $3.5 million pertains to a net decrease in spend across the infectious disease and oncology programs following the strategic decision to prioritize pipeline assets within the I&amp;I space and wind down of the ongoing trials, offset by $1.6 million increase in spend on VTP-1000 for the Phase 1 AVALON clinical trial.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 for the six months ended June 30, 2026 and 2025 were $1.2 million and $8.0 million, respectively. The decrease of $6.8 million primarily relates to the reduction in headcount, following the strategic reprioritization and the associated personnel-related expense (including share-based compensation), combined with the closure of the U.K. laboratory, which occurred in the third quarter of 2025, resulting in a reduction in the allocation of facility and other indirect costs to research and development from that period onwards.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jc w:val="both"/>
        <w:rPr/>
      </w:pPr>
      <w:r>
        <w:rPr>
          <w:rFonts w:ascii="Times New Roman;serif" w:hAnsi="Times New Roman;serif"/>
          <w:b w:val="false"/>
          <w:color w:val="000000"/>
          <w:sz w:val="20"/>
        </w:rPr>
        <w:t>General and administrative expenses for the six months ended June 30, 2026 and 2025 were $9.6 million and $28.0 million, respectively. The decrease of $18.4 million relates primarily to a foreign exchange gain of $2.1 million for the six months ended June 30, 2026, compared to a loss of $12.4 million for the six months ended June 30, 2025, driven by movement from the translation of United States dollar balances held</w:t>
      </w:r>
      <w:r>
        <w:rPr>
          <w:color w:val="000000"/>
          <w:shd w:fill="FFFFFF" w:val="clear"/>
        </w:rPr>
        <w:t xml:space="preserve"> </w:t>
      </w:r>
      <w:r>
        <w:rPr>
          <w:rFonts w:ascii="Times New Roman;serif" w:hAnsi="Times New Roman;serif"/>
          <w:b w:val="false"/>
          <w:color w:val="000000"/>
          <w:sz w:val="20"/>
          <w:shd w:fill="FFFFFF" w:val="clear"/>
        </w:rPr>
        <w:t xml:space="preserve">in pound sterling denominated entities. The remaining reduction in expenses is related to </w:t>
      </w:r>
      <w:r>
        <w:rPr>
          <w:rFonts w:ascii="Times New Roman;serif" w:hAnsi="Times New Roman;serif"/>
          <w:b w:val="false"/>
          <w:color w:val="000000"/>
          <w:sz w:val="20"/>
        </w:rPr>
        <w:t xml:space="preserve">a decrease of $2.8 million in depreciation charges due to the sale and disposal of U.K. assets by the end of 2025, </w:t>
      </w:r>
      <w:r>
        <w:rPr>
          <w:rFonts w:ascii="Times New Roman;serif" w:hAnsi="Times New Roman;serif"/>
          <w:b w:val="false"/>
          <w:color w:val="000000"/>
          <w:sz w:val="20"/>
          <w:shd w:fill="FFFFFF" w:val="clear"/>
        </w:rPr>
        <w:t>a</w:t>
      </w:r>
      <w:r>
        <w:rPr>
          <w:color w:val="000000"/>
        </w:rPr>
        <w:t xml:space="preserve"> </w:t>
      </w:r>
      <w:r>
        <w:rPr>
          <w:rFonts w:ascii="Times New Roman;serif" w:hAnsi="Times New Roman;serif"/>
          <w:b w:val="false"/>
          <w:color w:val="000000"/>
          <w:sz w:val="20"/>
        </w:rPr>
        <w:t>decrease of $1.6 million in personnel-related expenses pertaining to the reduction in headcount and the associated reduction in personnel-related expense.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Operating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other operating income was $0.05 million and $0.3 million, respectively, primarily resulting from a reduction in qualifying activity for the development of VTP-500 for the prevention of MERS, and associated utilization of the funding provided by CEPI under the Funding Agreement. Minimal future activity is expected following the strategic decision to prioritize pipeline assets in the I&amp;I space.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interest income was $0.7 million and $1.1 million, respectively, with the decrease resulting from both the reduction in interest rates and the reduction in cash amounts on short-term cash deposits held by Barinthus Biotherapeutics (UK) Limited.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Incentives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research and development incentives were $0.2 million and $1.6 million, respectively. Such research and development incentives relate to corporation tax relief on research and development projects incentive programs in the United Kingdom. The decrease is due to a decrease in qualifying R&amp;D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both"/>
        <w:rPr/>
      </w:pPr>
      <w:r>
        <w:rPr>
          <w:rFonts w:ascii="Times New Roman;serif" w:hAnsi="Times New Roman;serif"/>
          <w:b w:val="false"/>
          <w:color w:val="000000"/>
          <w:sz w:val="20"/>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upfront, royalty and milestone payments from Oxford University Innovation (</w:t>
      </w:r>
      <w:r>
        <w:rPr>
          <w:color w:val="000000"/>
          <w:shd w:fill="FFFFFF" w:val="clear"/>
        </w:rPr>
        <w:t>“</w:t>
      </w:r>
      <w:r>
        <w:rPr>
          <w:rFonts w:ascii="Times New Roman;serif" w:hAnsi="Times New Roman;serif"/>
          <w:b w:val="false"/>
          <w:color w:val="000000"/>
          <w:sz w:val="20"/>
        </w:rPr>
        <w:t>OUI</w:t>
      </w:r>
      <w:r>
        <w:rPr>
          <w:color w:val="000000"/>
          <w:shd w:fill="FFFFFF" w:val="clear"/>
        </w:rPr>
        <w:t>”</w:t>
      </w:r>
      <w:r>
        <w:rPr>
          <w:rFonts w:ascii="Times New Roman;serif" w:hAnsi="Times New Roman;serif"/>
          <w:b w:val="false"/>
          <w:color w:val="000000"/>
          <w:sz w:val="20"/>
        </w:rPr>
        <w:t>) in connection with the OUI License Agreement Amendment for Vaxzevria. Through June 30, 2026, we have received gross proceeds of approximately $330.1 million from the issuance of our ordinary and preferred shares and convertible loan notes. As of June 30, 2026, we had cash, cash equivalents and restricted cash of $59.6 million. Key financing and corporate milestones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Between July 2020 and November 2020, we raised gross proceeds of $41.2 million from the issuance of convertible loan notes;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March 2021, we raised gross proceeds of $125.2 million from the issuance of our Series B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2021, we raised gross proceeds of $110.5 million from the initial public offering of our ordinary shares on Nasdaq;</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Between April 2022 and November 2024, we received $59.5 million of cash from OUI for the commercial sales of Vaxzevria;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Between December 2022 and December 2024, we raised net proceeds of $5.1 million from the issuance of 2,558,586 shares represented by ADSs through “at-the-market” offerings under the sales agreement with Jefferies LLC.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expect positive cash flows from operations in the foreseeable future, if at all. In most periods, we have incurred operating losses as a result of ongoing efforts to develop our immunotherapy platforms and our product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29, 2025, we entered into the Merger Agreement providing for our combination with Clywedog. We have agreed to various covenants and agreements, including, among others, agreements to conduct our business in the ordinary course of business between the execution of the Merger Agreement and the closing of the Combinations. Outside of certain limited exceptions, we may not take certain actions without Clywedog’s consent, including (i) acquiring businesses and disposing of significant assets, (ii) incurring expenditures above specified thresholds; (iii) incurring additional debt outside the ordinary course of business, (iv) issuing additional securities, or (v) repurchasing ordinary shares or ADSs.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primary sources and uses of cash (in thousands) for each period presented:</w:t>
      </w:r>
    </w:p>
    <w:tbl>
      <w:tblPr>
        <w:tblW w:w="10205" w:type="dxa"/>
        <w:jc w:val="left"/>
        <w:tblInd w:w="0" w:type="dxa"/>
        <w:tblLayout w:type="fixed"/>
        <w:tblCellMar>
          <w:top w:w="28" w:type="dxa"/>
          <w:left w:w="28" w:type="dxa"/>
          <w:bottom w:w="28" w:type="dxa"/>
          <w:right w:w="28" w:type="dxa"/>
        </w:tblCellMar>
      </w:tblPr>
      <w:tblGrid>
        <w:gridCol w:w="1907"/>
        <w:gridCol w:w="1665"/>
        <w:gridCol w:w="1670"/>
        <w:gridCol w:w="434"/>
        <w:gridCol w:w="1635"/>
        <w:gridCol w:w="224"/>
        <w:gridCol w:w="109"/>
        <w:gridCol w:w="109"/>
        <w:gridCol w:w="109"/>
        <w:gridCol w:w="425"/>
        <w:gridCol w:w="1602"/>
        <w:gridCol w:w="316"/>
      </w:tblGrid>
      <w:tr>
        <w:trPr/>
        <w:tc>
          <w:tcPr>
            <w:tcW w:w="190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2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4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(11,457)</w:t>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(33,011)</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investing activities</w:t>
            </w:r>
          </w:p>
        </w:tc>
        <w:tc>
          <w:tcPr>
            <w:tcW w:w="20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2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20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4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(12,222)</w:t>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(24,616)</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operating activities was $11.5 million, primarily resulting from our net loss of $16.1 million adjusted by depreciation and amortization of $1.7 million, unrealized foreign exchange gain of $1.3 million, share based compensation of $1.0 million and non-cash lease expenses of $0.4 million. The changes in our operating assets and liabilities, net, of $2.8 million primarily related to a $2.9 million increase in accounts payable and accrued expenses, a $2.4 million decrease in prepaid expenses and other current assets, offset by a $1.3 million decrease in operating lease liabilities and $1.1 million decrease in deferred income.</w:t>
      </w:r>
    </w:p>
    <w:p>
      <w:pPr>
        <w:pStyle w:val="TextBody"/>
        <w:bidi w:val="0"/>
        <w:spacing w:before="20" w:after="283"/>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operating activities was $33.0 million, primarily resulting from our net loss of $40.8 million adjusted by unrealized foreign exchange loss of $4.9 million, depreciation and amortization of $4.0 million, non-cash lease expenses of $1.7 million, profit on sale of property and equipment of $0.3 million, and changes in our operating assets and liabilities, net, of $2.3 million. The changes in our operating assets and liabilities, net, of $2.3 million primarily related to a $3.6 million decrease in accounts payable and accrued expenses, a $0.5 million increase in prepaid expenses and other current assets and a $1.0 million decrease in operating lease liabilities, offset by a $3.1 million decrease in research and development incentive receivables, following receipt of the 2023 research and development tax credit claim.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Provided By/(Used) in 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net cash provided by/(used) in investing activities was $0.12 million and $0.04 million, respectively. For the six months ended June 30, 2026, these amounts primarily related to proceeds received upon the sale of U.S. laboratory equipment. For the six months ended June 30, 2025, these amounts resulted primarily from capital expenditures related to laboratory equipment and leasehold improvements in our U.K. facility.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before="20" w:after="283"/>
        <w:jc w:val="both"/>
        <w:rPr/>
      </w:pPr>
      <w:r>
        <w:rPr/>
      </w:r>
    </w:p>
    <w:p>
      <w:pPr>
        <w:pStyle w:val="TextBody"/>
        <w:bidi w:val="0"/>
        <w:spacing w:lineRule="auto" w:line="268" w:before="0" w:after="0"/>
        <w:jc w:val="both"/>
        <w:rPr/>
      </w:pPr>
      <w:r>
        <w:rPr>
          <w:rFonts w:ascii="Times New Roman;serif" w:hAnsi="Times New Roman;serif"/>
          <w:b w:val="false"/>
          <w:color w:val="000000"/>
          <w:sz w:val="20"/>
        </w:rPr>
        <w:t>During the six months ended</w:t>
      </w:r>
      <w:r>
        <w:rPr>
          <w:color w:val="000000"/>
        </w:rPr>
        <w:t xml:space="preserve"> </w:t>
      </w:r>
      <w:r>
        <w:rPr>
          <w:rFonts w:ascii="Times New Roman;serif" w:hAnsi="Times New Roman;serif"/>
          <w:b w:val="false"/>
          <w:color w:val="000000"/>
          <w:sz w:val="20"/>
        </w:rPr>
        <w:t xml:space="preserve">June 30, 2026 and 2025, net cash provided by financing activities was nil and $0.002 million, respectively. For the six months ended June 30, 2025, these amounts related to net proceeds received from the issuance of ordinary shares through stock exercises.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Effect of Exchange Rates on Cash, Cash Equivalents and Restricted Cash</w:t>
      </w:r>
    </w:p>
    <w:p>
      <w:pPr>
        <w:pStyle w:val="TextBody"/>
        <w:bidi w:val="0"/>
        <w:spacing w:lineRule="auto" w:line="288" w:before="240" w:after="283"/>
        <w:jc w:val="both"/>
        <w:rPr/>
      </w:pPr>
      <w:r>
        <w:rPr>
          <w:rFonts w:ascii="Times New Roman;serif" w:hAnsi="Times New Roman;serif"/>
          <w:b w:val="false"/>
          <w:color w:val="000000"/>
          <w:sz w:val="20"/>
        </w:rPr>
        <w:t xml:space="preserve">During the six months ended June 30, 2026 and 2025, the effect of foreign exchange on cash, cash equivalents and restricted cash was a loss of $0.9 million and gain of $8.4 million, respectively, primarily as a result of fluctuations between the </w:t>
      </w:r>
      <w:r>
        <w:rPr>
          <w:rFonts w:ascii="Times New Roman;serif" w:hAnsi="Times New Roman;serif"/>
          <w:b w:val="false"/>
          <w:color w:val="000000"/>
          <w:sz w:val="20"/>
          <w:shd w:fill="FFFFFF" w:val="clear"/>
        </w:rPr>
        <w:t>pound sterling and United States dollar exchange rates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except for 2022 when we were profitable. We have negative operating cash flows for the period ended June 30, 2026 and as of June 30, 2026, we had an accumulated deficit of $320.2 million. We expect to continue to incur significant losses and negative cash flows from operations for the foreseeable future. We anticipate that our expenses will increase substantially if, and as we: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pursue the clinical and preclinical development of our current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our technologies to advance additional product candidates into preclinical and clinical 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seek marketing authorizations for product candidates that successfully complete clinical trials, if 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attract, hire and retain additional clinical, regulatory, quality control and other personnel;</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conduct preclinical studies and clinical trials for our current and future product candidates based on our proprietary synthetic and biologic platforms, including SNAP-TI;</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expand our operational, financial and management systems and increase personnel, including personnel to support our clinical development, manufacturing and commercialization efforts and our operations as a public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 our manufacturing capabilities through third parties or by ourselves and scale-up manufacturing to provide adequate supply for clinical trials and commercialization;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expand, maintain, protect and enforce our intellectual property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 a sales, marketing, medical affairs and distribution infrastructure to commercialize any products for which we may obtain marketing approval and intend to commercialize on our own or through a selected partner;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acquire or in-license other product candidates and technologies for development and commercialization;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additional legal, advisory, accounting, tax and other expenses in operating our business as a public company, including the additional costs associated with completing the Contemplated Transactions.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unless and until such losses are eliminated by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do achieve profitability, we may not be able to sustain or increase profitability on a quarterly or annual basis. Accordingly, our failure to become and remain profitable would decrease the value of our company and could impair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Since our foundation, we have invested a significant portion of our efforts and financial resources in research and development activities for our viral vector platform (ChAdOx and MVA), acquisition of additional complementary platforms such as SNAP-TI, in-house development of new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depend on many factors, including: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outcome and terms of the Contemplated Transactions currently in progress as well as associated transaction and advisory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scope, progress, results and costs of researching and developing our current and future product candidates and programs, and of conducting preclinical studies and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number and development requirements of other product candidates that we may pursue, and of other indications for our current product candidates that we may pursue;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stability, scale and yield of future manufacturing processes as we scale-up production and formulation of our product candidates either internally or externally for later stages of development and commercialization;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our collaborations with current and any future collaboration partners;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establish, maintain or terminate collaborations, strategic licensing or other arrangements, and the financial terms of such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costs of future commercialization activities, including product launch, product sales, marketing, manufacturing and distribution, for any of our current and future product candidates for which we receive marketing approval;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timing, receipt and amount of commercial sales, revenues, milestones or royalties or other income from our future products, should any of our product candidates receive marketing approval;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obtaining, maintaining, enforcing and protecting our intellectual property rights and defending intellectual property-related claims including litigation costs and any damages awarded in such litigation;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emergence and success or otherwise of competing autoimmune or infectious disease therapies and other market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our current standalone research and development plans, we expect that our existing cash, cash equivalents, restricted cash and other financial resources will enable us to fund our operating expenses and capital expenditure requirements for at least the next 12 months. These estimates are based on assumptions that may prove to be wrong, and we could use our available capital resources more quickly than we expect.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substantial additional financing in the future to meet any such unanticipated factors, including if the Contemplated Transactions are not consummated timely or at all. If we raise additional funds through collaborations, strategic alliances, distribution or licensing arrangements with third parties, we may have to relinquish valuable rights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technologies, future revenue streams or product candidates or grant licenses on terms that may not be favorable to us. If we are unable to raise additional funds when needed, we would be required to delay, limit, reduce or terminate our product development programs, future commercialization efforts, other operational plans or grant rights to develop and market product candidates that we would otherwise prefer to develop and market ourselves.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Lease, Purchase, and Other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operating lease obligations related to our property, plant and equipment. The obligations related to both short- and long-term lease arrangements are set forth in Note 15 “Commitment and Contingencies” to our condensed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and Currency Translation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the risk of fluctuations in foreign currency exchange rates, specifically with respect to the euro, pound sterling, Swiss franc and Australian dollar. Our reporting currency is the United States dollar, and the functional currency of Barinthus Biotherapeutics plc and its consolidated subsidiaries, Barinthus Biotherapeutics (UK) Limited and Vaccitech Oncology Limited, is the pound sterling. The functional currency of our wholly owned foreign subsidiaries, Barinthus Biotherapeutics North America, Inc., Beacon Topco, Inc. and Cdog Merger Sub, Inc., is the United States dollar. The functional currency of our wholly owned foreign subsidiary, Barinthus Biotherapeutics Pty Limited, is the Australian dollar. The functional currency of our wholly owned foreign subsidiary, Barinthus Biotherapeutics Switzerland GmbH, is the Swiss franc. Our cash, cash equivalents and restricted cash as of June 30, 2026 consisted primarily of cash balances held by Barinthus Biotherapeutics (UK) Limited in United States dollars.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translated into United States dollars at the exchange rate in effect on the balance sheet date. Revenue and expenses are translated at the average exchange rate in effect during the period. Translation adjustments are included in the condensed consolidated Balance Sheets as a component of accumulated other comprehensive loss. Adjustments that arise from exchange rate changes on transactions denominated in a currency other than the local currency are included in operating expenses, net in the condensed consolidated Statements of Operations and Comprehensive Loss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incur significant operating costs in the U.K. and face exposure to changes in the exchange ratio of the United States dollar and the pound sterling arising from expenses and payables at our U.K. operations that are settled in pound sterling. For the three and six months ended June 30, 2026, an average 10% weakening in the United States dollar relative to the pound sterling would have resulted in a material change to our current and projected expenses denominated in pound sterling.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Sensitivity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not currently exposed significantly to market risk related to changes in interest rates, as we have no significant interest-bearing liabilities. We had cash, cash equivalents and restricted cash of $59.6 million as of June 30, 2026, which were primarily held as account balances with banks in the U.K. and United States. A hypothetical 10% relative change in interest rates during any of the periods presented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officer and principal financial officer, evaluated the effectiveness of our disclosure controls and procedures (as defined in Rule 13a-15(e) and 15d-15(e) under the Exchange Act)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evaluation, our principal executive officer and principal financial officer has concluded that, as of such date, our disclosure controls and procedures were effective.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13a-15(f) and 15d-15(f) under the Exchange Act) during the three and six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      Legal Proceedings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subject to various legal proceedings and claims that arise in the ordinary course of our business activities. Although the results of litigation and claims cannot be predicted with certainty, as of June 30,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than the risks included below that have been amended and restated, there have been no material changes from the risk factors disclosed in our most recent Annual Report on Form 10-K as filed with the SEC on March 13,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regain compliance with the continued listing requirements of Nasdaq, our ADSs may be delisted and the price of our ADSs and our ability to access the capital markets could be negatively impacted.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previously reported, on December 30, 2025, we received a notification letter from The Nasdaq Stock Market LLC (“Nasdaq”) notifying the Company that, for the last 30 consecutive business days, the closing bid price for the Company’s American Depositary Shares (the “ADSs”), has been below the minimum $1.00 per share required (the “Bid Price Requirement”) for continued listing on the Nasdaq Global Market pursuant to Nasdaq Listing Rule 5450(a)(1). In accordance with Nasdaq Listing Rule 5810(c)(3)(A), we were given 180 calendar days, or until June 29, 2026, to regain compliance with the Bid Price Requirement pursuant to Nasdaq Listing Rule 5450(a)(1).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30, 2026, we received a notice (the “Extension Notice”) from Nasdaq informing us that Nasdaq had granted us an additional 180 calendar days, or until December 28, 2026, to regain compliance with the Bid Price Requirement for continued listing on the Nasdaq Capital Market under Nasdaq Listing Rule 5550(a)(2). In connection with the Extension Notice, the listing of the ADSs was transferred from the Nasdaq Global Market to the Nasdaq Capital Market, effective as of July 2, 2026. The Extension Notice has no other immediate effect on the listing of the ADSs.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many factors that may adversely affect the ADSs’ minimum bid price. Many of these factors are outside of our control. As a result, we may not be able to sustain compliance with the minimum bid price rule in the long term. Any potential delisting of the ADSs from Nasdaq would likely result in decreased liquidity and increased volatility for the ADSs and would adversely affect our ability to raise additional capital or to enter into strategic transactions. Any potential delisting of the ADSs from Nasdaq would also make it more difficult for holders of the ADSs to sell the ADSs in the public market.</w:t>
      </w:r>
    </w:p>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proposed combinations with Clywedog and expectations regarding the timing and benefits of, and our ability to consummate, the proposed combinations;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success, cost and timing of our product development activities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scope or likelihood of regulatory filings and approvals, including timing of IND, New Drug Application, and Biologics License Application filings for our current and future product candidates, and final FDA, European Medicines Agency, United Kingdom Medicines and Healthcare products Regulatory Agency, or other foreign regulatory authority approvals relating to our current and future product candidates;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future expectations, plans and prospects, including the estimates of costs that we expect to incur in connection with any future restructuring and the timing thereof;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develop and advance our current and future product candidates and programs into, and successfully complete, clinical trials;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our ability to regain and maintain compliance with the continued listing requirements of Nasdaq;</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establish future or maintain current collaborations or strategic relationships;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rate and degree of market acceptance and clinical utility of our current and future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expectations surrounding the payments we could potentially receive pursuant to our collaborations and license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and willingness of our third-party collaborators to continue research and development activities relating to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obtain, maintain, defend and enforce our intellectual property protection for our product candidates, and the scope of such protection;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manufacturing, commercialization and marketing capabilities and strategy;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agreements with third parties in connection with the commercialization of our product candidates, if approved, and any other approved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competitive companies, technologies and our industry and the success of competing therapies that are or may become available;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obtain funding for our operations, including funding necessary to complete further development and commercialization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accuracy of our estimates of our annual total addressable markets, future revenue, expenses, capital requirements and needs for additional financing;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about market trends;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our ability to anticipate and overcome challenges posed to the conduct of our business in the event of a global pandemic or similar event;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global economic and political developments on our business, including inflationary pressures, volatile interest rates, variable tariff policies or intensified disruptions in the global financial markets, the change in the U.S. presidential administration, the conflict in Ukraine, the conflict in Iran, the conflict in Israel and Gaza, disruptions in the banking industry, economic sanctions and economic slowdowns or recessions that may result from such developments;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regarding the period during which we qualify as an emerging growth company under the JOBS 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Quarterly Report to the terms “Barinthus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Bio,” “the Company,” “we,” “us,” “our,” and similar designations refer to Barinthus Biotherapeutics plc and, where appropriate, our wholly-owned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shares of equity securities sold, and options granted, by us during the three and six months ended June 30, 2026 that were not registered under the Securities Act.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Purchase of Equity Securities</w:t>
      </w:r>
    </w:p>
    <w:p>
      <w:pPr>
        <w:pStyle w:val="TextBody"/>
        <w:bidi w:val="0"/>
        <w:spacing w:lineRule="auto" w:line="276" w:before="120" w:after="283"/>
        <w:jc w:val="both"/>
        <w:rPr/>
      </w:pPr>
      <w:r>
        <w:rPr>
          <w:rFonts w:ascii="Times New Roman;serif" w:hAnsi="Times New Roman;serif"/>
          <w:b w:val="false"/>
          <w:color w:val="000000"/>
          <w:sz w:val="20"/>
        </w:rPr>
        <w:t>None</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3.      Defaults Upon Senior Securities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4.      Mine Safety Disclosures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5.      Other Information</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modified, or terminated a Rule 10b5-1 trading arrangement or a non-Rule 10b5-1 trading arrangement during the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Exhibits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400"/>
        <w:gridCol w:w="351"/>
        <w:gridCol w:w="352"/>
        <w:gridCol w:w="2730"/>
        <w:gridCol w:w="2628"/>
        <w:gridCol w:w="3744"/>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Articles of Association of the Registrant (Incorporated herein by reference to Exhibit 3.1 to the Registrant’s Form 8-K (File No. 001-40367) filed with the Securities and Exchange Commission on May 10, 2021)</w:t>
              </w:r>
            </w:hyperlink>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ns-20260630xexx311.htm">
              <w:r>
                <w:rPr>
                  <w:rStyle w:val="InternetLink"/>
                  <w:rFonts w:ascii="Times New Roman;serif" w:hAnsi="Times New Roman;serif"/>
                  <w:b w:val="false"/>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ns-20260630xexx321.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as Inline XBRL with applicable taxonomy extension information contained in Exhibits 101)</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6da6254a1fab4c5da652e3a4fb45874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564" w:type="dxa"/>
        <w:jc w:val="left"/>
        <w:tblInd w:w="0" w:type="dxa"/>
        <w:tblLayout w:type="fixed"/>
        <w:tblCellMar>
          <w:top w:w="28" w:type="dxa"/>
          <w:left w:w="28" w:type="dxa"/>
          <w:bottom w:w="28" w:type="dxa"/>
          <w:right w:w="28" w:type="dxa"/>
        </w:tblCellMar>
      </w:tblPr>
      <w:tblGrid>
        <w:gridCol w:w="667"/>
        <w:gridCol w:w="587"/>
        <w:gridCol w:w="590"/>
        <w:gridCol w:w="570"/>
        <w:gridCol w:w="570"/>
        <w:gridCol w:w="570"/>
        <w:gridCol w:w="1466"/>
        <w:gridCol w:w="1466"/>
        <w:gridCol w:w="207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BARINTHUS BIOTHERAPEUTICS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William Enright</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pPr>
      <w:r>
        <w:rPr>
          <w:rFonts w:ascii="Times New Roman;serif" w:hAnsi="Times New Roman;serif"/>
          <w:b/>
          <w:color w:val="000000"/>
          <w:sz w:val="20"/>
        </w:rPr>
        <w:t>RULES 13a-14</w:t>
      </w:r>
      <w:r>
        <w:rPr>
          <w:rFonts w:ascii="Times New Roman;serif" w:hAnsi="Times New Roman;serif"/>
          <w:b w:val="false"/>
          <w:color w:val="000000"/>
          <w:sz w:val="20"/>
        </w:rPr>
        <w:t>(</w:t>
      </w:r>
      <w:r>
        <w:rPr>
          <w:rFonts w:ascii="Times New Roman;serif" w:hAnsi="Times New Roman;serif"/>
          <w:b/>
          <w:color w:val="000000"/>
          <w:sz w:val="20"/>
        </w:rPr>
        <w:t>a</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AND 15d-14</w:t>
      </w:r>
      <w:r>
        <w:rPr>
          <w:rFonts w:ascii="Times New Roman;serif" w:hAnsi="Times New Roman;serif"/>
          <w:b w:val="false"/>
          <w:color w:val="000000"/>
          <w:sz w:val="20"/>
        </w:rPr>
        <w:t>(</w:t>
      </w:r>
      <w:r>
        <w:rPr>
          <w:rFonts w:ascii="Times New Roman;serif" w:hAnsi="Times New Roman;serif"/>
          <w:b/>
          <w:color w:val="000000"/>
          <w:sz w:val="20"/>
        </w:rPr>
        <w:t>a</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UNDER THE SECURITIES EXCHANGE ACT OF 1934</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Enright,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Barinthus Biotherapeutics plc;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854" w:type="dxa"/>
        <w:jc w:val="left"/>
        <w:tblInd w:w="0" w:type="dxa"/>
        <w:tblLayout w:type="fixed"/>
        <w:tblCellMar>
          <w:top w:w="28" w:type="dxa"/>
          <w:left w:w="28" w:type="dxa"/>
          <w:bottom w:w="28" w:type="dxa"/>
          <w:right w:w="28" w:type="dxa"/>
        </w:tblCellMar>
      </w:tblPr>
      <w:tblGrid>
        <w:gridCol w:w="667"/>
        <w:gridCol w:w="586"/>
        <w:gridCol w:w="591"/>
        <w:gridCol w:w="1465"/>
        <w:gridCol w:w="1465"/>
        <w:gridCol w:w="208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ind w:left="0" w:right="0" w:hanging="216"/>
        <w:jc w:val="center"/>
        <w:rPr/>
      </w:pPr>
      <w:r>
        <w:rPr>
          <w:rFonts w:ascii="Times New Roman;serif" w:hAnsi="Times New Roman;serif"/>
          <w:b/>
          <w:color w:val="000000"/>
          <w:sz w:val="20"/>
        </w:rPr>
        <w:t>18U</w:t>
      </w:r>
      <w:r>
        <w:rPr>
          <w:rFonts w:ascii="Times New Roman;serif" w:hAnsi="Times New Roman;serif"/>
          <w:b w:val="false"/>
          <w:color w:val="000000"/>
          <w:sz w:val="20"/>
        </w:rPr>
        <w:t>.</w:t>
      </w:r>
      <w:r>
        <w:rPr>
          <w:rFonts w:ascii="Times New Roman;serif" w:hAnsi="Times New Roman;serif"/>
          <w:b/>
          <w:color w:val="000000"/>
          <w:sz w:val="20"/>
        </w:rPr>
        <w:t>S</w:t>
      </w:r>
      <w:r>
        <w:rPr>
          <w:rFonts w:ascii="Times New Roman;serif" w:hAnsi="Times New Roman;serif"/>
          <w:b w:val="false"/>
          <w:color w:val="000000"/>
          <w:sz w:val="20"/>
        </w:rPr>
        <w:t>.</w:t>
      </w:r>
      <w:r>
        <w:rPr>
          <w:rFonts w:ascii="Times New Roman;serif" w:hAnsi="Times New Roman;serif"/>
          <w:b/>
          <w:color w:val="000000"/>
          <w:sz w:val="20"/>
        </w:rPr>
        <w:t>C</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SECTION 1350</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Barinthus Biotherapeutics plc (the “Company”) on Form 10-Q for the period ending June 30, 2026 as filed with the Securities and Exchange Commission on the date hereof (the “Report”), the undersigned officer of the Company certifies, pursuant to 18 U.S.C. § 1350, as adopted pursuant to § 906 of the Sarbanes-Oxley Act of 2002, to the best of his knowledge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854" w:type="dxa"/>
        <w:jc w:val="left"/>
        <w:tblInd w:w="0" w:type="dxa"/>
        <w:tblLayout w:type="fixed"/>
        <w:tblCellMar>
          <w:top w:w="28" w:type="dxa"/>
          <w:left w:w="28" w:type="dxa"/>
          <w:bottom w:w="28" w:type="dxa"/>
          <w:right w:w="28" w:type="dxa"/>
        </w:tblCellMar>
      </w:tblPr>
      <w:tblGrid>
        <w:gridCol w:w="667"/>
        <w:gridCol w:w="587"/>
        <w:gridCol w:w="590"/>
        <w:gridCol w:w="1465"/>
        <w:gridCol w:w="1465"/>
        <w:gridCol w:w="208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William Enright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185/000110465921063872/tm2115595d1_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20028</Words>
  <Characters>113379</Characters>
  <CharactersWithSpaces>132195</CharactersWithSpaces>
  <Paragraphs>1943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