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6820"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408305</wp:posOffset>
            </wp:positionV>
            <wp:extent cx="6306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68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UNITED STATES</w:t>
      </w:r>
    </w:p>
    <w:p>
      <w:pPr>
        <w:jc w:val="center"/>
        <w:ind w:right="-39"/>
        <w:spacing w:after="0" w:line="234" w:lineRule="auto"/>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39" w:lineRule="exact"/>
        <w:rPr>
          <w:sz w:val="24"/>
          <w:szCs w:val="24"/>
          <w:color w:val="auto"/>
        </w:rPr>
      </w:pPr>
    </w:p>
    <w:p>
      <w:pPr>
        <w:ind w:left="440" w:hanging="390"/>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fiscal year ended December 31, 2022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or</w:t>
      </w:r>
    </w:p>
    <w:p>
      <w:pPr>
        <w:spacing w:after="0" w:line="90" w:lineRule="exact"/>
        <w:rPr>
          <w:sz w:val="24"/>
          <w:szCs w:val="24"/>
          <w:color w:val="auto"/>
        </w:rPr>
      </w:pPr>
    </w:p>
    <w:p>
      <w:pPr>
        <w:ind w:left="440" w:hanging="390"/>
        <w:spacing w:after="0"/>
        <w:tabs>
          <w:tab w:leader="none" w:pos="4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Commission file number: 001-40367</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VACCITECH PLC</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9900"/>
          </w:cols>
          <w:pgMar w:left="980" w:top="637" w:right="1019" w:bottom="1440" w:gutter="0" w:footer="0" w:header="0"/>
        </w:sectPr>
      </w:pPr>
    </w:p>
    <w:p>
      <w:pPr>
        <w:spacing w:after="0" w:line="169" w:lineRule="exact"/>
        <w:rPr>
          <w:sz w:val="24"/>
          <w:szCs w:val="24"/>
          <w:color w:val="auto"/>
        </w:rPr>
      </w:pPr>
    </w:p>
    <w:p>
      <w:pPr>
        <w:jc w:val="center"/>
        <w:ind w:right="3960"/>
        <w:spacing w:after="0"/>
        <w:rPr>
          <w:sz w:val="20"/>
          <w:szCs w:val="20"/>
          <w:color w:val="auto"/>
        </w:rPr>
      </w:pPr>
      <w:r>
        <w:rPr>
          <w:rFonts w:ascii="Times New Roman" w:cs="Times New Roman" w:eastAsia="Times New Roman" w:hAnsi="Times New Roman"/>
          <w:sz w:val="12"/>
          <w:szCs w:val="12"/>
          <w:b w:val="1"/>
          <w:bCs w:val="1"/>
          <w:color w:val="auto"/>
        </w:rPr>
        <w:t>England and Wales</w:t>
      </w:r>
    </w:p>
    <w:p>
      <w:pPr>
        <w:spacing w:after="0" w:line="29" w:lineRule="exact"/>
        <w:rPr>
          <w:sz w:val="24"/>
          <w:szCs w:val="24"/>
          <w:color w:val="auto"/>
        </w:rPr>
      </w:pPr>
    </w:p>
    <w:p>
      <w:pPr>
        <w:jc w:val="center"/>
        <w:ind w:right="396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w:t>
      </w:r>
    </w:p>
    <w:p>
      <w:pPr>
        <w:spacing w:after="0" w:line="18" w:lineRule="exact"/>
        <w:rPr>
          <w:sz w:val="24"/>
          <w:szCs w:val="24"/>
          <w:color w:val="auto"/>
        </w:rPr>
      </w:pPr>
    </w:p>
    <w:p>
      <w:pPr>
        <w:jc w:val="center"/>
        <w:ind w:right="3960"/>
        <w:spacing w:after="0"/>
        <w:rPr>
          <w:sz w:val="20"/>
          <w:szCs w:val="20"/>
          <w:color w:val="auto"/>
        </w:rPr>
      </w:pPr>
      <w:r>
        <w:rPr>
          <w:rFonts w:ascii="Times New Roman" w:cs="Times New Roman" w:eastAsia="Times New Roman" w:hAnsi="Times New Roman"/>
          <w:sz w:val="12"/>
          <w:szCs w:val="12"/>
          <w:b w:val="1"/>
          <w:bCs w:val="1"/>
          <w:color w:val="auto"/>
        </w:rPr>
        <w:t>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p>
      <w:pPr>
        <w:spacing w:after="0" w:line="355" w:lineRule="exact"/>
        <w:rPr>
          <w:sz w:val="24"/>
          <w:szCs w:val="24"/>
          <w:color w:val="auto"/>
        </w:rPr>
      </w:pPr>
    </w:p>
    <w:p>
      <w:pPr>
        <w:sectPr>
          <w:pgSz w:w="11900" w:h="16838" w:orient="portrait"/>
          <w:cols w:equalWidth="0" w:num="2">
            <w:col w:w="6900" w:space="720"/>
            <w:col w:w="2280"/>
          </w:cols>
          <w:pgMar w:left="980" w:top="637" w:right="1019" w:bottom="1440" w:gutter="0" w:footer="0" w:header="0"/>
          <w:type w:val="continuous"/>
        </w:sectPr>
      </w:pP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Unit 6-10, Zeus Building</w:t>
      </w:r>
    </w:p>
    <w:p>
      <w:pPr>
        <w:jc w:val="center"/>
        <w:ind w:right="-39"/>
        <w:spacing w:after="0" w:line="234" w:lineRule="auto"/>
        <w:rPr>
          <w:sz w:val="20"/>
          <w:szCs w:val="20"/>
          <w:color w:val="auto"/>
        </w:rPr>
      </w:pPr>
      <w:r>
        <w:rPr>
          <w:rFonts w:ascii="Times New Roman" w:cs="Times New Roman" w:eastAsia="Times New Roman" w:hAnsi="Times New Roman"/>
          <w:sz w:val="12"/>
          <w:szCs w:val="12"/>
          <w:b w:val="1"/>
          <w:bCs w:val="1"/>
          <w:color w:val="auto"/>
        </w:rPr>
        <w:t>Rutherford Avenue</w:t>
      </w:r>
    </w:p>
    <w:p>
      <w:pPr>
        <w:jc w:val="center"/>
        <w:ind w:right="-39"/>
        <w:spacing w:after="0" w:line="224" w:lineRule="auto"/>
        <w:rPr>
          <w:sz w:val="20"/>
          <w:szCs w:val="20"/>
          <w:color w:val="auto"/>
        </w:rPr>
      </w:pPr>
      <w:r>
        <w:rPr>
          <w:rFonts w:ascii="Times New Roman" w:cs="Times New Roman" w:eastAsia="Times New Roman" w:hAnsi="Times New Roman"/>
          <w:sz w:val="12"/>
          <w:szCs w:val="12"/>
          <w:b w:val="1"/>
          <w:bCs w:val="1"/>
          <w:color w:val="auto"/>
        </w:rPr>
        <w:t>Harwell</w:t>
      </w:r>
    </w:p>
    <w:p>
      <w:pPr>
        <w:jc w:val="center"/>
        <w:ind w:right="-39"/>
        <w:spacing w:after="0" w:line="223" w:lineRule="auto"/>
        <w:rPr>
          <w:sz w:val="20"/>
          <w:szCs w:val="20"/>
          <w:color w:val="auto"/>
        </w:rPr>
      </w:pPr>
      <w:r>
        <w:rPr>
          <w:rFonts w:ascii="Times New Roman" w:cs="Times New Roman" w:eastAsia="Times New Roman" w:hAnsi="Times New Roman"/>
          <w:sz w:val="12"/>
          <w:szCs w:val="12"/>
          <w:b w:val="1"/>
          <w:bCs w:val="1"/>
          <w:color w:val="auto"/>
        </w:rPr>
        <w:t>Didcot, OX11 0DF, United Kingdom</w:t>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(Address of principle executive offices) (Zip Code)</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+44 (0) 1865 818 808</w:t>
      </w:r>
    </w:p>
    <w:p>
      <w:pPr>
        <w:spacing w:after="0" w:line="1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ectPr>
          <w:pgSz w:w="11900" w:h="16838" w:orient="portrait"/>
          <w:cols w:equalWidth="0" w:num="1">
            <w:col w:w="9900"/>
          </w:cols>
          <w:pgMar w:left="980" w:top="637" w:right="1019" w:bottom="1440" w:gutter="0" w:footer="0" w:header="0"/>
          <w:type w:val="continuous"/>
        </w:sectPr>
      </w:pPr>
    </w:p>
    <w:p>
      <w:pPr>
        <w:spacing w:after="0" w:line="35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84" w:lineRule="exact"/>
        <w:rPr>
          <w:sz w:val="24"/>
          <w:szCs w:val="24"/>
          <w:color w:val="auto"/>
        </w:rPr>
      </w:pPr>
    </w:p>
    <w:p>
      <w:pPr>
        <w:sectPr>
          <w:pgSz w:w="11900" w:h="16838" w:orient="portrait"/>
          <w:cols w:equalWidth="0" w:num="3">
            <w:col w:w="4220" w:space="720"/>
            <w:col w:w="1860" w:space="720"/>
            <w:col w:w="2380"/>
          </w:cols>
          <w:pgMar w:left="980" w:top="637" w:right="10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1"/>
          <w:szCs w:val="11"/>
          <w:color w:val="auto"/>
        </w:rPr>
        <w:t>American Depositary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VACC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Nasdaq Global Market</w:t>
      </w:r>
    </w:p>
    <w:p>
      <w:pPr>
        <w:spacing w:after="0" w:line="29" w:lineRule="exact"/>
        <w:rPr>
          <w:sz w:val="24"/>
          <w:szCs w:val="24"/>
          <w:color w:val="auto"/>
        </w:rPr>
      </w:pPr>
    </w:p>
    <w:p>
      <w:pPr>
        <w:sectPr>
          <w:pgSz w:w="11900" w:h="16838" w:orient="portrait"/>
          <w:cols w:equalWidth="0" w:num="3">
            <w:col w:w="4540" w:space="720"/>
            <w:col w:w="2000" w:space="720"/>
            <w:col w:w="1920"/>
          </w:cols>
          <w:pgMar w:left="980" w:top="637" w:right="10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2"/>
          <w:szCs w:val="12"/>
          <w:color w:val="auto"/>
        </w:rPr>
        <w:t>Ordinary shares, nominal value £0.000025 per share**</w:t>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*American Depositary Shares may be evidenced by American Depositary Receipts. Each American Depositary Share represents one (1) ordinary share.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**Not for trading, but only in connection with the listing of American Depositary Shares on The Nasdaq Global Market.</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p>
      <w:pPr>
        <w:sectPr>
          <w:pgSz w:w="11900" w:h="16838" w:orient="portrait"/>
          <w:cols w:equalWidth="0" w:num="1">
            <w:col w:w="9900"/>
          </w:cols>
          <w:pgMar w:left="980" w:top="637" w:right="1019" w:bottom="1440" w:gutter="0" w:footer="0" w:header="0"/>
          <w:type w:val="continuous"/>
        </w:sectPr>
      </w:pP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3">
            <w:col w:w="5900" w:space="60"/>
            <w:col w:w="100" w:space="120"/>
            <w:col w:w="3720"/>
          </w:cols>
          <w:pgMar w:left="980" w:top="637" w:right="101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1" w:lineRule="exact"/>
        <w:rPr>
          <w:sz w:val="24"/>
          <w:szCs w:val="24"/>
          <w:color w:val="auto"/>
        </w:rPr>
      </w:pPr>
    </w:p>
    <w:p>
      <w:pPr>
        <w:sectPr>
          <w:pgSz w:w="11900" w:h="16838" w:orient="portrait"/>
          <w:cols w:equalWidth="0" w:num="4">
            <w:col w:w="5600" w:space="60"/>
            <w:col w:w="120" w:space="120"/>
            <w:col w:w="140" w:space="60"/>
            <w:col w:w="3800"/>
          </w:cols>
          <w:pgMar w:left="980" w:top="637" w:right="1019" w:bottom="1440" w:gutter="0" w:footer="0" w:header="0"/>
          <w:type w:val="continuous"/>
        </w:sectPr>
      </w:pPr>
    </w:p>
    <w:p>
      <w:pPr>
        <w:ind w:right="80"/>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6" w:lineRule="exact"/>
        <w:rPr>
          <w:sz w:val="24"/>
          <w:szCs w:val="24"/>
          <w:color w:val="auto"/>
        </w:rPr>
      </w:pPr>
    </w:p>
    <w:p>
      <w:pPr>
        <w:ind w:right="100"/>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6" w:lineRule="exact"/>
        <w:rPr>
          <w:sz w:val="24"/>
          <w:szCs w:val="24"/>
          <w:color w:val="auto"/>
        </w:rPr>
      </w:pPr>
    </w:p>
    <w:p>
      <w:pPr>
        <w:ind w:right="240"/>
        <w:spacing w:after="0" w:line="25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p>
      <w:pPr>
        <w:ind w:left="320"/>
        <w:spacing w:after="0" w:line="253" w:lineRule="exact"/>
        <w:tabs>
          <w:tab w:leader="none" w:pos="1780" w:val="left"/>
          <w:tab w:leader="none" w:pos="2420" w:val="left"/>
          <w:tab w:leader="none" w:pos="3720" w:val="left"/>
          <w:tab w:leader="none" w:pos="4280" w:val="left"/>
          <w:tab w:leader="none" w:pos="5700" w:val="left"/>
          <w:tab w:leader="none" w:pos="6120" w:val="left"/>
          <w:tab w:leader="none" w:pos="7680" w:val="left"/>
          <w:tab w:leader="none" w:pos="8100" w:val="left"/>
          <w:tab w:leader="none" w:pos="9660" w:val="left"/>
        </w:tabs>
        <w:rPr>
          <w:sz w:val="20"/>
          <w:szCs w:val="20"/>
          <w:color w:val="auto"/>
        </w:rPr>
      </w:pPr>
      <w:r>
        <w:rPr>
          <w:rFonts w:ascii="Times New Roman" w:cs="Times New Roman" w:eastAsia="Times New Roman" w:hAnsi="Times New Roman"/>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22"/>
          <w:szCs w:val="22"/>
          <w:color w:val="auto"/>
          <w:vertAlign w:val="superscript"/>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22"/>
          <w:szCs w:val="22"/>
          <w:color w:val="auto"/>
          <w:vertAlign w:val="superscript"/>
        </w:rPr>
        <w:t>Emerging growth company</w:t>
      </w:r>
      <w:r>
        <w:rPr>
          <w:sz w:val="20"/>
          <w:szCs w:val="20"/>
          <w:color w:val="auto"/>
        </w:rPr>
        <w:tab/>
      </w:r>
      <w:r>
        <w:rPr>
          <w:rFonts w:ascii="MS PGothic" w:cs="MS PGothic" w:eastAsia="MS PGothic" w:hAnsi="MS PGothic"/>
          <w:sz w:val="12"/>
          <w:szCs w:val="12"/>
          <w:color w:val="auto"/>
        </w:rPr>
        <w:t>☒</w:t>
      </w:r>
    </w:p>
    <w:p>
      <w:pPr>
        <w:spacing w:after="0" w:line="55" w:lineRule="exact"/>
        <w:rPr>
          <w:sz w:val="24"/>
          <w:szCs w:val="24"/>
          <w:color w:val="auto"/>
        </w:rPr>
      </w:pPr>
    </w:p>
    <w:p>
      <w:pPr>
        <w:ind w:right="80"/>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5" w:lineRule="exact"/>
        <w:rPr>
          <w:sz w:val="24"/>
          <w:szCs w:val="24"/>
          <w:color w:val="auto"/>
        </w:rPr>
      </w:pPr>
    </w:p>
    <w:p>
      <w:pPr>
        <w:ind w:right="100"/>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4" w:lineRule="exact"/>
        <w:rPr>
          <w:sz w:val="24"/>
          <w:szCs w:val="24"/>
          <w:color w:val="auto"/>
        </w:rPr>
      </w:pPr>
    </w:p>
    <w:p>
      <w:pPr>
        <w:ind w:right="100"/>
        <w:spacing w:after="0" w:line="154"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4" w:lineRule="exact"/>
        <w:rPr>
          <w:sz w:val="24"/>
          <w:szCs w:val="24"/>
          <w:color w:val="auto"/>
        </w:rPr>
      </w:pPr>
    </w:p>
    <w:p>
      <w:pPr>
        <w:ind w:right="40"/>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tabs>
          <w:tab w:leader="none" w:pos="5040" w:val="left"/>
          <w:tab w:leader="none" w:pos="550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14" w:lineRule="exact"/>
        <w:rPr>
          <w:sz w:val="24"/>
          <w:szCs w:val="24"/>
          <w:color w:val="auto"/>
        </w:rPr>
      </w:pPr>
    </w:p>
    <w:p>
      <w:pPr>
        <w:ind w:right="60"/>
        <w:spacing w:after="0" w:line="252" w:lineRule="auto"/>
        <w:rPr>
          <w:sz w:val="20"/>
          <w:szCs w:val="20"/>
          <w:color w:val="auto"/>
        </w:rPr>
      </w:pPr>
      <w:r>
        <w:rPr>
          <w:rFonts w:ascii="Times New Roman" w:cs="Times New Roman" w:eastAsia="Times New Roman" w:hAnsi="Times New Roman"/>
          <w:sz w:val="12"/>
          <w:szCs w:val="12"/>
          <w:color w:val="auto"/>
        </w:rPr>
        <w:t>As of the last business day of the registrant’s most recently completed second fiscal quarter, the aggregate market value of the registrant’s ordinary shares, nominal value £0.000025 per share, in the form of American Depositary Shares, held by non-affiliates was approximately $165.6 million.</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outstanding of the registrant’s ordinary shares, nominal value £0.000025 per share, as of March 17, 2023: 38,338,764 shares.</w:t>
      </w:r>
    </w:p>
    <w:p>
      <w:pPr>
        <w:spacing w:after="0" w:line="8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97"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Securities and Exchange Commission relative to the registrant’s 2023 Annual Meeting of Shareholders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438150</wp:posOffset>
            </wp:positionV>
            <wp:extent cx="630682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6820" cy="2476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38100</wp:posOffset>
            </wp:positionV>
            <wp:extent cx="6306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68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79375</wp:posOffset>
            </wp:positionV>
            <wp:extent cx="630682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6820" cy="32385"/>
                    </a:xfrm>
                    <a:prstGeom prst="rect">
                      <a:avLst/>
                    </a:prstGeom>
                    <a:noFill/>
                  </pic:spPr>
                </pic:pic>
              </a:graphicData>
            </a:graphic>
          </wp:anchor>
        </w:drawing>
      </w:r>
    </w:p>
    <w:p>
      <w:pPr>
        <w:sectPr>
          <w:pgSz w:w="11900" w:h="16838" w:orient="portrait"/>
          <w:cols w:equalWidth="0" w:num="1">
            <w:col w:w="9900"/>
          </w:cols>
          <w:pgMar w:left="980" w:top="637"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39"/>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10"/>
          </w:tcPr>
          <w:p>
            <w:pPr>
              <w:jc w:val="center"/>
              <w:ind w:right="3200"/>
              <w:spacing w:after="0"/>
              <w:rPr>
                <w:sz w:val="20"/>
                <w:szCs w:val="20"/>
                <w:color w:val="auto"/>
              </w:rPr>
            </w:pPr>
            <w:r>
              <w:rPr>
                <w:rFonts w:ascii="Times New Roman" w:cs="Times New Roman" w:eastAsia="Times New Roman" w:hAnsi="Times New Roman"/>
                <w:sz w:val="17"/>
                <w:szCs w:val="17"/>
                <w:b w:val="1"/>
                <w:bCs w:val="1"/>
                <w:color w:val="auto"/>
                <w:w w:val="99"/>
              </w:rPr>
              <w:t>VACCITECH PLC.</w:t>
            </w:r>
          </w:p>
        </w:tc>
        <w:tc>
          <w:tcPr>
            <w:tcW w:w="92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12"/>
          </w:tcPr>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92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gridSpan w:val="16"/>
          </w:tcPr>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tc>
        <w:tc>
          <w:tcPr>
            <w:tcW w:w="92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12"/>
          </w:tcPr>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20" w:type="dxa"/>
            <w:vAlign w:val="bottom"/>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0000EE"/>
                <w:w w:val="90"/>
              </w:rPr>
              <w:t>PART I</w:t>
            </w:r>
          </w:p>
        </w:tc>
        <w:tc>
          <w:tcPr>
            <w:tcW w:w="6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w:t>
            </w:r>
          </w:p>
        </w:tc>
        <w:tc>
          <w:tcPr>
            <w:tcW w:w="6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Business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5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85"/>
              </w:rPr>
              <w:t>Item 1A.</w:t>
            </w: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Risk Factors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54</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5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87"/>
              </w:rPr>
              <w:t>Item 1B.</w:t>
            </w: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Unresolved Staff Comments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120</w:t>
            </w:r>
          </w:p>
        </w:tc>
      </w:tr>
      <w:tr>
        <w:trPr>
          <w:trHeight w:val="186"/>
        </w:trPr>
        <w:tc>
          <w:tcPr>
            <w:tcW w:w="60" w:type="dxa"/>
            <w:vAlign w:val="bottom"/>
          </w:tcPr>
          <w:p>
            <w:pPr>
              <w:spacing w:after="0"/>
              <w:rPr>
                <w:sz w:val="16"/>
                <w:szCs w:val="16"/>
                <w:color w:val="auto"/>
              </w:rPr>
            </w:pPr>
          </w:p>
        </w:tc>
        <w:tc>
          <w:tcPr>
            <w:tcW w:w="480" w:type="dxa"/>
            <w:vAlign w:val="bottom"/>
            <w:tcBorders>
              <w:top w:val="single" w:sz="8" w:color="0000EE"/>
              <w:bottom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1"/>
              </w:rPr>
              <w:t>Item 2.</w:t>
            </w:r>
          </w:p>
        </w:tc>
        <w:tc>
          <w:tcPr>
            <w:tcW w:w="80" w:type="dxa"/>
            <w:vAlign w:val="bottom"/>
            <w:tcBorders>
              <w:top w:val="single" w:sz="8" w:color="0000EE"/>
            </w:tcBorders>
          </w:tcPr>
          <w:p>
            <w:pPr>
              <w:spacing w:after="0"/>
              <w:rPr>
                <w:sz w:val="16"/>
                <w:szCs w:val="16"/>
                <w:color w:val="auto"/>
              </w:rPr>
            </w:pP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w w:val="98"/>
              </w:rPr>
              <w:t>Properties</w:t>
            </w:r>
          </w:p>
        </w:tc>
        <w:tc>
          <w:tcPr>
            <w:tcW w:w="1240" w:type="dxa"/>
            <w:vAlign w:val="bottom"/>
            <w:tcBorders>
              <w:top w:val="single" w:sz="8" w:color="0000EE"/>
            </w:tcBorders>
            <w:gridSpan w:val="7"/>
          </w:tcPr>
          <w:p>
            <w:pPr>
              <w:spacing w:after="0"/>
              <w:rPr>
                <w:sz w:val="16"/>
                <w:szCs w:val="16"/>
                <w:color w:val="auto"/>
              </w:rPr>
            </w:pPr>
          </w:p>
        </w:tc>
        <w:tc>
          <w:tcPr>
            <w:tcW w:w="5680" w:type="dxa"/>
            <w:vAlign w:val="bottom"/>
            <w:gridSpan w:val="12"/>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120</w:t>
            </w:r>
          </w:p>
        </w:tc>
      </w:tr>
      <w:tr>
        <w:trPr>
          <w:trHeight w:val="186"/>
        </w:trPr>
        <w:tc>
          <w:tcPr>
            <w:tcW w:w="60" w:type="dxa"/>
            <w:vAlign w:val="bottom"/>
          </w:tcPr>
          <w:p>
            <w:pPr>
              <w:spacing w:after="0"/>
              <w:rPr>
                <w:sz w:val="16"/>
                <w:szCs w:val="16"/>
                <w:color w:val="auto"/>
              </w:rPr>
            </w:pPr>
          </w:p>
        </w:tc>
        <w:tc>
          <w:tcPr>
            <w:tcW w:w="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0000EE"/>
                <w:w w:val="91"/>
              </w:rPr>
              <w:t>Item 3.</w:t>
            </w:r>
          </w:p>
        </w:tc>
        <w:tc>
          <w:tcPr>
            <w:tcW w:w="6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Legal Proceedings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121</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0000EE"/>
                <w:w w:val="91"/>
              </w:rPr>
              <w:t>Item 4.</w:t>
            </w:r>
          </w:p>
        </w:tc>
        <w:tc>
          <w:tcPr>
            <w:tcW w:w="6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Mine Safety Disclosures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121</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1"/>
        </w:trPr>
        <w:tc>
          <w:tcPr>
            <w:tcW w:w="6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b w:val="1"/>
                <w:bCs w:val="1"/>
                <w:color w:val="0000EE"/>
                <w:w w:val="97"/>
              </w:rPr>
              <w:t>PART II</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Item 5.</w:t>
            </w:r>
          </w:p>
        </w:tc>
        <w:tc>
          <w:tcPr>
            <w:tcW w:w="16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w:t>
            </w:r>
          </w:p>
        </w:tc>
        <w:tc>
          <w:tcPr>
            <w:tcW w:w="920" w:type="dxa"/>
            <w:vAlign w:val="bottom"/>
          </w:tcPr>
          <w:p>
            <w:pPr>
              <w:spacing w:after="0"/>
              <w:rPr>
                <w:sz w:val="24"/>
                <w:szCs w:val="24"/>
                <w:color w:val="auto"/>
              </w:rPr>
            </w:pPr>
          </w:p>
        </w:tc>
      </w:tr>
      <w:tr>
        <w:trPr>
          <w:trHeight w:val="186"/>
        </w:trPr>
        <w:tc>
          <w:tcPr>
            <w:tcW w:w="60" w:type="dxa"/>
            <w:vAlign w:val="bottom"/>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0000EE"/>
              <w:bottom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98"/>
              </w:rPr>
              <w:t>Securities</w:t>
            </w:r>
          </w:p>
        </w:tc>
        <w:tc>
          <w:tcPr>
            <w:tcW w:w="6280" w:type="dxa"/>
            <w:vAlign w:val="bottom"/>
            <w:tcBorders>
              <w:top w:val="single" w:sz="8" w:color="0000EE"/>
            </w:tcBorders>
            <w:gridSpan w:val="19"/>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122</w:t>
            </w:r>
          </w:p>
        </w:tc>
      </w:tr>
      <w:tr>
        <w:trPr>
          <w:trHeight w:val="186"/>
        </w:trPr>
        <w:tc>
          <w:tcPr>
            <w:tcW w:w="60" w:type="dxa"/>
            <w:vAlign w:val="bottom"/>
          </w:tcPr>
          <w:p>
            <w:pPr>
              <w:spacing w:after="0"/>
              <w:rPr>
                <w:sz w:val="16"/>
                <w:szCs w:val="16"/>
                <w:color w:val="auto"/>
              </w:rPr>
            </w:pPr>
          </w:p>
        </w:tc>
        <w:tc>
          <w:tcPr>
            <w:tcW w:w="480" w:type="dxa"/>
            <w:vAlign w:val="bottom"/>
            <w:tcBorders>
              <w:bottom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1"/>
              </w:rPr>
              <w:t>Item 6.</w:t>
            </w:r>
          </w:p>
        </w:tc>
        <w:tc>
          <w:tcPr>
            <w:tcW w:w="6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0000EE"/>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EE"/>
                <w:w w:val="99"/>
              </w:rPr>
              <w:t>[Reserved]</w:t>
            </w:r>
          </w:p>
        </w:tc>
        <w:tc>
          <w:tcPr>
            <w:tcW w:w="6860" w:type="dxa"/>
            <w:vAlign w:val="bottom"/>
            <w:gridSpan w:val="18"/>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123</w:t>
            </w:r>
          </w:p>
        </w:tc>
      </w:tr>
      <w:tr>
        <w:trPr>
          <w:trHeight w:val="186"/>
        </w:trPr>
        <w:tc>
          <w:tcPr>
            <w:tcW w:w="60" w:type="dxa"/>
            <w:vAlign w:val="bottom"/>
          </w:tcPr>
          <w:p>
            <w:pPr>
              <w:spacing w:after="0"/>
              <w:rPr>
                <w:sz w:val="16"/>
                <w:szCs w:val="16"/>
                <w:color w:val="auto"/>
              </w:rPr>
            </w:pPr>
          </w:p>
        </w:tc>
        <w:tc>
          <w:tcPr>
            <w:tcW w:w="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0000EE"/>
                <w:w w:val="91"/>
              </w:rPr>
              <w:t>Item 7.</w:t>
            </w:r>
          </w:p>
        </w:tc>
        <w:tc>
          <w:tcPr>
            <w:tcW w:w="6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123</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5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85"/>
              </w:rPr>
              <w:t>Item 7A.</w:t>
            </w: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139</w:t>
            </w:r>
          </w:p>
        </w:tc>
      </w:tr>
      <w:tr>
        <w:trPr>
          <w:trHeight w:val="186"/>
        </w:trPr>
        <w:tc>
          <w:tcPr>
            <w:tcW w:w="60" w:type="dxa"/>
            <w:vAlign w:val="bottom"/>
          </w:tcPr>
          <w:p>
            <w:pPr>
              <w:spacing w:after="0"/>
              <w:rPr>
                <w:sz w:val="16"/>
                <w:szCs w:val="16"/>
                <w:color w:val="auto"/>
              </w:rPr>
            </w:pPr>
          </w:p>
        </w:tc>
        <w:tc>
          <w:tcPr>
            <w:tcW w:w="480" w:type="dxa"/>
            <w:vAlign w:val="bottom"/>
            <w:tcBorders>
              <w:top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1"/>
              </w:rPr>
              <w:t>Item 8.</w:t>
            </w:r>
          </w:p>
        </w:tc>
        <w:tc>
          <w:tcPr>
            <w:tcW w:w="80" w:type="dxa"/>
            <w:vAlign w:val="bottom"/>
            <w:tcBorders>
              <w:top w:val="single" w:sz="8" w:color="0000EE"/>
            </w:tcBorders>
          </w:tcPr>
          <w:p>
            <w:pPr>
              <w:spacing w:after="0"/>
              <w:rPr>
                <w:sz w:val="16"/>
                <w:szCs w:val="16"/>
                <w:color w:val="auto"/>
              </w:rPr>
            </w:pP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tcBorders>
              <w:top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3480" w:type="dxa"/>
            <w:vAlign w:val="bottom"/>
            <w:gridSpan w:val="7"/>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140</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480" w:type="dxa"/>
            <w:vAlign w:val="bottom"/>
            <w:tcBorders>
              <w:bottom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1"/>
              </w:rPr>
              <w:t>Item 9.</w:t>
            </w:r>
          </w:p>
        </w:tc>
        <w:tc>
          <w:tcPr>
            <w:tcW w:w="6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6200" w:type="dxa"/>
            <w:vAlign w:val="bottom"/>
            <w:tcBorders>
              <w:bottom w:val="single" w:sz="8" w:color="0000EE"/>
            </w:tcBorders>
            <w:gridSpan w:val="19"/>
          </w:tcPr>
          <w:p>
            <w:pPr>
              <w:spacing w:after="0" w:line="185"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1420" w:type="dxa"/>
            <w:vAlign w:val="bottom"/>
            <w:gridSpan w:val="3"/>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141</w:t>
            </w:r>
          </w:p>
        </w:tc>
      </w:tr>
      <w:tr>
        <w:trPr>
          <w:trHeight w:val="186"/>
        </w:trPr>
        <w:tc>
          <w:tcPr>
            <w:tcW w:w="60" w:type="dxa"/>
            <w:vAlign w:val="bottom"/>
          </w:tcPr>
          <w:p>
            <w:pPr>
              <w:spacing w:after="0"/>
              <w:rPr>
                <w:sz w:val="16"/>
                <w:szCs w:val="16"/>
                <w:color w:val="auto"/>
              </w:rPr>
            </w:pPr>
          </w:p>
        </w:tc>
        <w:tc>
          <w:tcPr>
            <w:tcW w:w="5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85"/>
              </w:rPr>
              <w:t>Item 9A.</w:t>
            </w: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Controls and Procedures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141</w:t>
            </w:r>
          </w:p>
        </w:tc>
      </w:tr>
      <w:tr>
        <w:trPr>
          <w:trHeight w:val="186"/>
        </w:trPr>
        <w:tc>
          <w:tcPr>
            <w:tcW w:w="60" w:type="dxa"/>
            <w:vAlign w:val="bottom"/>
          </w:tcPr>
          <w:p>
            <w:pPr>
              <w:spacing w:after="0"/>
              <w:rPr>
                <w:sz w:val="16"/>
                <w:szCs w:val="16"/>
                <w:color w:val="auto"/>
              </w:rPr>
            </w:pPr>
          </w:p>
        </w:tc>
        <w:tc>
          <w:tcPr>
            <w:tcW w:w="560" w:type="dxa"/>
            <w:vAlign w:val="bottom"/>
            <w:tcBorders>
              <w:top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87"/>
              </w:rPr>
              <w:t>Item 9B.</w:t>
            </w:r>
          </w:p>
        </w:tc>
        <w:tc>
          <w:tcPr>
            <w:tcW w:w="60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top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rPr>
              <w:t>Other Information</w:t>
            </w:r>
          </w:p>
        </w:tc>
        <w:tc>
          <w:tcPr>
            <w:tcW w:w="5940" w:type="dxa"/>
            <w:vAlign w:val="bottom"/>
            <w:gridSpan w:val="14"/>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143</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1220" w:type="dxa"/>
            <w:vAlign w:val="bottom"/>
            <w:gridSpan w:val="8"/>
          </w:tcPr>
          <w:p>
            <w:pPr>
              <w:ind w:left="40"/>
              <w:spacing w:after="0" w:line="185" w:lineRule="exact"/>
              <w:rPr>
                <w:sz w:val="20"/>
                <w:szCs w:val="20"/>
                <w:color w:val="auto"/>
              </w:rPr>
            </w:pPr>
            <w:r>
              <w:rPr>
                <w:rFonts w:ascii="Times New Roman" w:cs="Times New Roman" w:eastAsia="Times New Roman" w:hAnsi="Times New Roman"/>
                <w:sz w:val="17"/>
                <w:szCs w:val="17"/>
                <w:color w:val="0000EE"/>
              </w:rPr>
              <w:t>Item 9C.</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143</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1"/>
        </w:trPr>
        <w:tc>
          <w:tcPr>
            <w:tcW w:w="60" w:type="dxa"/>
            <w:vAlign w:val="bottom"/>
          </w:tcPr>
          <w:p>
            <w:pPr>
              <w:spacing w:after="0"/>
              <w:rPr>
                <w:sz w:val="24"/>
                <w:szCs w:val="24"/>
                <w:color w:val="auto"/>
              </w:rPr>
            </w:pPr>
          </w:p>
        </w:tc>
        <w:tc>
          <w:tcPr>
            <w:tcW w:w="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b w:val="1"/>
                <w:bCs w:val="1"/>
                <w:color w:val="0000EE"/>
                <w:w w:val="96"/>
              </w:rPr>
              <w:t>PART III</w:t>
            </w:r>
          </w:p>
        </w:tc>
        <w:tc>
          <w:tcPr>
            <w:tcW w:w="4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Item 10.</w:t>
            </w:r>
          </w:p>
        </w:tc>
        <w:tc>
          <w:tcPr>
            <w:tcW w:w="16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16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Item 11.</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Executive Compensation</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144</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16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Item 12.</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144</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16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Item 13.</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144</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16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Item 14.</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144</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1"/>
        </w:trPr>
        <w:tc>
          <w:tcPr>
            <w:tcW w:w="60" w:type="dxa"/>
            <w:vAlign w:val="bottom"/>
          </w:tcPr>
          <w:p>
            <w:pPr>
              <w:spacing w:after="0"/>
              <w:rPr>
                <w:sz w:val="24"/>
                <w:szCs w:val="24"/>
                <w:color w:val="auto"/>
              </w:rPr>
            </w:pPr>
          </w:p>
        </w:tc>
        <w:tc>
          <w:tcPr>
            <w:tcW w:w="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b w:val="1"/>
                <w:bCs w:val="1"/>
                <w:color w:val="0000EE"/>
                <w:w w:val="95"/>
              </w:rPr>
              <w:t>PART IV</w:t>
            </w:r>
          </w:p>
        </w:tc>
        <w:tc>
          <w:tcPr>
            <w:tcW w:w="4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Item 15.</w:t>
            </w:r>
          </w:p>
        </w:tc>
        <w:tc>
          <w:tcPr>
            <w:tcW w:w="16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Exhibits, Financial Statement Schedules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16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Item 16.</w:t>
            </w:r>
          </w:p>
        </w:tc>
        <w:tc>
          <w:tcPr>
            <w:tcW w:w="160" w:type="dxa"/>
            <w:vAlign w:val="bottom"/>
          </w:tcPr>
          <w:p>
            <w:pPr>
              <w:spacing w:after="0"/>
              <w:rPr>
                <w:sz w:val="16"/>
                <w:szCs w:val="16"/>
                <w:color w:val="auto"/>
              </w:rPr>
            </w:pPr>
          </w:p>
        </w:tc>
        <w:tc>
          <w:tcPr>
            <w:tcW w:w="7620" w:type="dxa"/>
            <w:vAlign w:val="bottom"/>
            <w:gridSpan w:val="22"/>
          </w:tcPr>
          <w:p>
            <w:pPr>
              <w:spacing w:after="0" w:line="185" w:lineRule="exact"/>
              <w:rPr>
                <w:sz w:val="20"/>
                <w:szCs w:val="20"/>
                <w:color w:val="auto"/>
              </w:rPr>
            </w:pPr>
            <w:r>
              <w:rPr>
                <w:rFonts w:ascii="Times New Roman" w:cs="Times New Roman" w:eastAsia="Times New Roman" w:hAnsi="Times New Roman"/>
                <w:sz w:val="17"/>
                <w:szCs w:val="17"/>
                <w:color w:val="0000EE"/>
              </w:rPr>
              <w:t>Form 10-K Summary</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147</w:t>
            </w: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1"/>
        </w:trPr>
        <w:tc>
          <w:tcPr>
            <w:tcW w:w="1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8"/>
              </w:rPr>
              <w:t>SIGNATURES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84"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own various trademark registrations and applications, and unregistered trademarks, including our name, our corporate logo and technologies acquired as part of our acquisition of Avidea Technologies, Inc. in December 2021. We own the Vaccitech registered trademark for the United Kingdom.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From time to time, we may use our website, our Twitter account at @Vaccitechplc and our LinkedIn account at linkedin.com/company/Vaccitech-plc/to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Twitter posts and our LinkedIn posts are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Annual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 looking statements and opinions contained in this Annual Report are based upon information available to our management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Annual Report include, but are not limited to, statements about:</w:t>
      </w:r>
    </w:p>
    <w:p>
      <w:pPr>
        <w:spacing w:after="0" w:line="176" w:lineRule="exact"/>
        <w:rPr>
          <w:sz w:val="20"/>
          <w:szCs w:val="20"/>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cost and timing of our product development activities and clinical trials;</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advance our current and future product candidates and programs into, and successfully complete, clinical trials;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future or maintain current collaborations or strategic relationships or obtain additional funding;</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current and future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expectations surrounding the payments we could potentially receive pursuant to the AstraZeneca License Agreement;</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third-party collaborators to continue research and development activities relating to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our collaborators’ ability to obtain, maintain, defend and enforce our intellectual property protection for our product candidates, and the scope of such protection;</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commercialization and marketing capabilities and strategy;</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agreements with third parties in connection with the commercialization of our product candidates and any other approved products;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in the United States and foreign countries;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companies, technologies and our industry and the success of competing therapies that are or may become available;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scientific or management personnel;</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operations, including funding necessary to complete further development and commercialization of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our annual total addressable markets, future revenue, expenses, capital requirements and needs for additional financing;</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about market trends;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3"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rising or sustained high inflation and capital market disruptions, the current conflict in Ukraine, disruptions in the banking industry, economic sanctions and economic slowdowns or recessions that may result from such developments which could harm our research and development efforts as well as the value of our ordinary shares and ability to access capital markets; and</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period during which we qualify as an emerging growth company under the Jumpstart Our Business Startups Act of 2012, as amended.</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with the understanding that our actual future results may be materially different from what we expect. We qualify all of our forward-looking statements in this Annual Report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20" w:lineRule="exact"/>
        <w:rPr>
          <w:sz w:val="20"/>
          <w:szCs w:val="20"/>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payments we may receive in connection with certain milestones or net sales under the AstraZeneca License Agreement may differ materially from those described in this Annual Report, and there can be no assurance that we will receive any such payments at all.</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yet generated any material revenue from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may make it difficult for you to evaluate the success of our business to date and to assess our future viability.</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additional capital may cause dilution to our shareholders, restrict our operations or require us to relinquish rights to our technologies or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7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are based on a novel approach to the treatment of cancer, which makes it difficult to predict the time and cost of product candidate development.</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advance our current or future product candidates into and through clinical trials, obtain marketing approval and ultimately commercialize any product candidates we develop, or experience significant delays in doing so, our business will be materially harmed.</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marketing authorization processes of the U.S. Food and Drug Administration (FDA), the European Medicines Agency (EMA), Medicines and Healthcare products Regulatory Agency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key personnel, and if we are not successful in attracting and retaining highly qualified personnel, we may not be able to successfully implement our business strategy.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grow the size of our organization and we may experience difficulties in managing this growth.</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classified as a passive foreign investment company, it would result in adverse U.S. federal income tax consequences to U.S. Holders (as defined below).</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variety of risks associated with operating our business internationally could materially adversely affect our business.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results of operations may be negatively impacted by the UK’s withdrawal from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a clinical-stage biopharmaceutical company engaged in the discovery and development of novel immunotherapeutics and vaccines for the treatment and prevention of infectious diseases, cancer, and autoimmunity. We aim to treat and prevent infectious 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specifically pathogenic autoimmune responses and prevent/reverse autoimmunity. We are focused on applying our platform capabilities and the expertise of our team to address significant unmet medical needs in two settings—the therapeutic setting, for the treatment of chronic infectious diseases, cancer, and autoimmunity; and the prophylactic setting, for the prevention of infectious diseases, based on our platform’s ability to respond rapidly to epidemic and pandemic threats.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VTP-600 for the treatment of non-small cell lung cancer, or NSCLC, VTP-1000 for treatment of celiac disease, and VTP-1100 for treatment of HPV-associated cancers. The latter two programs are designed to utilize our SNAPvax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platform. Our current prophylactic programs include VTP-400 for the prevention of herpes zoster, or shingles, and VTP-500 for the prevention of Middle East respiratory syndrome, or MERS. In addition, we co-invented a COVID-19 vaccine with the University of Oxford, the rights to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Scientists have successfully harnessed the immune system to prevent and treat diseases using a wide range of approaches over hundreds of years. In the prophylactic setting, vaccines aim to create long-lasting protective immunity, while in the therapeutic setting, immunotherapeutics aim to balance the body’s immune response either by strengthening it to enable clearance of pathogens and infected or cancerous cells, or by dampening it to limit inflammation and tissue damage due to autoimmune hyperactivity. A key element of the immune system is specialized white blood cells, or lymphocytes. B cells and T cells are the two main types of lymphocytes. B cells are responsible for generating antibodies while T cells assist in the clearance of acute and chronic infections, such as hepatitis B virus and HPV, and are involved in killing cells that become cancerous. Although designed to be protective, these immune cells can also be hyperactive and, when targeted against self, they are responsible for tissue-specific damage in many autoimmune conditions.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Over the past three decades, hundreds of trials have examined a wide variety of approaches that induce the production of cytotoxic, or CD8+, T cells against infected and cancerous cells. These trials have demonstrated that different approaches induce different breadths and magnitudes of immune response. While there have been many successes, certain diseases requiring a robust CD8+ T cell response have remained resistant to existing approaches. Infected or cancerous cells are recognized through specific molecules, or antigens, which induce an immune response in the human body. Our platforms are designed to stimulate the production of very high levels of T cells, in addition to antibodies, against such antigens. Our approach for the treatment or prevention of a disease with a known target antigen is to prime the immune system with an initial injection of a proprietary platform encoded with the target antigen. In the therapeutic setting, this is typically followed by a boost with a second, different, platform encoded with the same antigen. This is known as a heterologous prime-boost, or a mix and match approach. We employ unique antigen design strategies to optimize immune presentation and maximize the desired type of antibody and/or T cell immunogenicity that we are seeking to induce. This heterologous prime-boost approach has been shown to provide the highest magnitude and durable immunogenic CD8+ T cell response induced in humans to date. Our platforms are further differentiated by their flexibility, applicability across diseases in both the therapeutic and prophylactic setting, favorable tolerability profile and proven rapid production on a large scale.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Autoimmunity develops when the tolerance checkpoints meant to maintain a state of unresponsiveness of our immune system towards self-antigens are lost. It results in abnormal immune reaction against our own tissues, causing tissue damage and disease. Although the past two decades have seen incredible progress in the treatment of chronic inflammatory and autoimmune diseases, current therapies still rely heavily on the use of non-specific immunosuppressive agents and supportive therapies. These may efficiently dampen inflammation and compensate organ dysfunction to some degree, but they require lifelong treatment and their lack of specificity for the pathogenic mechanism only can lead to several, sometimes life-threatening, side effects. A far less aggressive approach is to restore immune tolerance to self-antigens, in an antigen-specific manner, enabling to selectively blunt autoinflammation and control the disease without impairing protective immunity to pathogens and cancer. Our SNAPvax tolerizing platform is comprised of several self-antigens involved in the disease associated with a tolerizing immunomodulator. It is specifically designed to induce self-antigen-specific regulatory T cells, whose main function is to control immune responses by means of direct cell-cell contact, release of soluble factors, or indirectly via antigen-presenting cells, thereby controlling hyperactive autoreactive pathogenic T cells specifically.</w:t>
      </w:r>
    </w:p>
    <w:p>
      <w:pPr>
        <w:spacing w:after="0" w:line="18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2022, we achieved a number of strategic, operational, and financial objectives, which we believe positions us to deliver on our long-term plans:</w:t>
      </w:r>
    </w:p>
    <w:p>
      <w:pPr>
        <w:spacing w:after="0" w:line="152" w:lineRule="exact"/>
        <w:rPr>
          <w:sz w:val="20"/>
          <w:szCs w:val="20"/>
          <w:color w:val="auto"/>
        </w:rPr>
      </w:pPr>
    </w:p>
    <w:p>
      <w:pPr>
        <w:ind w:left="640" w:hanging="302"/>
        <w:spacing w:after="0" w:line="285"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Cancer Research UK, Vaccitech and the Ludwig Institute for Cancer Research (Ludwig), announced the first patient dosed in the MAGE trial, which is testing a novel immunotherapeutic, VTP-600, in patients with the most common type of lung cancer.</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we announced the commencement of royalty payments relating to commercial sales of Vaxzevria. The Company’s share of milestone and royalty payments received by OUI from AstraZeneca recognized as revenue for the year ended December 31, 2022, amounted to $43.7 million.</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the Company launched two programs utilizing our proprietary SNAPvax platform: an immunostimulatory one to target HPV-associated cancer utilizing the SNAPvax platform and moved forward with a tolerizing one designed to induce regulatory T cells in patients with celiac disease. IND applications are expected to be filed for VTP-1100, in HPV cancer, and VTP-1000, targeting celiac disease during the second half of 2023.</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we received scientific advice from the EMA defining a licensure pathway for the candidate MERS vaccine, VTP-500, which helps the Company to both plan and estimate expenses of the development pathway more accurately and completely.</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we completed enrollment for a Phase 1b/2a clinical trial, HBV002, to evaluate the safety and immunogenicity of VTP-300, both as monotherapy and in combination with an anti-PD-1 blocking agent, in patients with chronic Hepatitis B whose HBV infection has been suppressed with oral antiviral medication. We expect to announce final topline data in the first quarter of 2023.</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Arbutus Biopharma Corporation (Arbutus) dosed the first patient in a randomized, multi-center, blinded, Phase 2a clinical trial to evaluate the safety, antiviral activity and immunogenicity of the combination of Arbutus’ RNAi therapeutic candidate, AB-729, with the Company’s T-cell stimulating immunotherapeutic, VTP-300, and standard-of-care nucelos(t)ide reverse transcriptase inhibitor therapy for the treatment of patients with virology-suppressed chronic HBV infection. We expect to announce interim efficacy data in the fourth quarter of 2023.</w:t>
      </w:r>
    </w:p>
    <w:p>
      <w:pPr>
        <w:spacing w:after="0" w:line="174"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at the 2022 EASL International Liver Congress™, the Company presented HBV002 data showing that VTP-300, both as monotherapy and in combination with a single low dose of Nivolumab (PD1 blocker) at the time of the booster dose, induced sustained reductions of HBV surface antigen (HBsAg) in some patients, and a robust T cell response, of which CD8+ T cells were predominant, against all encoded antigens in patients with chronic HBV infection.</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the Company entered into a lease agreement for approximately 19,700 square feet in Germantown, Maryland. The site will house the Company’s state-of-the-art wet laboratory and office space in the United States.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the Company enrolled the 60th patient into the Company’s Phase 1b/2 clinical trial of VTP-200, HPV001, to evaluate a potential treatment for persistent high-risk HPV infection.</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we completed the relocation of our headquarters to Harwell, Oxfordshire, United Kingdom.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57"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the Company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2022, we sold 307,139 ordinary shares represented by ADSs under the sales agreement, amounting to gross proceeds of $0.7 million.</w:t>
      </w:r>
    </w:p>
    <w:p>
      <w:pPr>
        <w:spacing w:after="0" w:line="179"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we announced the publication of research from VTP-1100 in Cell that demonstrated anti-tumor activity achieved with intravenous (IV) administration of a SNAPvax construct in an animal model. The study demonstrated that IV administration of SNAPvax targeted and expanded antigen-specific T cells and reversed suppression in the tumor microenvironment, which promotes T cell infiltration and tumor cell killing.</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we announced the dosing of the first patient in HBV003, a Phase 2b clinical trial of VTP-300 designed to evaluate different regimens of low dose nivolumab and the impact of additional doses of the MVA boost, with the aim of maximizing a sustained decline in HBsAg.</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59"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Dr. Young-Suk Lim, Professor of Gastroenterology in the Liver Center at University of Ulsan College of Medicine, presented a poster reporting interim HBV0002 Phase 1b/2a clinical trial data on VTP-300 at AASLD. The poster presentation showed VTP-300 immunotherapy, as monotherapy and when combined with low dose nivolumab at the boosting time point, was immunogenic and showed a sustained reduction in HBsAg in well-controlled CHB patients, and was administered with no treatment related SAEs and infrequent transient transaminitis. Two of five patients dosed in cohort 3 (ChAdOx1-HBV + MVA-HBV with low dose nivolumab given at the boost) with starting HBsAg levels below 100 achieved non-detectable levels of surface antigen at the data cutoff.</w:t>
      </w:r>
    </w:p>
    <w:p>
      <w:pPr>
        <w:spacing w:after="0" w:line="173"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the FDA cleared our IND for VTP-850 to be evaluated in PCA001, a Phase 1/2 open-label clinical trial of in patients with rising PSA after definitive local therapy for prostate cancer. We expect to announce the first patient dosed in the second quarter of 2023.</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the Company completed enrollment into the Phase 1b/2 clinical trial of VTP-200, HPV001, to evaluate a potential treatment for persistent high-risk HPV infection. We expect to announce the full data from this trial in the first quarter of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proprietary platforms comprise several components that either 1) when combined, allow us to develop product candidates designed to induce high and durable levels of antigen-specific T cells and B cells to prevent and treat infectious diseases and cancer, or 2) induce regulatory T cells and/or decrease T cell activation to specifically control autoreactive immune cell hyperactivity.</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key elements of our first platform include our proprietary modified simian adenoviral vectors, known as ChAdOx1 and ChAdOx2, as well as the well-validated Modified Vaccinia Ankara, or MVA, boost vector, both with demonstrable tolerability profiles and an inability to replicate in humans. We believe both ChAdOx1 and MVA have favorable tolerability profiles, based on extensive clinical testing performed by us and others. MVA has also been administered in commercial use and in multiple clinical trials to over 130,000 people without significant safety issues, including 120,000 of whom received it as a next-generation smallpox vaccine in Germany. The combination of a ChAdOx prime with MVA boost has consistently generated significantly higher magnitudes of CD8+ T cells as compared to other technologies and approaches. We have also developed proprietary enhancements for both our ChAdOx and MVA vectors to increase T cell induction and response, and we employ unique antigen design strategies to optimize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immune presentation and maximize the desired type of immunogenicity while maintaining an optimal tolerability profile. In addition, our understanding and expertise in manufacturing optimization has allowed us to manipulate adenovirus genomes to enable rapid generation of recombinant adenoviral vectors at Good Manufacturing Practice, or GMP, standards at exceptional speed and significant scale.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With the acquisition of Avidea Technologies, Inc. or Avidea, in December 2021, we have added SNAPvax to our proprietary platforms. SNAPvax is a modular immunotherapy platform that is designed to leverage self-assembling nanoparticles containing multiple targeted peptide antigens and immunomodulators to key immune cell populations for promoting T cell immunity. A recent article in </w:t>
      </w:r>
      <w:r>
        <w:rPr>
          <w:rFonts w:ascii="Times New Roman" w:cs="Times New Roman" w:eastAsia="Times New Roman" w:hAnsi="Times New Roman"/>
          <w:sz w:val="17"/>
          <w:szCs w:val="17"/>
          <w:i w:val="1"/>
          <w:iCs w:val="1"/>
          <w:color w:val="auto"/>
        </w:rPr>
        <w:t>Nature Biotechnology</w:t>
      </w:r>
      <w:r>
        <w:rPr>
          <w:rFonts w:ascii="Times New Roman" w:cs="Times New Roman" w:eastAsia="Times New Roman" w:hAnsi="Times New Roman"/>
          <w:sz w:val="17"/>
          <w:szCs w:val="17"/>
          <w:color w:val="auto"/>
        </w:rPr>
        <w:t xml:space="preserve"> described SNAPvax as among the most effective immunotherapy platforms for inducing T cell immunity reported to date. Another article in </w:t>
      </w:r>
      <w:r>
        <w:rPr>
          <w:rFonts w:ascii="Times New Roman" w:cs="Times New Roman" w:eastAsia="Times New Roman" w:hAnsi="Times New Roman"/>
          <w:sz w:val="17"/>
          <w:szCs w:val="17"/>
          <w:i w:val="1"/>
          <w:iCs w:val="1"/>
          <w:color w:val="auto"/>
        </w:rPr>
        <w:t xml:space="preserve">Nature Biotechnology </w:t>
      </w:r>
      <w:r>
        <w:rPr>
          <w:rFonts w:ascii="Times New Roman" w:cs="Times New Roman" w:eastAsia="Times New Roman" w:hAnsi="Times New Roman"/>
          <w:sz w:val="17"/>
          <w:szCs w:val="17"/>
          <w:color w:val="auto"/>
        </w:rPr>
        <w:t>reported that SNAPvax enables repeated intravenous, or IV, administration to maximize efficacy.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Within oncology, we are advancing assets based on the SNAPvax cancer immunotherapy platform, or SNAPvax CI, co-delivering tumor antigens and an immunostimulant (TLR7/8a) for use in heterologous prime-boost regimens for treating advanced cancers. SNAPvax CI is designed to provide a unique advantage as compared to other cancer immunotherapy candidates as it can be repeatedly administered to engage every stage of the cancer immunity cycle (T cell priming and expansion; tumor inflammation; T cell recruitment; and T cell licensing) to potentially maximize therapeutic benefit.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Outside oncology, we are advancing assets based on the SNAPvax tolerizing immunotherapy platform, or SNAPvax TI, to treat autoimmune diseases with known autoantigens. SNAPvax TI contains autoantigens and immunomodulators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mTOR inhibitors) to specifically induce regulatory T cells, crucial to maintaining tolerance to self-antigens. Its unique design allows for trafficking to lymphoid organs and local tissues, where Treg induction occurs and their activity is required to maximize therapeutic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several therapeutic programs in our pipeline focusing on infectious diseases, oncology and immune tolerance.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Pipeline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chart below provides key information about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147320</wp:posOffset>
            </wp:positionV>
            <wp:extent cx="5874385" cy="255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4385"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VTP-300: An Immunotherapeutic Targeting Chronic HBV Infection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May 2022, we completed the last patient visit in our HBV001 Phase 1 clinical trial in the United Kingdom. Two types of participants were enrolled: healthy participants and participants with CHB whose infection has been suppressed with oral antiviral therapies. The primary objective of the HBV001 trial is to evaluate the safety and tolerability of different doses of a single vaccination of ChAdOx1-HBV. In addition, the secondary objectives are to determine the immunogenicity of ChAdOx1-HBV and to determine the effect of ChAdOx1-HBV on the level of HBsAg in the participants with chronic HBV infection. All cohorts of healthy volunteers and patients with chronic HBV infection have completed treatment and follow up. No serious adverse events have been reported as of the date of this report.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used genotype C HBV antigen sequences in our VTP-300 vectors to target the most prevalent CHB genotype. However, we believe VTP-300 may induce cross-reactive T cell responses with other prevalent genotypes. Therefore, we also aim to determine if the T cell responses induced by the ChAdOx1-HBV viral vector used in this trial can potentially cross-react with other common HBV genotypes. The criteria for CHB patients to be enrolled in this trial were (i) infection that has been suppressed with oral antiviral medication (HBV DNA &lt; 40 copies/mL) and (ii) relatively low levels of cccDNA markers (HBsAg &lt; 10,000 IU/ml). As higher levels of CD8+ T cell induction are likely to occur in healthy controls, these samples are utilized to map the responses induced by VTP-300, to assess cross-reactivity with peptides, representing consensus sequences from genotypes B and D, which are more common in both the United States and Europe.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we are conducting a Phase 1b/2a clinical trial, HBV002, to evaluate the safety and reactogenicity of VTP-300 with or without a low-dose (0.3 m/kg) anti-PD-1 in CHB patients whose infection has been suppressed with oral antiviral medication. HBV002 enrollment was completed in May 2022.</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HBV002 trial, we enrolled CHB patients in four treatment groups. The primary objective of this trial is to determine the safety and reactogenicity of the following in participants with chronic HBV infection and virally suppressed with oral antiviral medication: 1. MVA-HBV (prime-boost); 2. ChAdOx1-HBV and MVA-HBV (prime-boost); 3 and 4 ChAdOx1-HBV and MVA-HBV and nivolumab (prime-boost + anti-PD-1). The secondary objectives are to evaluate immunogenicity, PD-1 blockade timing, and the effect on the levels of hepatitis B markers, including HBsAg, hepatitis B surface antibody seroconversion, hepatitis B DNA, HBeAg, in CHB patients. The majority of the patients were recruited in Taiwan and South Korea and these territories were selected due to the high prevalence of HBV genotype C virus in Asia. Patients were also enrolled in the United Kingdom.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the participants are already infected with HBV, we thought it was possible that natural priming could eliminate the need for the prime-boost regimen. Hence, Group 1 of the HBV002 trial was designed to compare MVA-HBV given twice with the ChAdOx1-HBV plus MVA-HBV heterologous approach used in Group 2. We expected that the regimen given to Group 2 would be more immunogenic and planned to further explore this prime/boost regimen in Groups 3 and 4. The dosing regimen was ChAdOx1-HBV (day 0) and MVA-HBV and low-dose nivolumab (day 28) for Group 3 and ChAdOx1-HBV and low-dose nivolumab (day 0) and MVA-HBV and low-dose nivolumab (day 28) for Group 4.</w:t>
      </w:r>
    </w:p>
    <w:p>
      <w:pPr>
        <w:spacing w:after="0" w:line="3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cancer field, the use of an anti-PD-1 prior to vaccination has been reported to result in diminished T cell responses as compared to later administration. Whether the anti-PD-1 can be given simultaneously with the priming dose, or should follow it, is yet to be determined. Thus, in this protocol, we evaluated both regimens. Group 3 employed the low dose nivolumab given only at the boost, whereas Group 4 administered the nivolumab at both the prime and the boost dose. Nivolumab has been used in earlier immunotherapy trials at 1/10 the licensed dose for oncology indications and has been shown to give full peripheral blood T cell receptor occupancy for up to over one month.</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An interim analysis of HBV002 was conducted in November 2021, after which the protocol was amended to stop enrollment in two cohorts: those receiving MVA prime and boost, Group 1, and those receiving VTP-300 with low dose nivolumab administered with both the ChAdOx1 prime and the MVA booster dose, Group 4. Enrollment continued in the cohort receiving VTP-300 as a monotherapy and the cohort receiving VTP-300 with a single low dose of nivolumab administered with the MVA booster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118745</wp:posOffset>
            </wp:positionV>
            <wp:extent cx="2553970" cy="2145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3970" cy="214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believe that the interim analysis from the HBV002 Phase 1b/2a suggests that VTP-300 could become part of a regimen that can attain a functional cure. In October 2022, we dosed our first patient in HBV003, a Phase 2b clinical trial to explore the optimal regimen. Although VTP-300 encodes genotype C antigens, many of these peptides are also expressed by other HBV genotypes. Our data indicate that VTP-300 is capable of inducing responses to non-genotype C HBVs, so we will aim to demonstrate activity against non-genotype C infected patients. We will also plan to evaluate additional combination regimens, such as next-generation modalities including RNA interference molecules, and may evaluate further potential collaboration partnerships. We may also evaluate VTP-300 in a trial in mainland China.</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EASL and AASLD Poster Update to Interim Analysis of Safety and Efficacy Data from HBV002 Study</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On June 22, 2022, we announced an update to the interim analysis of safety and efficacy data from the HBV002 study (NCT04778904), which was presented as a poster at the 2022 EASL International Liver Congress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The updated analysis, which included 39 patients with three-months of follow up, showed that VTP-300 as a monotherapy or in combination with low-dose nivolumab was administered with no treatment-related serious adverse events and that two patients experienced mild, rapidly resolving transaminitis. Meaningful and durable reductions of HBsAg were seen in some patients who received VTP-300 as either a monotherapy or in combination with a single low dose of nivolumab at the time of booster dose. Declines were most prominent in patients with lower baseline HBsAg at the time of enrollment. In all patients who had a HBsAg decline greater than 0.5 log10, the reductions of HBsAg were durable until the last measurement (up to eight months after the last dose). A robust T cell response against all encoded antigens, measured by overnight stimulation, was observed following VTP-300 administration, notable for marked CD8+ T cell predominance. Enrollment in the HBV002 study is complete with 55 patients enrolled.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7, 2022, we announced an update to the interim analysis of safety and efficacy data from the HBV002 study (NCT04778904), which was presented as a poster at the 2022 American Association for the Study of Liver Disease (AASLD) - The Liver Meeting® by Dr. Young-Suk Lim, Professor of the Department of Gastroenterology and the Liver Center, Asian Medical Center, University of Ulsan College of Medicine, Korea. The updated analysis, which included 55 patients with three months of follow up, showed that VTP-300 induced meaningful, sustained reductions of HBV surface antigen (HBsAg) in people with chronic HBV. Declines were most prominent in patients with lower baseline HBsAg. HBsAg is a hallmark of chronic HBV infection. Fewer than 10% of patients on current standard-of-care HBV therapies achieve sustained HBsAg decrease or loss, a state associated with functional cure of the disease. Group 3 (N=18) patients received VTP-300 in combination with a single low dose of nivolumab at the time of the booster dose, and the mean log10 reduction in HBsAg was 0.8 (n=18) at 3 months, 0.9 (n=10) at 6 months, and 1.3 (n=7) at 9 months, with more prominent declines observed in patients with baseline HBsAg lower than 1,000 IU/mL. Five patients in this group had baseline HBsAg lower than 100 IU/mL, of which four had declines over 0.6 log10. Moreover, two of those patients developed non-detectable HBsAg at 3 months, and one of the patients, who has been evaluated at 6 and 9 months, continued to maintain non-detectable HBsAg.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Development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October 2022, the Company dosed the first patient in HBV003, a Phase 2b clinical trial of VTP-300 (NCT05343481) to explore the impact of different regimens of low dose Nivolumab and additional doses of the MVA boost component of VTP-300. In addition, a trial that uses a lead-in of the Arbutus siRNA AB-729, followed by a blinded randomization to either placebo or VTP-300, is now underway under Arbutus sponsorship with a planned enrollment of 20 patients per arm (placebo vs VTP-300 after the 6 month siRNA lead-in). The trial also plans a prospective, well-defined, nucleotide discontinuation protocol for those patients who reach substantial reduction in the level of hepatitis B surface antigen. We expect to announce interim efficacy data from both the HBV003 study and the combination study with siRNA from Arbutus in the fourth quarter of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VTP-200: Developing a Potential Non-Invasive Treatment for Persistent High-Risk HPV</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developing VTP-200 as a potential curative treatment for persistent high-risk HPV infection and associated pre-cancerous lesions. An estimated 291 million women worldwide are carriers of HPV DNA, which can progress to pre-cancerous cervical lesions if untreated. Enrollment in our Phase 1b/2 clinical trial of VTP-200, HPV001 (NCT04607850), was completed in December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Preclinical Studies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Extensive preclinical studies were conducted using VTP-200, with resulting data showing that:</w:t>
      </w:r>
    </w:p>
    <w:p>
      <w:pPr>
        <w:spacing w:after="0" w:line="216" w:lineRule="exact"/>
        <w:rPr>
          <w:sz w:val="20"/>
          <w:szCs w:val="20"/>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VTP-200 was well tolerated in preclinical toxicology studies; and</w:t>
      </w:r>
    </w:p>
    <w:p>
      <w:pPr>
        <w:spacing w:after="0" w:line="21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VTP-200 was highly immunogenic in inbred and outbred mice.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Toxicology Studies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In a GLP-compliant toxicology study, outbred mice were dosed with ChAdOx1-HPV and MVA-HPV at dose levels approximating the maximum anticipated clinical dose. Dosing resulted in an immune response, but with no significant toxicology findings.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Immunogenicity Studies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preclinical immunogenicity studies, the HPV antigen was delivered by plasmid DNA, ChAdOx1 and MVA vectors in prime-boost regimens to inbred and outbred mice. ChAdOx1-HPV prime followed by MVA-HPV boost was shown to induce higher magnitude and more durable HPV-specific T cell responses than other regimens, as shown in the figure below. VTP-200-induced T cells were polyfunctional and persisted at high frequencies for at least six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118745</wp:posOffset>
            </wp:positionV>
            <wp:extent cx="2586355" cy="1419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86355" cy="141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preclinical immunogenicity studies, HPV-specific effector CD8+ T cells were detected in the cervix following systemic administration of ChAdOx1-HPV prime and followed by MVA-HPV boost. Finally, T cells specific for the HPV-encoded antigens were detected in women with current or past hrHPV infections, confirming the presence of immunogens relevant to natural immune control.</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MVA vector assessed in initial studies contains the HPV antigen at the thymidine kinase locus under the control of the p7.5 promoter. However, a more immunogenic MVA vector, which contains the HPV antigen under the control of the endogenous F11 promoter, was constructed. We determined that the T cell immunogenicity of the more immunogenic MVA promoter was superior to the MVA vector assessed in the initial preclinical studies and decided to use the next-generation vector in our clinical trials.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HPV001 Phase 1b/2 clinical trial of VTP-200 was designed to assess the safety and efficacy of VTP-200 and determine the optimal immunotherapeutic dose regimen. We enrolled a total of 108 healthy women with low grade lesions who had persistent high-risk HPV, or hrHPV, for at least six months. Patients with high-grade squamous intraepithelial lesions, or HSIL, or early cancer were excluded. The trial was run in the United Kingdom and the European Union. We recently announced the topline initial interim immunogenicity and safety data of 58 patients in the main phase of the trial that reached their six-month evaluation timepoint. We expect to announce full data from this trial in the first quarter of 2024. The diagram below provides an overview of the Phase 1b/2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120650</wp:posOffset>
            </wp:positionV>
            <wp:extent cx="4087495" cy="1753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7495" cy="175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HPV001 Phase 1b/2 clinical trial was designed to identify an efficacious dose based on a joint response index of CD8+ T cell magnitude, CD4+T cell magnitude and CD4+ T cell avidity. The primary objective of the trial was to evaluate the safety and tolerability of ChAdOx1-HPV plus MVA-HPV when administered in a prime-boost regimen. The secondary objectives of the trial were to determine the optimal dose and to evaluate the efficacy of HPV001 on the clearance of hrHPV infection and on the cervical intraepithelial neoplasia, or CIN.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Development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Following the HPV001 Phase 1b/2 clinical trial, if successful, we intend to initiate further clinical trials of VTP-200. Our next trials would potentially be a Phase 2/3 trial in healthy women with early grade CIN (squamous intraepithelial lesions, or LSIL) and additional trials in patients with more advanced CIN, vulval intraepithelial neoplasia, or VIN, and anal intraepithelial neoplasia, or AIN.</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are also in the early stages of collaborating on an NIH-funded trial that would be conducted by the University of California San Francisco in more advanced CIN and AIN in human immunodeficiency virus, or HIV, positive patients, to be recruited in Mexico and Puerto Rico.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VTP-850: Our Next-Generation Immunotherapeutic Candidate for Prostate Cancer</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developing VTP-850, our next-generation prostate cancer product candidate, to improve upon VTP-800. Both VTP-800 and VTP-850 are composed of a heterologous prime-boost regimen with ChAdOx1 prime and MVA boost; however, VTP-800 encodes only one antigen, 5T4, while VTP-850 encodes four antigens, PSA, PAP, STEAP1 and 5T4. We designed VTP-850 to induce a broader immune response by encoding multiple antigens to reduce the ability of cancer cells to evade the immune response by mutating or losing expression of any one antigen. The antigens we encode in VTP-850 are expressed in most prostate cancers but have little or no expression on healthy tissues other than prostate.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Phase 1 and Phase 2 clinical trials of VTP-800 were sponsored and conducted by the University of Oxford in the United Kingdom. VANCE was a first-in-human, open-label, randomized, Phase 1 clinical trial designed to evaluate the safety and immunogenicity of heterologous prime-boost ChAdOx1-MVA administration as compared with homologous prime-boost with MVA alone, with and without low dose cyclophosphamide in localized prostate cancer. Thirty-nine patients with early stage localized, castration-sensitive prostate cancer were treated. Thirty-three patients received heterologous prime-boost with ChAdOx1-5T4 and MVA-5T4, while six patients received homologous prime-boost with MVA-5T4 alone. Patients received both regimens alone or with cyclophosphamide preconditioning. VTP-800 was generally well tolerated, with side effects of local injection site pain, fatigue, feverishness, and myalgia, which are consistent with those observed for these vectors in other clinical trials. There were no reported treatment-related serious adverse events.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It was also observed that 59% of participants had no detectable T cell response at baseline and developed a new 5T4-specific T cell response, as measured by an ex vivo gamma interferon ELISpot. Two patients had a baseline response, and the frequency of 5T4-specific T cells was increased following administration. The mean peak response of the 5T4-specific T cells in the responders was 198 cells per one million PBMCs, which is notable given that the 5T4 is a self-antigen. T cell infiltration into the resected prostate was also observed.</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figure below shows the 5T4-specific T cell responses to VTP-800 in the responding patients. The peak response, expressed as the number of 5T4-specific T cells secreting IFN-γ per one million PBMCs, in each patient who mounted a 5T4-specific T cell response following administration was compared to the 5T4 response detected prior to the first dose. The bars represent medians.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 Cell Response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149860</wp:posOffset>
            </wp:positionV>
            <wp:extent cx="2781935" cy="2227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81935" cy="222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ADVANCE was an open-label, non-randomized Phase 2 clinical trial of VTP-800 in combination with anti-PD-1 checkpoint inhibitor, nivolumab, in 23 patients with metastatic prostate cancer. The primary objectives of the ADVANCE trial were to assess the safety and response rate of VTP-800 when administered in combination with nivolumab. The secondary objectives were to assess the immune responses in peripheral blood and to evaluate radiographic progression-free survival and overall survival. Patients received ChAdOx1-5T4 prime and MVA-5T4 boost one month later. Nivolumab was administered at months one, two and three. In most patients, VTP-800 was also given at months three and four. All patients received 2.5 x 10</w:t>
      </w:r>
      <w:r>
        <w:rPr>
          <w:rFonts w:ascii="Arial" w:cs="Arial" w:eastAsia="Arial" w:hAnsi="Arial"/>
          <w:sz w:val="17"/>
          <w:szCs w:val="17"/>
          <w:color w:val="auto"/>
        </w:rPr>
        <w:t>˄</w:t>
      </w:r>
      <w:r>
        <w:rPr>
          <w:rFonts w:ascii="Times New Roman" w:cs="Times New Roman" w:eastAsia="Times New Roman" w:hAnsi="Times New Roman"/>
          <w:sz w:val="17"/>
          <w:szCs w:val="17"/>
          <w:color w:val="auto"/>
        </w:rPr>
        <w:t>10 vp of ChAdOx1-5T4, 2.0 x 10</w:t>
      </w:r>
      <w:r>
        <w:rPr>
          <w:rFonts w:ascii="Arial" w:cs="Arial" w:eastAsia="Arial" w:hAnsi="Arial"/>
          <w:sz w:val="17"/>
          <w:szCs w:val="17"/>
          <w:color w:val="auto"/>
        </w:rPr>
        <w:t>˄</w:t>
      </w:r>
      <w:r>
        <w:rPr>
          <w:rFonts w:ascii="Times New Roman" w:cs="Times New Roman" w:eastAsia="Times New Roman" w:hAnsi="Times New Roman"/>
          <w:sz w:val="17"/>
          <w:szCs w:val="17"/>
          <w:color w:val="auto"/>
        </w:rPr>
        <w:t>10 pfu of MVA-5T4 and 480mg of nivolumab.</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VTP-800 was generally well tolerated. The most common treatment emergent adverse events were bone pain, injection site pain, muscle pain, stomatitis, and constipation, and most were mild and grade 1 or 2. The only grade 3 adverse event was a chest infection, which was not related to study drug. There were no grade 4 or 5 treatment-related adverse events. Three of eight patients with measurable disease had partial tumor responses. Five of 23, or 22%, of patients had greater than 50% reduction of prostate specific antigen, or PSA, at any timepoint, as shown in the figure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PSA Reduction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149860</wp:posOffset>
            </wp:positionV>
            <wp:extent cx="3663315" cy="1998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63315"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Development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FDA accepted our IND for VTP-850 to be evaluated in PCA001, a Phase 1/2 open-label clinical trial in patients with rising PSA after definitive local therapy for prostate cancer, commencing in the first quarter of 2023. We plan to conduct the trial in several countries, including the United States. The trial will involve a Phase 1 dose finding stage with boost dose administered either intramuscularly or intravenously to determine the Phase 2 recommended dose and route of administration, followed by a two-stage expansion phase to evaluate immunogenicity and anti-tumor activity of VTP-850.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VTP-1100: Our first product utilizing SNAPvax CI platform for HPV16+ cancers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VTP-1100 is our first product candidate leveraging the SNAPvax platform technology – brought into Vaccitech following the acquisition of Avidea in December 2021 – that will enter clinical testing.</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VTP-1100 differs from VTP-200 in composition and patient population targeted: VTP-1100 will use a configuration of SNAPvax that is designed to elicit antigen-specific CD8+ T cells against HPV16+ cancers, either when administered alone or when used in a potent heterologous prime-boost regimen with the established ChAdOx1 platform. Preclinical studies in mice have shown that the SNAPvax-ChAdOx prime-boost induced superior T cell responses as compared with single or dual agent therapies (see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118745</wp:posOffset>
            </wp:positionV>
            <wp:extent cx="1036320" cy="132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320" cy="132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Status and Future Development</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VTP-1100 is currently in the preclinical stage with GMP manufacturing and pivotal IND-enabling studies underway. We received pre-IND feedback from the FDA in July 2022, and based on the agency’s feedback expect to file an IND in the second half of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VTP-1000: Antigen-specific tolerizing immunotherapy candidate for celiac disease</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Patients with celiac disease have an unwanted immune response against gluten proteins and can become severely ill following exposure to gluten found in various cereal grains, especially wheat.</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VTP-1000 is a tolerizing immunotherapy that is designed to induce antigen-specific regulatory T cells (Tregs) that promote tolerance and suppress the unwanted immune response to gluten.</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VTP-1000 is the second product candidate based on the SNAPvax platform, designed to leverage its plug-and-play modularity to induce an entirely different type of T cell compared to the configuration utilized in VTP-1100. VTP-1000 comprises multiple gluten antigens (representing the key epitopes linked to celiac disease) and an immunomodulator co-delivered in nanoparticles of precise size and composition that are optimized to target immune cells that prime and expand Tregs. While the SNAPvax tolerizing immunotherapy is based on the same platform technology as the SNAPvax cancer immunotherapy enabling VTP-1100, an important distinction is that the tolerance immunotherapy includes an immunosuppressive immunomodulator that drives Treg expansion and prevents proinflammatory responses.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Status and Future Development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VTP-1000 is currently in preclinical development. Preclinical lead optimization studies were recently completed and the product is entering engineering manufacturing, which we expect will enable us to enter first-in-human testing in a dose-escalation and challenge study by the end of 2023, pending submission and FDA clearance of an IND.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Vaccitech plans to include pharmacodynamic analysis as part of the Phase 1 study to provide an indication that the immunotherapy is inducing Tregs. Importantly, Vaccitech also intends to include a controlled gluten challenge in the Phase 1 study (for example, see Goel G,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Science Advances (2019) Cytokine release and gastrointestinal symptoms after gluten challenge in celiac disease). This controlled gluten challenge is intended to provide an early biologic signal that VTP-1000 suppresses pathological response to gluten ingestion.</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VTP-1000 is our first product candidate directed towards the treatment of an inflammatory disease, we believe demonstration of Treg induction and/or suppression of unwanted immune responses to gluten would pave the way for other therapies based on the SNAPvax tolerizing immunotherapy platform, including those for allergies and other autoimmune indications.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VTP-600: Our Immunotherapeutic Candidate Targeting MAGE-A3 and NY-ESO1 Antigens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developing VTP-600, our immunotherapy candidate designed to encode the tumor-associated antigens MAGE-A3 and NY-ESO1 initially for the treatment of NSCLC in combination with standard of care treatment, chemotherapy and pembrolizumab. Lung cancer is the most common cancer diagnosis and cause of cancer death worldwide, with 85% of cases classified as NSCLC. About 25% to 30% of NSCLC patients have squamous histology and the remainder have non-squamous histology. MAGE-A3 is expressed in 48% of squamous NSCLC and 24% of non- squamous NSCLC. NY-ESO1 has been shown to have an expression rate of 27% across all NSCLC types. We initiated a first-in-human Phase 1/2a trial in the first quarter of 2022, in collaboration with Cancer Research UK, or CRUK, which is sponsoring and funding this study.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VTP-400: A Prophylactic Vaccine Product Candidate for Shingles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Beyond our therapeutic programs, we are also developing several prophylactic vaccine candidates. VTP-400 is our vaccine candidate in development to prevent shingles in adults aged 50 years and older. There are an estimated 140 million cases globally of shingles each year, which can result in significant post-infection pain, known as post-herpetic neuralgia, or even death. Our regional partner in China and Southeast Asia, CanSino, plans to initiate a Phase 1 clinical trial of VTP-400 for shingles prevention.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VTP-500: A Prophylactic Vaccine Candidate to Prevent MERS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We are developing VTP-500 as a vaccine product candidate to prevent infection and subsequent disease caused by the MERS coronavirus. Although human-to-human transmission appears to be rare, MERS coronavirus has the potential to cause epidemics, infecting hundreds of thousands of people and causing significant morbidity and mortality in 34% of infected individuals. Clinical efficacy trials to prevent MERS are challenging to execute due to the sporadic nature of infection, however studies have demonstrated positive Phase 1 safety and immunogenicity infections data. In November 2021, VTP-500 results from the Saudi Arabia Phase 1 study were published in </w:t>
      </w:r>
      <w:r>
        <w:rPr>
          <w:rFonts w:ascii="Times New Roman" w:cs="Times New Roman" w:eastAsia="Times New Roman" w:hAnsi="Times New Roman"/>
          <w:sz w:val="17"/>
          <w:szCs w:val="17"/>
          <w:i w:val="1"/>
          <w:iCs w:val="1"/>
          <w:color w:val="auto"/>
        </w:rPr>
        <w:t>The Lancet Microbe</w:t>
      </w:r>
      <w:r>
        <w:rPr>
          <w:rFonts w:ascii="Times New Roman" w:cs="Times New Roman" w:eastAsia="Times New Roman" w:hAnsi="Times New Roman"/>
          <w:sz w:val="17"/>
          <w:szCs w:val="17"/>
          <w:color w:val="auto"/>
        </w:rPr>
        <w:t>. The Phase 1 data showed that VTP-500 was generally well tolerated in patients, and further development of the product candidate is planned by our non-exclusive licensee, the University of Oxford.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Vaxzevria: A Prophylactic Vaccine for the Prevention of COVID-19 Infection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our platform also positions us to develop vaccines rapidly to address epidemic and pandemic threats, as demonstrated by the speed of the initiation of clinical trials of Vaxzevria (formerly VTP-900 and AZD1222) for the prevention of COVID-19, which entered the clinic within three months from initial antigen design. We co-invented our first-generation COVID-19 vaccine candidate VTP-900, now Vaxzevria, in partnership with the University of Oxford’s Jenner Institute, which we assigned to OUI to facilitate the licensing of those rights by OUI to AstraZeneca. Vaxzevria, uses the ChAdOx1 vector, and encodes the SARS-CoV2 spike protein.</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On June 28, 2021, a sub-analysis from the Oxford-led COV001 and COV002 trials showed that Vaxzevria induced strong immune responses following either a prolonged second dose interval of up to 45 weeks or following a third boosting dose. The results, published by the University of Oxford in </w:t>
      </w:r>
      <w:r>
        <w:rPr>
          <w:rFonts w:ascii="Times New Roman" w:cs="Times New Roman" w:eastAsia="Times New Roman" w:hAnsi="Times New Roman"/>
          <w:sz w:val="17"/>
          <w:szCs w:val="17"/>
          <w:i w:val="1"/>
          <w:iCs w:val="1"/>
          <w:color w:val="auto"/>
        </w:rPr>
        <w:t>The Lancet</w:t>
      </w:r>
      <w:r>
        <w:rPr>
          <w:rFonts w:ascii="Times New Roman" w:cs="Times New Roman" w:eastAsia="Times New Roman" w:hAnsi="Times New Roman"/>
          <w:sz w:val="17"/>
          <w:szCs w:val="17"/>
          <w:color w:val="auto"/>
        </w:rPr>
        <w:t xml:space="preserve"> on September 1, 2021, demonstrated that antibody levels remain elevated from baseline for at least one year following a single dose. An extended interval between the first and second dose of Vaxzevria of up to 45 weeks, resulted in up to an 18-fold increase in antibody response, measured 28 days after the second dose. With a 45 week dosing interval between the first and second dose, antibody titres were four times higher than with a 12 week interval, demonstrating that a longer dosing interval is not detrimental but can derive stronger immunity. In addition, a third dose of Vaxzevria, given at least 6 months after a second dose, boosted antibody levels six-fold and maintained T cell response. A third dose also resulted in higher neutralising activity against the Alpha, Beta, and Delta variants.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AstraZeneca announced positive results from a preliminary analysis of an ongoing safety and immunogenicity trial which showed that Vaxzevria, when given as a third dose booster, increased the immune response to Beta, Delta, Alpha and Gamma SARS-CoV-2 variants, while a separate analysis of samples from the trial showed increased antibody response to the Omicron variant. The results were observed among individuals previously vaccinated with either Vaxzevria or an mRNA vaccine. AstraZeneca also announced that the vaccine has been granted a conditional marketing authorization or emergency use in more than 90 countries. It also has Emergency Use Listing from the World Health Organization, which accelerates the pathway to access in up to 144 countries through the COVAX Facility.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November 1, 2022, more than 3 billion doses of Vaxzevria have been supplied across 180 countries globally. It has been estimated that over 6 million lives have been saved worldwide, and between 37.7 and 122.4 million hospitalizations were prevented. We are eligible to receive a share of royalties and other revenue received by OUI pursuant to its agreement with AstraZeneca for Vaxzevria.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History and Team</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were founded in May 2016 as a spin-out from a leading institution in the United Kingdom, the Jenner Institute at the University of Oxford, with the aim of developing and commercializing innovative immunotherapeutics and vaccines to treat and prevent infectious diseases and cancer. Our platform uses technologies that were developed at the Jenner Institute over 15 years and through clinical trials involving thousands of participants. Our scientific founders, Professor Adrian Hill KBE, FRCP, FRS and Professor Dame Sarah Gilbert DBE, are leaders in the fields of infectious diseases, immunology, vaccine development and viral vectors. Professor Hill is the founding Director of the Jenner Institute at the University of Oxford and is also the Lakshmi Mittal and Family Professor of Vaccinology at the University of Oxford. Professor Gilbert is Professor of Vaccinology at the University of Oxford and leads programs on the development of vaccines against multiple emerging viral pathogens as well as research into vaccine manufacturing. She was the Oxford Project Lead for the Oxford/AstraZeneca COVID-19 vaccine project.</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assembled a management team with extensive expertise in building and operating biopharmaceutical organizations that have discovered, developed and delivered innovative medicines to patients. Our management team has broad experience and successful track records in biopharmaceutical research, clinical development, regulatory affairs, manufacturing and commercialization, as well as in business, operations, and finance. Our management team’s experience was gained at leading institutions that include Agalimmune, Akamis Bio, Altimmune, Aptiv Solutions, Ernst &amp; Young, GenVec, IAVI, Kite Pharma, Pfizer, Merck-Serono, Novartis and Roche.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board of directors has extensive expertise in the fields of science, business and finance. Our scientific advisory board, or SAB, works with our management team in the planning and development of scientific, clinical, and research and development initiatives and strategies. The SAB is composed of scientific and clinical thought leaders in the fields of immunotherapy, vaccine development, immunology, infectious diseases, immunotolerance and oncology.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Key Elements of Our Platform</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proprietary platforms comprise several components that either 1) when combined, allow us to develop product candidates designed to induce high and durable levels of antigen-specific T cells and B cells to prevent and treat infectious diseases and, cancer or 2) in the case of SNAPvax, induce regulatory T cells and/or decrease T cell activation to specifically control autoreactive immune cell hyperactivity, while maintaining the desired tolerability profile. Our immunostimulatory platforms generate excellent immunogenicity in terms of B cell and T cell responses and are differentiated by their ability to induce very high numbers of functional and durable CD8+ T cells. Our tolerizing platform is designed to restore immune tolerance by a mechanism of action, which includes the induction of regulatory T cells. The key elements of our platforms are:</w:t>
      </w:r>
    </w:p>
    <w:p>
      <w:pPr>
        <w:spacing w:after="0" w:line="384" w:lineRule="exact"/>
        <w:rPr>
          <w:sz w:val="20"/>
          <w:szCs w:val="20"/>
          <w:color w:val="auto"/>
        </w:rPr>
      </w:pPr>
    </w:p>
    <w:p>
      <w:pPr>
        <w:jc w:val="both"/>
        <w:ind w:left="640" w:hanging="302"/>
        <w:spacing w:after="0" w:line="259"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Proprietary Simian Vectors: ChAdOx1 and ChAdOx2 are modified simian adenoviral vectors which deliver target antigens into cells to generate a specific immune response. These viruses were originally isolated from chimpanzees to avoid pre-existing immunity issues affecting the use of human adenovirus vectors. Researchers at the Jenner Institute modified the ChAdOx viruses to be non-replicating and to have an increased antigen-carrying capacity. To date, we have developed several vaccine and immunotherapy candidates with the ChAdOx vectors, each carrying target antigens that are specific to desired pathogens and diseases. Adenoviral vectors have demonstrable safety profiles and are immunogenic in all age groups evaluated to date.</w:t>
      </w:r>
    </w:p>
    <w:p>
      <w:pPr>
        <w:spacing w:after="0" w:line="173"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Well-Validated Boost Vector: MVA is a highly attenuated vaccinia virus used to deliver target antigens into cells to generate or boost an immune response. MVA has a large antigen-carrying capacity and is especially immunogenic when used as a boosting vector in a heterologous prime- boost regimen. MVA is replication-deficient and has a well-documented safety profile in hundreds of thousands of people, and is licensed as a smallpox vaccine in both Europe and the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0"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Proprietary Promoters and Enhancers: Promoters and molecular enhancers are genetic codes that influence antigen expression. For our adenoviral vectors, we use a proprietary promoter that is modified from cytomegalovirus. The use of this modified promoter has been shown to increase antigen expression and also the resulting immune response. For our MVA vector, we use a proprietary promoter to control expression of recombinant antigens and thereby enhance T cell induction levels. We may use molecular adjuvants to enhance the CD8+ T cell response.</w:t>
      </w:r>
    </w:p>
    <w:p>
      <w:pPr>
        <w:spacing w:after="0" w:line="174" w:lineRule="exact"/>
        <w:rPr>
          <w:rFonts w:ascii="Times New Roman" w:cs="Times New Roman" w:eastAsia="Times New Roman" w:hAnsi="Times New Roman"/>
          <w:sz w:val="17"/>
          <w:szCs w:val="17"/>
          <w:color w:val="auto"/>
        </w:rPr>
      </w:pPr>
    </w:p>
    <w:p>
      <w:pPr>
        <w:jc w:val="both"/>
        <w:ind w:left="640" w:hanging="302"/>
        <w:spacing w:after="0" w:line="257"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Antigen Selection and Design: We select full-length and subunit antigenic sequences from targeted pathogens, autoimmune targets or cancer targets. We employ unique antigen design strategies to optimize in vivo immune presentation and maximize the desired type of immunogenicity while maintaining the desired tolerability profile. For example, some target diseases may require a greater T cell-mediated response, whereas others may require a more balanced T and B cell response. We use cutting-edge bioinformatics methods to design and optimize our antigen-encoding vectors. To select antigen targets for pathogens, we use databases to rank options based on factors including global distribution of genetic strains, evolutionary competitive advantage, known pathogenicity and sequence upload bias. We design our antigens to achieve maximal antigen presenting cell processing to elicit T cells.</w:t>
      </w:r>
    </w:p>
    <w:p>
      <w:pPr>
        <w:spacing w:after="0" w:line="179" w:lineRule="exact"/>
        <w:rPr>
          <w:rFonts w:ascii="Times New Roman" w:cs="Times New Roman" w:eastAsia="Times New Roman" w:hAnsi="Times New Roman"/>
          <w:sz w:val="17"/>
          <w:szCs w:val="17"/>
          <w:color w:val="auto"/>
        </w:rPr>
      </w:pPr>
    </w:p>
    <w:p>
      <w:pPr>
        <w:jc w:val="both"/>
        <w:ind w:left="640" w:hanging="302"/>
        <w:spacing w:after="0" w:line="259"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Vector Generation and Manufacturing: We employ manipulation of adenovirus genomes to enable rapid generation of recombinant adenoviral vectors to meet GMP standards. We believe our sequencing techniques have the potential to result in safer, more stable, product candidates. Our adenovirus product candidates can be manufactured at exceptional speed and to significant scale, as it has been demonstrated with the COVID-19 vaccine Vaxzevria. Vaxzevria, which is based on the ChAdOx1 vector, was designed, constructed and manufactured for human use within three months. Normal GMP production processes typically take six to ten months each for adenovirus and for MVA.</w:t>
      </w:r>
    </w:p>
    <w:p>
      <w:pPr>
        <w:spacing w:after="0" w:line="173" w:lineRule="exact"/>
        <w:rPr>
          <w:rFonts w:ascii="Times New Roman" w:cs="Times New Roman" w:eastAsia="Times New Roman" w:hAnsi="Times New Roman"/>
          <w:sz w:val="17"/>
          <w:szCs w:val="17"/>
          <w:color w:val="auto"/>
        </w:rPr>
      </w:pPr>
    </w:p>
    <w:p>
      <w:pPr>
        <w:jc w:val="both"/>
        <w:ind w:left="640" w:hanging="302"/>
        <w:spacing w:after="0" w:line="258"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Syntholytic and SNAPvax platforms allow for the presentation of essentially any chosen peptide to the immune system on a nanoparticle. This platform allows for small molecules, such as Toll-like receptor agonists or inducers of T regulatory cells, to be co-delivered to the target cells. The immunostimulatory SNAPvax platform has induced high magnitude, functional CD8+ T cells, especially when given as part of a prime-boost combination with ChAdOx1 in preclinical studies in mice and non-human primates. The tolerizing SNAPvax platform has shown promising data on protection from disease in a mouse model of autoimmunity. The products can be delivered by either the intramuscular or intravenous route, can modify innate immune function, and can be given repeatedly.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Collaboration and License Agreements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2016 License Agreement with OUI</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March 2016, we entered into a license agreement, or the 2016 OUI License Agreement (as amended in January 2019 and April 2020), with OUI (previously known as Isis Innovation Limited) for the development and commercialization of vaccines for influenza, cancer (including therapeutic and prophylactic vaccines and including cancer associated with viral infections), varicella zoster and MERS. We refer to these areas together as the “Field.”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2016 OUI License Agreement, OUI granted us a worldwide license under certain patent rights of OUI, including rights related to the use of ChAdOx1, ChAdOx2, adenoviral and MVA promoters and influenza product candidates, among other rights, or the Licensed Technology, to develop, manufacture, use and commercialize licensed products. The rights are exclusive in certain fields and non-exclusive in others. Our license to certain patents and applications relating to certain adenoviral vectors encoding a pathogen or tumor antigen and certain pox virus expression systems is exclusive within the Field, non- exclusive in all other fields, and excludes veterinary applications. Our license to certain patents and applications relating to certain compositions and methods is exclusive in all fields and excludes veterinary applications. Our license for the use of the ChAdOx1 vector under certain patents and applications relating to certain simian adenovirus and hybrid adenoviral vectors is exclusive in the Field, non-exclusive in all other fields, and excludes veterinary applications (apart from MERS) and certain specified indications. Furthermore, our license with respect to the use of the ChAdOx2 vector under certain patents and applications relating to certain adenoviral vectors is exclusive in certain vaccine-related fields, non- exclusive in all other fields, and excludes all veterinary applications (apart from MERS) and certain other specified indications. In addition, we also obtained a license to certain clinical data generated from OUI projects and related confidential know-how to develop, manufacture, use and commercialize licensed products, and such license is exclusive in the Field, other than with respect to know-how related to ChAdOx2, which is licensed non-exclusively. The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2016 OUI License Agreement, all intellectual property rights resulting from improvements made prior to the second anniversary of the agreement (i) to the licensed patent rights by the inventor belong to OUI, and (ii) to the Licensed Technology by us belong to us. OUI retains the right for the University of Oxford and any person who works or has worked on the Licensed Technology to use the Licensed Technology, as well as any improvements that we made to that technology during the first two years of the license, for education, research and limited clinical patient care. Furthermore, the University of Oxford may publish the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Licensed Technology to encourage basic research for education and limited clinical patient care but may not grant licenses for commercialization of the Licensed Technology that is exclusively licensed to us, nor for development or marketing or products or services that are produced or supplied using the Licensed Technology.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execution of the 2016 OUI License Agreement, we paid OUI a one-time upfront fee of £100,000. We are obligated to pay OUI a low single-digit royalty (that varies based on the indication) on net sales of any product or process produced by or using the Licensed Technology. If we sublicense the Licensed Technology, we will be required to pay OUI a mid-single-digit royalty on any royalties paid to us by the sublicensee and a high single-digit royalty on non-royalty sublicensing income (excluding milestone payment income overlapping with milestone payments paid to OUI and income used to fund research and development). In the event that the royalties (excluding the royalty on sublicensing income) owed to OUI do not amount to a specified minimum ranging from the mid five figures to low six figures based on the license year in each year following March 2020, we must also pay OUI the difference between the royalty paid and the applicable minimum sum payable. In March 2021 we therefore paid £38,750 to OUI, being the difference between royalties paid and the minimum sum payable. In addition, we are required to pay OUI milestone payments of up to an aggregate of £14.8 million upon the achievement of specified development, regulatory and commercial milestones.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2016 OUI License Agreement will continue until the later of the expiration of the last claim of a licensed patent or 20 years from the date of the agreement. The last patent under the 2016 OUI License Agreement, if granted, is expected to expire in November 2039,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2016 OUI License Agreement, we are required to, among other things, grant to OUI an irrevocable, transferable, non-exclusive license to develop, make and use any improvements to the Licensed Technology which we made prior to the second anniversary of the date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License Agreement with OUI</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September 2017, we entered into a further license agreement with OUI, or the 2017 OUI License Agreement, for the development and commercialization of immunotherapies for HBV and HPV.</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Pursuant to the 2017 OUI License Agreement, we acquired a worldwide license under certain additional patent rights of OUI, including rights related to the use of HBV immunotherapy product candidates, HPV immunotherapy product candidates and shark invariant chain polypeptides, among other rights, or the 2017 Licensed Technology, to develop, manufacture, use and commercialize licensed products. The rights are exclusive in some fields and non-exclusive in others. Our license to certain patents and applications relating to certain HBV and HPV vaccines is exclusive in all fields. Our license to certain patents and applications relating to molecular adjuvants is non-exclusive in the field of HBV. Our license to certain patents and applications relating to certain simian and hybrid adenoviral vectors is exclusive in the fields of HPV associated diseases and HBV. Further, our license to certain patents and applications relating to certain other vectors is exclusive in the field of HBV.</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2017 OUI License Agreement, we also obtained a non-exclusive license under related know- how to develop, manufacture, use and commercialize licensed products in all fields. The 2017 Licensed Technology is sublicensable subject to obtaining OUI’s prior written consent (such consent not to be unreasonably withheld, conditioned or delayed) and inclusion in any sublicense agreement of restrictions on further sub-licensing, among other terms.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2017 OUI License Agreement, all intellectual property rights resulting from improvements made prior to the second anniversary of the agreement (i) to the licensed patent rights by the inventor belong to OUI, and (ii) to the 2017 Licensed Technology by us belong to us. OUI retains the right for the University of Oxford and any person who works or has worked on the 2017 Licensed Technology to use the 2017 Licensed Technology, as well as any improvements that we made to that technology during the first two years of the license, for education, research and limited clinical patient care. Furthermore, the University of Oxford may publish the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2017 Licensed Technology to encourage basic research for education and limited clinical patient care but may not grant licenses for commercialization of the 2017 Licensed Technology that is exclusively licensed to us, nor for development or marketing or products or services that are produced or supplied using the 2017 Licensed Technology.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Upon execution of the 2017 OUI License Agreement, we paid OUI a one-time upfront fee of £50,000. We are obligated to pay OUI a low single-digit royalty (that varies based on the indication) on net sales made by us or our sublicensees of any product or process produced by or using the 2017 Licensed Technology. In the event that such sales royalties owed to OUI do not amount to a specified minimum ranging from the mid five figures to low six figures based on the license year in each year following September 2020, we must also pay OUI the difference between the royalty paid and the applicable minimum sum payable. If we sublicense the 2017 Licensed Technology, we will be required to pay OUI a mid-single-digit royalty on non- royalty sublicensing income (excluding milestone payment income overlapping with milestone payments paid to OUI and income used to fund research and development). In addition, we are required to pay OUI milestone payments of up to an aggregate of £9.85 million upon the achievement of specified development, regulatory and commercial milestones.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2017 OUI License Agreement will continue until the later of the expiration of the last claim of a licensed patent or 20 years from the date of the agreement. The last patent under the 2017 OUI License Agreement, if granted, is expected to expire in August 2038,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2017 OUI License Agreement, we are required to, among other things, grant to OUI an irrevocable, transferable, non-exclusive license to develop, make and use any improvements to the Licensed Technology which we made prior to the second anniversary of the date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License Agreement with OUI (Vaccitech North America, Inc.)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March 2017, Avidea Technologies Corporation (“Avidea”) entered into a license agreement with OUI for the development and commercialization of products comprising thermo-responsive adjuvant scaffolds for use in all indications. All of Avidea’s rights, duties and obligations under the 2017 OUI License Agreement were assumed by Vaccitech North America, Inc. (“Vaccitech NA”) following the acquisition of Avidea by Vaccitech plc. on December 10, 2021.</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Pursuant to the 2017 OUI License Agreement, OUI granted us a worldwide license under certain patent rights of OUI related to the use of thermo-responsive adjuvant scaffolds, among other rights, or the Licensed Technology, to develop, manufacture, use and commercialize licensed products. The license to patent rights are exclusive in all fields, and the license to know how is non-exclusive. The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2017 OUI License Agreement, all intellectual property rights resulting from improvements made by us belong to us. OUI retains the right for the University of Oxford, the U.S. National Institutes of Allergy and Infectious Diseases (“NIAID”), the Instutite of Macromolecular Chemistry of the Czech Republic (“IMC”) and any person who works or has worked on the Licensed Technology to use the Licensed Technology and any licensee improvements for non-commercial use. Furthermore, the University of Oxford, NIAID or IMC may publish the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Licensed Technology to encourage basic research for education and limited clinical patient care but may not grant licenses for commercialization of the Licensed Technology that is exclusively licensed to us, nor for development or marketing or products or services that are produced or supplied using the Licensed Technology.</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Upon execution of the 2017 OUI License Agreement, we paid OUI a one-time upfront fee of £3,000. We are obligated to pay OUI a low single-digit royalty on net sales of any product or process produced by or using the Licensed Technology. If we sublicense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Licensed Technology, we will be required to pay OUI a mid-single-digit royalty on any non-royalty sublicensing income. As of March 23, 2023, OUI has not been paid any royalties under the 2017 OUI License Agreement. In the event that the royalties (excluding the royalty on sublicensing income) owed to OUI do not amount to a specified minimum ranging from the low to mid five figures based on the license year in each year following March 2020, the licensee must also pay OUI the difference between the royalty paid and the applicable minimum sum payable. In March 2021 £10,000 was paid to OUI, being the difference between royalties paid and the minimum sum payable. In March 2023 £40,000 was paid to OUI, being the difference between royalties paid and the minimum sum payable. In addition, we are required to pay OUI milestone payments of up to an aggregate of £2.43 million upon the achievement of specified development, regulatory and commercial milestones.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2017 OUI License Agreement will continue for as long as anything within the definition of the licensed patent remains in effect or 20 years from the date of the agreement. The patent licensed under the 2017 OUI License Agreement, if granted, is expected to expire in October 2035, without giving effect to any potential patent term extensions or patent term adjustments. Either party may terminate for the uncured breach of the other party. We may terminate the agreement at any time upon six months’ prior written notice. OUI may terminate the agreement upon us filing for bankruptcy or in the event of liquidation or receivership proceedings, or upon 30 days’ prior written notice upon the occurrence of certain other events. Upon termination of the 2017 OUI License Agreement, we are required to, among other things, grant to OUI an irrevocable, transferable, non-exclusive license to develop, make and use any improvements to the Licensed Technology which we made prior to the second anniversary of the date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Cooperative Research and Development Agreement with NIH (Vaccitech North America, Inc.)</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February 2017, Avidea entered into a Cooperative Research and Development Agreement (“CRADA”) with the U.S. National Institutes of Health (“NIH”) to carry out collaborative research for the evaluation of Avidea’s synthetic, polymer-based vaccine technology, “Immunotherapeutic Nanoscaffolds” (IMNs) for infectious disease prevention and cancer treatment in animal models. Under this CRADA Avidea committed to providing scientific staff together with materials for use in experiments to evaluate their performance in various animal models of infectious disease and cancer. Under this CRADA NIH committed to evaluating Avidea materials in animal models and to perform comprehensive immune analysis. No funding was exchanged under this CRADA.</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October 2019, the CRADA was amended (“1st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Under this 1st CRADA Amendment Avidea committed to increase its scientific staffing contribution and to provide funding of $22,500 by October 15, 2019 and a further $62,500 by October 15, 2020.</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October 2020, the CRADA was further amended (“2nd CRADA Amendment”) to defer payment of Avidea’s October 2020 funding contribution of the 1st CRADA Amendment to April 15, 2021.</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May 2021, the CRADA was further amended (“3rd CRADA Amendment”) to extend the term of the CRADA by 2 additional years and to defer payment of Avidea’s April 2021 funding contribution of the 2nd CRADA Amendment to October 31, 2021.</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November 2021, the CRADA was further amended (“4th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(e.g., induction of suppression and/or tolerance for treating or preventing allergies, autoimmunity, and transplant rejection).</w:t>
      </w:r>
    </w:p>
    <w:p>
      <w:pPr>
        <w:spacing w:after="0" w:line="3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October 2022, the CRADA was further amended (“5th CRADA Amendment”) to acknowledge that all of Avidea’s rights, duties and obligations under the CRADA were assumed by Vaccitech North America, Inc. (“Vaccitech NA”) following the acquisition of Avidea by Vaccitech plc. on December 10, 2021.</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Under the CRADA as amended we own inventions made solely by our staff, and we have an option to enter an exclusive or nonexclusive license to any inventions made solely by NIH staff or made jointly by our staff and NIH under the CRADA. NIH retains rights on behalf of the U.S. Government in the Licensed Technology as required by statute and NIH policy. We have an option to exclusively license any further inventions made under the CRADA.</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Unless earlier terminated, the CRADA will expire on February 23, 2024. The parties may terminate the CRADA by mutual consent, or either party may unilaterally terminate the CRADA at any time upon 60 days’ prior written notice.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2019 License Agreement with NIH (Vaccitech North America, Inc.)</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September 2019, Avidea entered into a license agreement with the U.S. National Institutes of Health (“NIH”) for the commercial development of products and processes for the prevention and/or treatment of cancer and infectious diseases within the scope of Licensed Patent rights that had been developed under a Cooperative Research and Development Agreement (“CRADA”) entered into by NIH and Avidea in February 2017 and amended in March 2019, December 2020, May 2021, November 2021 and October 2022. We are co-owners of all the Licensed Patents under this agreement, and we have an option to exclusively license NIH rights in all inventions made under this CRADA.</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All of Avidea’s rights, duties and obligations under the 2019 License Agreement with NIH were assumed by Vaccitech North America, Inc. (“Vaccitech NA”) following the acquisition of Avidea by Vaccitech plc. on December 10, 2021. The 2019 License Agreement with NIH was amended in September 2022 to note Vaccitech NA’s rights, duties and obligations and also to include newly filed patents developed under the 2017 CRADA as amended.</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Pursuant to the 2019 License Agreement with NIH, NIH granted us a worldwide exclusive license under certain patent rights co-owned by us and NIH related to the use of the SNAPvax and syntholytic technology platforms, among other rights, or the Licensed Technology, to develop, manufacture, use and commercialize licensed products. The license to patent rights are exclusive in all fields. The Licensed Technology is sublicensable subject to obtaining NIH’s prior written consent (such consent not to be unreasonably withheld) and inclusion of other customary provisions. NIH retains rights on behalf of the U.S. Government in the Licensed Technology as required by statute and NIH policy.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Upon execution of the 2019 License Agreement with NIH, we paid NIH a one-time upfront fee of $20,000. We are obligated to pay NIH a low single-digit royalty on net sales of any product or process produced by or using the Licensed Technology. If we sublicense the Licensed Technology, we will be required to pay NIH a low-single-digit royalty on any non-royalty sublicensing income. As of March 23, 2023, NIH has not been paid any royalties under the 2019 License Agreement with NIH. In the event that the royalties (excluding the royalty on sublicensing income) owed to NIH do not amount to a specified minimum ranging from the low to mid five figures based on the license year in each year following September 2019, the licensee must also pay NIH the difference between the royalty paid and the applicable minimum royalty payment. Within 60 days of execution of the 2019 License Agreement with NIH we paid $5,000 to NIH. Within 60 days of January 1, 2020 $5,000 was paid to NIH, being the difference between royalties paid and the minimum sum payable. Within 60 days of January 1, 2021 $5,000 was paid to NIH, being the difference between royalties paid and the minimum sum payable. Within 60 days of January 1, 2022 $10,000 was paid to NIH, being the difference between royalties paid and the minimum sum payable. Within 60 days of January 1, 2023 $10,000 was paid to NIH, being the difference between royalties paid and the minimum sum payable. In addition, we are required to pay NIH milestone payments of up to an aggregate of $3.24 million upon the achievement of specified development, regulatory and commercial milestones for each Licensed Product.</w:t>
      </w:r>
    </w:p>
    <w:p>
      <w:pPr>
        <w:spacing w:after="0" w:line="3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2019 License Agreement with NIH will continue until expiry of the last to expire Licensed Patent. 5 patent families licensed under the 2019 License Agreement with NIH that cover the SNAPvax platform, if granted, are expected to expire in April 2038, in May 2039, in October 2039, in February 2042 and in June 2042, without giving effect to any potential patent term extensions or patent term adjustments. Two patent families licensed under the 2019 License Agreement with NIH that cover the syntholytic platform, if granted, are expected to expire in April 2040 and in October 2041, without giving effect to any potential patent term extensions or patent term adjustments. Either party may terminate for the uncured breach of the other party. We may terminate the agreement at any time upon 60 days’ prior written notice. NIH may terminate the agreement upon the occurrence of certain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2017 Research Collaboration Agreement (“RCA”) with Institute of Macromolecular Chemistry, Prague (Vaccitech North America, Inc.)</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September 2017, Avidea entered into a Research Collaboration Agreement (“RCA”) with the Czech Institute of Macromolecular Chemistry, (“IMC”) to carry out collaborative research for the development of polymer-based immunotherapies for cancer treatment, HIV prevention and recombinant protein delivery. Under this RCA Avidea committed to providing bioactive moecules and to developing and deploying animal models for evaluating immunotherapies. Under this RCA IMC committed to synthesizing various polymers and bioactive molecules and to linking such polymers and bioactive molecules for use in experiments to characterize their physicochemical properties. No funding was exchanged under this RCA. All of Avidea’s rights, duties and obligations under the 2017 RCA with IMC were assumed by Vaccitech North America, Inc. (“Vaccitech NA”) following the acquisition of Avidea by Vaccitech plc. on December 10, 2021.</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Under the RCA we own inventions made solely by our staff, and we have an exclusive option to enter an exclusive or nonexclusive license to any inventions made solely by IMC staff or made jointly by our staff and IMC under the RCA. We have secured exclusive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rights in two patent families that we co-own with IMC under the 2022 License Agreement with IMC as described below. We have an exclusive option to exclusively license any further inventions made under the RCA. The RCA expired on September 18, 2022. Our rights in inventions made under the RCA survive expiry of the RCA.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License Agreement with IMC (Vaccitech North America, Inc.)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April 2022, we entered into an exclusive license agreement with the Czech Institute of Macromolecular Chemistry, (“IMC”) for the exploitation, development and commercialization of technologies and products within the scope of Licensed Patent rights that had been developed under a Research Collaboration Agreement (“RCA”) entered into by IMC and Avidea in September 2017. We are co-owners of all the Licensed Patents under this agreement, and we have an option to exclusively license IMC rights in all inventions made under this RCA.</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the 2022 License Agreement with IMC, IMC granted us a worldwide, exclusive license under certain patent rights co-owned by us and IMC related to the use of polymer-based immunotherapies, among other rights, or the Licensed Technology, to develop, manufacture, use and commercialize licensed products. The license to patent rights is exclusive in all fields. The Licensed Technology is sublicensable.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obligated to pay IMC a low single-digit royalty on net sales of any product or process produced by or using the Licensed Technology. If we sublicense the Licensed Technology, we will be required to pay IMC a low-single-digit royalty on any non-royalty sublicensing income. As of March 23, 2023, IMC has not been paid any royalties under the 2022 License Agreement with IMC. In addition, we are required to pay IMC milestone payments of up to an aggregate of $820,000 upon the achievement of specified development, regulatory and commercial milestones for each Licensed Product.</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Unless earlier terminated, the 2022 License Agreement with IMC will continue until expiry of the last valid claim of the Licensed Patents. One patent family licensed under the 2022 License Agreement with IMC that covers the SNAPvax platform, if granted, is expected to expire in September 2041, without giving effect to any potential patent term extensions or patent term adjustments. One patent family licensed under the 2022 License Agreement with IMC that covers the syntholytic platform, if granted, is expected to expire in April 2040, without giving effect to any potential patent term extensions or patent term adjustments. Either party may terminate for the uncured breach or insolvency of the other party. We may terminate the agreement at any time upon 3 months’ prior written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2019 License Agreement with OUI</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January 2019, we entered into an additional license agreement with OUI, or the 2019 OUI License Agreement. Pursuant to the 2019 OUI License Agreement, OUI granted us a worldwide, license under an additional patent application of OUI related to the rapid production of recombinant adenovirus constructs, to be used as personalized cancer vaccines or emerging pathogen vaccines, and related confidential know-how, or the 2019 Licensed Technology, to develop, manufacture, use and commercialize licensed products. The license is exclusive in the field of personalized cancer vaccines for therapeutic use in humans, non- exclusive in in all other fields and excludes veterinary applications (apart from MERS) and certain other specified indications. The license is sublicensable subject to obtaining OUI’s prior written consent (such consent not to be unreasonably withheld, conditioned or delayed) and inclusion in any sublicense agreement of restrictions on further sub-licensing, among other terms.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2019 OUI License Agreement, all intellectual property rights resulting from improvements made prior to the second anniversary of the agreement (i) to the licensed patent rights by the inventor belong to OUI, and (ii) to the 2019 Licensed Technology by us belong to us. OUI retains the right for the University of Oxford and any person who works or has worked on the Licensed Technology to use the 2019 Licensed Technology, as well as any improvements that we make to that technology during the first two years of the license, for education, research and limited clinical patient care. Furthermore, the University of Oxford may publish the 2019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2019 Licensed Technology to encourage basic research for education and limited clinical patient care but may not grant licenses for commercialization of the 2019 Licensed Technology that is exclusively licensed to us, nor for development or marketing or products or services that are produced or supplied using the 2019 Licensed Technology.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Upon execution of the 2019 OUI License Agreement, we paid OUI a nominal upfront fee. We are required to pay OUI a variable low single-digit royalty on net sales of products we develop using the 2019 Licensed Technology, which varies depending on whether the sales are within or outside of the field of personalized cancer vaccines for therapeutic use in humans. While we are continuing to develop the 2019 Licensed Technology, no product candidate that we are currently developing incorporates this technology. If we sublicense the 2019 Licensed Technology, we will be required to pay OUI a 15% or 7% royalty (for licensed products within the field and outside the field respectively) on any royalties paid to us by the sublicensee and 15% or 7.5% of non-royalty sublicensing income (for sublicenses granted before or after three years after the date of the agreement respectively). In the event that the aforementioned royalties (excluding the royalty on non-royalty sublicensing income) owed to OUI do not amount to a specified minimum ranging from the mid five figures to low six figures based on the license year in each year following January 2022, we must also pay to OUI the difference between the royalty paid and the applicable minimum sum payable. In addition, if we develop at least two products in the Field, we are required to pay OUI milestone payments of up to an aggregate of £1.9 million upon the achievement of specified development, regulatory and commercial milestones.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Subject to earlier termination, the 2019 OUI License Agreement will continue until the later of the expiration of the last claim of a licensed patent or 20 years from the date of the agreement. The last patent under the 2019 OUI License Agreement, if granted, is expected to expire in August 2039, without giving effect to any potential patent term extensions or patent term adjustments. Either party may terminate for the uncured breach of the other party. At any time after the third anniversary of the agreement,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2019 OUI License Agreement, we are required to, among other things, grant to OUI an irrevocable, transferable, non- exclusive license to develop, make and use any improvements (to the technology embodied by the relevant licensed patent and know-how) which we made prior to the second anniversary of the date of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2018 License Agreement with OUI and Oxford</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September 2018, we entered into a license agreement, or the 2018 License Agreement, with The Chancellor, Masters and Scholars of the University of Oxford, or Oxford, and OUI. Pursuant to the 2016 OUI License Agreement, OUI had granted us certain exclusive rights related to the Licensed Technology, as defined in the 2016 OUI License Agreement, in the field of diagnosis, prevention and treatment of MERS. The 2018 License Agreement enables Oxford to grant a further sublicense to CEPI in the field of MERS, or the Field, and to enable Oxford to conduct related activities.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2018 License Agreement, we agreed to grant to Oxford a fully-paid-up, worldwide, non- exclusive license under the Licensed Technology, as defined in the 2016 OUI License Agreement, and developments and improvements to such technology controlled by us during the term of the 2016 OUI License Agreement, or the MERS Technology, in the Field solely for the purpose of enabling Oxford to develop any product or process which uses or is within the scope of the MERS Technology, or Licensed Product. This license includes the right to generate investigational stockpiles, but excludes any commercial use or sale of Licensed Products and is sublicensable by Oxford solely to its collaborators under the framework agreement entered into on or about the same date as the 2018 License Agreement between Oxford, CEPI and Janssen Vaccines &amp; Prevention B.V. Furthermore, we agreed that the rights retained by OUI under the 2016 OUI License Agreement include the right to allow Oxford to use the MERS Technology to carry out research activities (including in collaboration with other parties) up to and including the performance of Phase 1/2 clinical trials and related activities, and the generation of Licensed Product for research use (but excluding any commercial use or sale of such Licensed Product). We have been informed by Oxford that Janssen Vaccines &amp; Prevention B.V. is no longer a party to that framework agreement.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we agreed to grant to Oxford a fully-paid-up, worldwide, non-exclusive license under the MERS Technology in the Field solely for the purpose of enabling Oxford to grant a sublicense to CEPI in order to address (i) circumstances in which CEPI determines there to be a heightened need for the Licensed Product and that steps should be taken to prepare for such need; and/or (ii) material increases in the number of cases of people infected with MERS in particular geographical areas that are declared a public health emergency. Oxford is permitted to grant CEPI a fully-paid-up, worldwide, non-exclusive sublicense under the MERS Technology to develop, manufacture and commercialize the Licensed Product in the Field anywhere in the world, provided that all end users (i) are in a relevant affected territory, or (ii) are healthcare workers going to an affected territory under the direction of one or more governments or recognized not-for-profit organizations, or Public Sector Agencies, in order to help address a public healthcare issue. However, the sublicense must exclude the right for CEPI to (i) apply for or obtain any marketing approval or conduct any post-marketing activities, (ii) sell Licensed Product other than to Public Sector Agencies on a “cost plus” basis, where “cost plus” means the cost of manufacturing and supply plus a margin of 10% percent on such cost, or (iii) further sublicense its rights other than to its affiliates and/or to Public Sector Agencies and their appointees for the sole purpose of accelerating epidemic preparedness for public health applications.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the 2018 License Agreement, OUI agreed that, notwithstanding our payment obligations under the 2016 OUI License Agreement, we are not obligated to make any payment to OUI in connection with the 2018 License Agreement.</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Unless earlier terminated, the 2018 License Agreement shall remain in full force until the expiry or termination of the 2016 OUI License Agreement. We may terminate the 2018 License Agreement immediately upon notice to Oxford in the event of Oxford’s uncured material breach. In the event of termination of the 2018 License Agreement, provided that CEPI is not in breach of the terms of its sublicense, we shall at CEPI’s request grant it a sublicense under the MERS Technology in the Field solely of the scope outlined above and on materially the same terms, to the extent that we are able to do 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OUI License Agreement Amendment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April 2020, we entered into an amendment, assignment and revenue share agreement, or the OUI License Agreement Amendment, with OUI to amend the 2016 OUI License Agreement. Pursuant to the 2016 OUI License Agreement and among other rights and obligations, OUI granted to us a non-exclusive license to certain patent applications relating to its ChAdOx1 and ChAdOx2 vaccine vectors and the adenovirus long promoter for use in certain fields, or the Field, including SARS-CoV2, which is the virus known to cause COVID-19. The OUI License Agreement Amendment was entered into to enable a single exclusive license agreement for a COVID-19 vaccine co-developed by us and the University of Oxford’s Jenner Institute to be negotiated with a suitable pharmaceutical partner.</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OUI License Agreement Amendment, we agreed to exclude SARS-CoV2 from the Field and to cease use of the ChAdOx1 vector, ChAdOx2 vector and the adenovirus long promoter in SARS-CoV2. In addition, we assigned to OUI our rights to a jointly owned U.K. patent application relating to the composition of matter related to a ChAdOx1 vector-based or a ChAdOx2 vector-based vaccine to prevent COVID-19, or the Assigned Patent Application, as well as certain other intellectual property rights related to any ChAdOx1 vector-based or ChAdOx2 vector-based COVID-19 vaccine covered by the Assigned Patent Application and its manufacture, including rights to the variations, improvements and modifications thereof, whether existing at or arising after the date of the OUI License Agreement Amendment. In consideration of the rights granted by us,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The last patent under the OUI License Agreement Amendment, which is owned by OUI, if granted, is expected to expire in March 2041, without giving effect to any potential patent term extensions or patent term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Impact of OUI’s Agreement with AstraZeneca</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OUI has entered into an exclusive research collaboration and worldwide license agreement, or the AstraZeneca License Agreement, with AstraZeneca UK Limited, or AstraZeneca. The following description of the impact of AstraZeneca License Agreement with respect to our rights under the OUI License Agreement Amendment is based solely on an extract of the AstraZeneca License Agreement provided by the parties to that agreement. We are not a party to the AstraZeneca License Agreement and do not have access to a copy of that agreement to verify the accuracy of such extract. In addition, no party to the AstraZeneca License Agreement has confirmed that there are no material terms in that agreement that are not included in the description below that could adversely impact the economic and other terms of the AstraZeneca License Agreement described below. Moreover, there can be no assurance that the AstraZeneca License Agreement is an enforceable agreement, that the parties thereto will comply with their obligations under that agreement (including any obligations of AstraZeneca to make milestone or royalty payments to OUI), or that the terms of that agreement (including royalty rates and other economic terms) will not be modified by the parties in the future. Accordingly, these and other factors could cause amounts received by OUI pursuant to the AstraZeneca License Agreement to differ from those described below, and any such differences could be material.</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AstraZeneca License Agreement allows AstraZeneca to pursue, among other things, the commercialization of a vaccine product candidate for the prevention of COVID-19 containing one or more of the ChAdOx1 or ChAdOx2 vectors or their derivatives. AstraZeneca announced that as of January 13, 2022, the vaccine had been granted a conditional marketing authorization or emergency use in more than 90 countries. It also has Emergency Use Listing from the World Health Organization, which accelerates the pathway to access in up to 144 countries through the COVAX Facility.</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the OUI License Agreement Amendment, we received $2.4 million in July 2020 as our share of the upfront fee paid by AstraZeneca. We are also entitled to receive a share of certain regulatory and sales milestones and royalties on net sales of Vaxzevria, as well as a portion of any sublicensing income payable by AstraZeneca. Our share of the royalties on net sales of Vaxzevria is approximately 1.4%.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understanding is that we were not entitled to receive any royalties or payments from sub-licensees from the commercialization of Vaxzevria until after the pandemic period, which was defined as a period that would end on July 1, 2021 (or such later date when AstraZeneca, in good faith, determines that the COVID-19 pandemic is over). However, our understanding is that we would be entitled to receive our share of any regulatory milestone payments during the pandemic period.</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royalty term for net sales of Vaxzevria commenced in 2022 and will continue, on a country-by-country basis, until the later of (i) the date upon which the vaccine is no longer subject to patent protection in such country, (ii) expiration of regulatory exclusivity for the vaccine in such country or (iii) ten years from the first commercial sale of the vaccine in such country.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Master Collaboration Agreement with CanSino Biologics Inc.</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September 2018, we entered into a master collaboration agreement, or the CanSino Agreement, with CanSino Biologics Inc., or CanSino. The CanSino Agreement provides a framework under which we can agree with CanSino (in separate project agreements) the details of one or more collaborative projects for the development and commercialization of certain products, and carry out those projects under the terms of the CanSino Agreement and the respective project agreements in our respective territories. Under the CanSino Agreement, the CanSino Territory includes China (including Taiwan, Hong Kong and Macao), Malaysia, Thailand, Myanmar, Indonesia, Laos, Vietnam, and the Philippines, while our territory, or the Vaccitech Territory, includes the rest of the world.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CanSino Agreement, each party grants to the other party a royalty-free, non-exclusive license to use its relevant background intellectual property rights, or Background IPR, solely to perform the project in the other party’s territory, together with a right to sub-license to any agreed-upon subcontractor performing services for and on behalf of the other party. For any collaborative project, each party is obliged to provide to the other party all applicable materials specified in that project agreement and to grant to the other party a non-exclusive license to use such materials solely for the purpose of that project. In addition, each party grants to the other party a non-exclusive license to use its Background IPR and an exclusive license to any new intellectual property created in the course of activities performed by such party in relation to a project or otherwise under the CanSino Agreement, or New IPR, to the extent necessary to commercialize and exploit collaboration products in the other party’s territory. Such commercialization licenses are sublicensable (without further right to sub-license) and subject to the payment of royalties and milestones as set out in the relevant project agreement. CanSino is permitted to commercialize such products only in the CanSino Territory and we are entitled to commercialize such products in the Vaccitech Territory. Both parties are under obligations to use commercially reasonable efforts to maximize sales of products that are the subject of collaboration.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term of any project agreement entered into as contemplated by the CanSino Agreement and for three months thereafter, neither party is permitted to enter into discussions, collaborations or similar arrangements with any third parties regarding matters or products which are materially the same as set forth in the project agreement or related to the project that is the subject of the project agreement, unless such party reasonably believes such an arrangement with such third party would not be detrimental to the relevant project or project arrangement. Furthermore, unless agreed otherwise in a project agreement, for any product which we collaboratively develop, CanSino has the exclusive and sub-licensable right to manufacture and supply all master virus seed and clinical adenoviral material necessary for the development and sale of any products by either party in their respective territories. CanSino will supply any such material to be used by us for the manufacture of products to be sold by us (or our sub-licensees) at the price of 15% to 30% over cost of goods sold, or COGS. COGS is equal to the reasonable COGS for equivalent material manufactured by CanSino or its subcontractors for sale by CanSino or its sub-licensees.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Unless agreed otherwise in a project agreement: (i) any improvements of a party’s Background IPR will be owned by the party with rights to such Background IPR, and will be treated as Background IPR; and (ii) New IPR will be owned by one or both parties in accordance with the respective inventive contribution of each party as determined by the principles of United Kingdom patent law. Where any New IPR is wholly owned by a party, that party is obliged to endeavor to file patent applications to the extent required to provide reasonable protection for the relevant product. Where any New IPR is jointly owned by the parties, we are obliged to endeavor to file patent applications to the extent required to provide reasonable protection for the relevant product, in consultation with CanSino, with costs shared between the parties. Before we abandon a jointly-owned patent claiming any New IPR, we must give CanSino at least three months’ notice, and CanSino can request assignment of our rights on terms to be agreed. We are obliged to discuss with CanSino the enforcement of jointly owned patent rights but are entitled to enforce such patent rights outside the CanSino Territory.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CanSino Agreement will continue for ten years from the date of the agreement. Either party can terminate by written notice for the uncured material breach or persistent breaches of the other party. Either party may terminate by written notice if the other party cannot pay its debts, takes any step in connection with entering administration, liquidation, or other arrangement with creditors (other than a solvent arrangement), or suspends all or part of its business; or suffers a force majeure event that continues for 60 days. Furthermore, a project agreement entered into pursuant to the CanSino Agreement shall automatically terminate if the 2016 OUI License Agreement or the 2017 OUI License Agreement terminates or expires, Background IPR licensed from OUI is necessary under such project agreement and the parties are unable to agree to a modification of the project or relevant collaboration product that would not require use of such Background IPR.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2018 ChAdOx Zoster Project Agreement (under the CanSino Agreement)</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the CanSino Agreement, we entered into a project agreement in September 2018 with CanSino, or the ChAdOx Zoster Project Agreement, with the goal of developing a Zoster vaccine to become a competitor to Shingrix.</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the ChAdOx Zoster Project Agreement, we are responsible for funding and undertaking various development tasks, including (subject to availability of funding) conducting a Phase 1 clinical trial in the UK. CanSino is responsible for funding and undertaking various development tasks, including conducting a Phase 1 clinical trial in China. The parties’ rights and responsibilities in relation to Phase 2 and 3 clinical trials are pending, subject to further negotiation. In addition, the parties agreed to use all reasonable efforts to enter into a separate supply agreement pursuant to which CanSino will manufacture all product necessary for clinical trials and commercialization under the project agreement. If the parties cannot agree upon such supply agreement, they must follow a specified dispute resolution process set forth in the CanSino Agreement. For all products manufactured by CanSino under a supply agreement that we wish to sell in the Vaccitech Territory, we have agreed to pay the costs incurred by CanSino to manufacture the products plus 20% of such costs.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received an upfront payment of £50,000 under this project agreement. We will also receive milestone payments of up to an aggregate of £1.125 million based on successful conduct of clinical trials and commercialization of the product. We will receive mid-single-digit royalties on the net sales of the product by or on behalf of CanSino or its sub-licensees in the CanSino Territory. If CanSino sublicense their rights in the product to a non-affiliate third party, we are also entitled to receive a mid-teens royalty on the transaction value (excluding royalties). We must pay to CanSino mid-single-digit royalties on the net sales of the product by or on behalf of us or our sub-licensees in the Vaccitech Territory. A party will benefit from a reduction of its royalties (in the low single digits) where it requires a license from a third party to sell the product in its territory.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Unless earlier terminated, the term of the ChAdOx Zoster Project Agreement will expire upon the later of expiry of all registered patents in the New IP developed under the project, or ten years from first commercial sale of the product. The last patent under the ChAdOx Zoster Project Agreement, if granted, is expected to expire in November 2039, without giving effect to any potential patent term extensions or patent term adjustments. A party may terminate the ChAdOx Zoster Project Agreement by written notice if the other party unreasonably delays the performance of its obligations. Upon the expiration of the term, we agreed to grant CanSino a royalty-free, perpetual, sub-licensable, non-exclusive license to use our Background IPR and our New IPR used to develop, incorporated in, or referenced in any products that are the subject of the project agreement to the extent necessary for CanSino to undertake research, develop, manufacture and commercialize such products in the CanSino Territory. Pursuant to the CanSino Agreement, upon the expiration or earlier termination of the project agreement, except for termination by CanSino for our breach, CanSino agreed to grant us a royalty-free, perpetual, sub-licensable, non-exclusive license to use their Background IPR and New IPR used to develop, incorporated in, or referenced in any products that are the subject of the project agreement to the extent necessary for us to undertake research, develop, manufacture and commercialize such products in the Vaccitech Territory. Unless we terminate the project agreement early for CanSino’s breach, upon early termination after completion of a Phase 1 trial, we will continue to pay CanSino a low single-digit royalty on net sales of the product by us or our sub-licensees in the Vaccitech Territory, for the remainder of the Term. If such early termination is after completion of a Phase 2 trial, the royalty we must pay rises to mid-single digit.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 and Option Agreement with Cancer Research UK</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December 2019, Vaccitech Oncology Limited, or VOLT, entered into a clinical trial and option agreement, or the Clinical Trial Agreement, with CRUK and CRUK’s subsidiary, Cancer Research Technology Limited, or CRT, relating to the conduct of a Phase 1/2a clinical trial of VOLT’s VTP-600 immunotherapy product in patients with non-small cell lung cancer, or the Clinical Trial. The trial opened in the first quarter of 2022 across multiple clinical sites in the UK.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VOLT is our oncology focused strategic collaboration with the Ludwig Institute for Cancer Research, an international non-profit organization that conducts innovative cancer research and is looking to enable the clinical development of new treatments that induce and harness CD8+ T cells of the immune system to fight cancer. VOLT has a license to our proprietary CD8+ T cell induction platform and research by Benoit Van den Eynde’s group at the Ludwig Oxford Branch.</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Pursuant to the Clinical Trial Agreement, CRUK is responsible for, among other things, designing, preparing, carrying out and sponsoring the Clinical Trial, at its cost, and VOLT has granted to CRUK a license under its intellectual property to enable CRUK to perform such activities. VOLT is responsible for supplying agreed quantities of its VTP-600 immunotherapy product. VOLT retains the right to continue the development of the product during the Clinical Trial, provided that the parties have first agreed appropriate terms for sharing of safety data. CRUK owns all results, including all intellectual property therein, generated in the performance of the Clinical Trial. Upon the completion of the Clinical Trial, VOLT has the option to obtain a license to use such results, or the VTP-600 License. The terms of the VTP-600 License have been pre-agreed and are set out in the Clinical Trial Agreement.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VOLT exercises the option to take the VTP-600 License, CRT agrees to grant VOLT an exclusive license under the results of the Clinical Trial that exclusively relate to the VTP-600 immunotherapy product, or the Exclusive Results, and a non-exclusive license under any results that are not Exclusive Results, in each case, to develop and commercialize any product which makes use of the results of the Clinical Trial in an application for regulatory authorization, contains the relevant active ingredients, or is covered by the patent application PCT/EP2019/070555, or the Product. The rights under the VTP-600 License are sublicensable (except to a tobacco company). The exclusive rights granted under the VTP-600 License are subject to the right of certain third-party contributors associated with the Clinical Trial, CRUK and scientists funded or employed by CRUK to use the Exclusive Results for non-commercial scientific or clinical research purposes and to publish the Exclusive Results and the results of non-commercial research performed using the Exclusive Results (subject to the publication process set out in the Clinical Trial Agreement). Upon exercise of the option, VOLT is required to pay a one-time upfront fee of an amount in pounds Sterling in the high six-digits. VOLT is also obligated to make future milestone payments upon the achievement of development, regulatory and commercial milestones, with an aggregate total value of £40,750,000. VOLT is required to pay to CRT a low single-digit royalty on net sales of Products sold by VOLT or its sublicensees. If VOLT sublicenses the right to sell Products, VOLT will also be required to pay to CRT a royalty of between 5% and 20% on non-royalty amounts due to VOLT from a sublicensee, with the precise rate depending on the stage in development at which such sublicense was granted. VOLT is obligated to use commercially reasonable efforts to meet certain development, regulatory and commercialization obligations, including commencement of a Phase 2 clinical trial of a Product in an oncology indication before the second anniversary of the date of the VTP-600 License. CRT may terminate the VTP-600 License in respect of any given Product if VOLT is not actively developing it or fails to launch it after receiving marketing authorization. CRT may also terminate the VTP-600 License as a whole if no Product is being actively developed or commercialized.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VOLT does not exercise the option to take the VTP-600 License, or if the VTP-600 License or Clinical Trial Agreement is subsequently terminated by CRUK (as described below) VOLT will enter into a step-in agreement with CRT, or the Step-In Agreement. Pursuant to the Step-In Agreement, the terms of which have been pre-agreed and are set out in the Clinical Trial Agreement, VOLT will assign to CRT certain know-how and materials owned or controlled by VOLT. In addition, we agreed to grant to CRT an exclusive sub-license to a third-party patent family relating to viral vectors and methods for the prevention or treatment of cancer and non-exclusive sub-licenses to the HEK293 TetR Cell Line as well as certain third party patents and patent applications relating to certain adenovirus vectors and poxvirus expression systems, in each case, to develop and commercialize the Products on a revenue sharing basis. VOLT will receive a share of between 55% and 80% of the net revenue received by CRT for commercialization of the Product, with the precise share depending on the stage in development at which such Step-In Agreement is entered into.</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term of the Clinical Trial Agreement continues until it is otherwise terminated by the parties or, if the option is not exercised, upon the execution of the Step-In Agreement. The Clinical Trial Agreement can be terminated by either party upon an insolvency event in respect of the other party, for material breach of the other party, or upon a change of control of the other party (if the new controlling entity generates its revenue from the sale of tobacco products). If the Clinical Trial Agreement is terminated by CRUK for such causes prior to VOLT’s exercise of its option, VOLT will reimburse CRUK for all costs incurred or committed in connection with the Clinical Trial. In addition, CRUK may terminate the Clinical Trial Agreement at any time before the last cycle of treatment under the Clinical Trial is complete, in which case, upon VOLT’s request, CRT will grant the VTP-600 License to VOLT with appropriately reduced payments, to reflect the stage of the Clinical Trial at the date of termination. If the Clinical Trial Agreement is terminated for any reason after VOLT’s exercise of its option, VOLT may for three months following such termination continue to manufacture Products to the extent necessary to satisfy orders for Products accepted before such termination, and sell, use or otherwise dispose of Product inventory.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VOLT License Agreement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2018, we entered into a license agreement, or the VOLT License Agreement, with VOLT. Pursuant to the VOLT License Agreement, we granted to VOLT a non-exclusive worldwide license under certain patent rights, know-how and materials related to the use of ChAdOx1, ChAdOx2, adenoviral and MVA promoters, and the TR293 Tet-Repressed Cell Line, or the VOLT Licensed Technology, to manufacture, use and commercialize any product which uses or is within the scope of the VOLT Licensed Technology, or VOLT Licensed Product. In part, the rights granted are a sublicense of rights granted to us by OUI under the 2016 OUI License Agreement. The license is sublicensable subject to obtaining OUI’s prior consent with respect to sublicensing of any of the VOLT Licensed Technology licensed to us by OUI (with such consent not to be unreasonably withheld).</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VOLT License Agreement, we are required to make available to VOLT such further know- how relating to the manufacture of VOLT Licensed Products as we consider to be reasonably necessary or useful. We are also required to notify VOLT on a confidential basis of any improvements to the VOLT Licensed Technology that we develop or acquire rights in, and such improvements will be included within the scope of the license.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Unless earlier terminated, the VOLT License Agreement will continue until the later of the expiration of all patents included in the VOLT Licensed Technology or the know-how included in the VOLT Licensed Technology ceasing to be secret and substantial. The last patent under the VOLT License Agreement, if granted, is expected to expire in July 2039, without giving effect to any potential patent term extensions or patent term adjustments. Either party may terminate for the uncured material breach or insolvency of the other party. In the event of termination of the 2016 OUI License Agreement, we may terminate the VOLT License Agreement in respect of any of the VOLT Licensed Technology that is licensed to us by OUI, and VOLT and OUI shall enter into a direct license containing the same obligations and liabilities as set forth in the VOLT License Agreement.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VOLT License Agreement was subsequently amended in July 2019 by two separate agreements for the research, development, and commercialization of cancer immunotherapy targeting MAGE-A3 and NY-ESO-1 for the treatment of various forms of cancer under the VOLT Licensed Technology. Such amendments further elaborated on the parties’ respective rights and obligations, including with respect to VOLT’s payment obligations to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know-how and trade secrets, and to operate without infringing the proprietary rights of others. We seek to protect our product candidates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of third-party intellectual property to develop and maintain our proprietary position. We, or our collaborators and licensors, file patent applications directed to our key product candidates in an effort to establish intellectual property positions to protect our product candidates as well as uses of our product candidates for the prevention and/or treatment of diseases.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March 23, 2023, we own a patent family relating to our novel regimens that includes two pending U.S. patent applications, two pending foreign patent applications and one pending Patent Cooperation Treaty, or PCT, patent application. In addition, we have in-licensed certain patent families relating to our key technology platforms and product candidates, including eight issued U.S. patents, eight pending U.S. patent applications, 16 issued foreign patents and 80 pending foreign patent applications. Following the acquisition of Avidea in December 2021 we control a further patent portfolio comprising in-licensed and co-owned patent families, including eight pending U.S. patent applications, (including two pending U.S. provisional patent applications), four issued foreign patents, 30 pending foreign patent applications and four pending PCT patent applications.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Universal Vector Technology Platforms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ChAdOx-1 Expression Vector</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March 23, 2023, with regard to our ChAdOx1 expression vector, we in-license from OUI a patent family that includes two issued U.S. patents with claims directed to the composition of matter of the ChAdOx1 adenovirus vector and methods of using such a vector, and 9 issued foreign patents granted in such jurisdictions as Australia, Canada, China, Europe (validated in 12 countries including Denmark, France, Germany, Italy, Spain, and Great Britain), India, Japan, Singapore and South Africa. A second granted European patent with further claims directed to the composition of matter of ChAdOx adenovirus vector is validated in France, Germany and Great Britain. This patent family also includes a pending U.S. patent application. The granted patents and pending applications, if issued, are expected to expire in 2032, without giving effect to any potential patent term extensions and patent term adjustments and assuming payment of all appropriate maintenance, renewal, annuity or other governmental fees. Patent term extension applications are pending in Japan and 11 European Patent Convention countries including the United Kingdom, France, Germany, Italy and Spain, based on marketing authorisations received by AstraZeneca for Vaxzevria, and patent term extension has been granted in Australia.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Adenoviral Promoter</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of our ChAdOx1 vectors incorporate a proprietary adenoviral promoter, which is covered by a patent family that we in-license from OUI. As of March 23, 2023, the patent family includes two issued U.S. patents and one granted patent in Europe (validated in 7 countries including France, Germany, Italy, Spain, and Great Britain). The patents in this family are expected to expire in 2028, without giving effect to any potential patent term extensions and patent term adjustments and assuming payment of all appropriate maintenance, renewal, annuity or other governmental fees.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MVA-poxvirus Promoter</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MVA vector incorporates a proprietary poxvirus promoter, or MVA-poxvirus promoter, which is covered by a patent family that we in-license from OUI. As of March 23, 2023, the patent family includes two issued U.S. patents and one granted European patent (validated in 9 countries including Denmark, France, Germany, Italy, Spain, and Great Britain) that are expected to expire in 2031, without giving effect to any potential patent term extensions and patent term adjustments and assuming payment of all appropriate maintenance, renewal, annuity or other governmental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SNAPvax</w:t>
      </w:r>
      <w:r>
        <w:rPr>
          <w:rFonts w:ascii="Times New Roman" w:cs="Times New Roman" w:eastAsia="Times New Roman" w:hAnsi="Times New Roman"/>
          <w:sz w:val="25"/>
          <w:szCs w:val="25"/>
          <w:b w:val="1"/>
          <w:bCs w:val="1"/>
          <w:i w:val="1"/>
          <w:iCs w:val="1"/>
          <w:color w:val="auto"/>
          <w:vertAlign w:val="superscript"/>
        </w:rPr>
        <w:t>TM</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proprietary SNAPvax technology is covered by a patent portfolio that includes one patent family we own, 6 patent families that we co-own and one patent family that we in-license from OUI. As of March 23, 2023,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23, 2023, we own a patent family that includes four issued foreign patents that are expected to expire in 2030, without giving effect to any potential patent term extensions and patent term adjustments and assuming payment of all appropriate maintenance, renewal, annuity or other governmental fees. As of March 23, 2023, we co-own a patent family that includes one pending U.S. patent application, one pending European patent application and a further 10 pending foreign patent applications that are expected to expire in 2038,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Collaborative research and Development Agreement, or CRADA, between Avidea and the U.S. National Institutes of Health (“NIH”). As of March 23, 2023, we co-own a patent family that includes one pending U.S. patent application, one pending European patent application and a further 5 pending foreign patent applications that are expected to expire in 2039,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between Avidea and the NIH. As of March 23, 2023, we co-own a patent family that includes one pending U.S. patent application, one pending European patent application and a further 2 pending foreign patent applications that are expected to expire in 2039,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between Avidea and the NIH. As of March 23, 2023, we co-own a patent family that includes one pending international PCT patent application that is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carried out under a CRADA between Avidea and the NIH. As of March 23, 2023, we co-own a patent family that includes one pending international PCT patent application and one further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between Avidea and the NIH. As of March 23, 2023, we co-own a patent family that includes one pending U.S. patent application, one pending foreign patent application and one pending international PCT patent application that are expected to expire in 2041, without giving effect to any potential patent term extensions and patent term adjustments and assuming payment of all appropriate maintenance, renewal, annuity or other governmental fees. We have licensed exclusive rights in this patent family, which resulted from work carried out under a Research Collaboration Agreement, or RCA, between Avidea and the Institute of Macromolecular Chemistry, Prague (“IMC”).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Syntholytic</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proprietary Syntholytic technology is covered by a patent portfolio that includes one patent family we own, 2 patent families that we co-own and one patent family that we in-license from OUI. As of March 23, 2023,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23, 2023, we own a patent family that includes four issued foreign patents that are expected to expire in 2030, without giving effect to any potential patent term extensions and patent term adjustments and assuming payment of all appropriate maintenance, renewal, annuity or other governmental fees. As of March 23, 2023, we co-own a patent family that includes one pending U.S. patent application, one pending European patent application and a further 6 pending foreign patent applications that are expected to expire in 2040, without giving effect to any potential patent term extensions and patent term adjustments and assuming payment of all appropriate maintenance, renewal, annuity or other governmental fees. We have exclusively rights in this patent family, which resulted from work carried out under a CRADA between Avidea and the NIH, and we have licensed exclusive rights in this patent family, which resulted from work carried out under a RCA between Avidea and the IMC. As of March 23, 2023, we co-own a patent family that includes one pending international PCT patent application that is expected to expire in 2041, without giving effect to any potential patent term extensions and patent term adjustments and assuming payment of all appropriate maintenance, renewal, annuity or other governmental fees. We have exclusively rights in this patent family, which resulted from work carried out under a CRADA between Avidea and the NIH.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VTP-200 product candidate comprises a ChAdOx1HPV vector and a MVA-HPV vector, where each vector incorporates an engineered HPV antigen. We in-license from OUI a patent family directed to the HPV antigen with claims directed to a nucleic acid encoding a polypeptide comprising certain peptide sequences based on certain HPV proteins. As of March 23, 2023, the patent family includes one issued U.S. patent, one pending U.S. patent application and ten foreign patent applications pending in jurisdictions including Europe, Australia, Canada, China, and Japan.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3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VTP-300 product candidate comprises a ChAdOx1HBV vector and a MVA-HBV vector, where each vector incorporates an engineered HBV antigen. As of March 23, 2023, we in-license from OUI a patent family with claims directed to a multi-HBV immunogen viral vector vaccine that includes one pending U.S. patent application and 17 foreign patent applications pending in jurisdictions including Europe, Australia, Canada, China, and Japan.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VTP-600 product candidate comprises a ChAdOx1MAGE-NYESO vector, a MVA-MAGE vector, and a MVA-NYESO vector. We in-license from Ludwig Institute a patent family with claims directed to a chimpanzee adenovirus vector encapsulating a nucleic acid molecule encoding a MAGE antigen, a NY- ESO1 antigen or both a MAGE antigen and a NY-ESO1 antigen. As of March 23, 2023, the patent family includes one pending U.S. patent application and 8 foreign patent applications pending in jurisdictions including Europe, Australia, Canada, China, and Japan. If a patent were to issue from a patent application claiming the benefit of this PCT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VTP-800 and VTP-850 product candidate comprises a ChAdOx15T4 vector and a MVA5T4 vector, where each vector incorporates an engineered 5T4 antigen in combination with additional antigens. We in-license from OUI a patent family with claims directed to a composition for inducing a T Cell response comprising a MVA vector expressing the 5T4 antigen polypeptide. As of March 23, 2023, the patent family includes one pending U.S. patent application and 11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VTP-500 product candidate comprises a ChAdOx1MERS vector that incorporates an engineered MERS antigen. We 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VTP-400 product candidate comprises a ChAdOx1VZVgE vector that incorporates an engineered VZVgE antigen. We in-license from OUI a patent family with claims directed to an adenoviral vector comprising a nucleic acid encoding the varicella-zoster virus antigen. As of March 23, 2023, the patent family includes one pending U.S. patent application and 13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We also 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VTP-1100 product candidate includes SNAPvax technology to target HPV16+ cancers. We co-own a patent family with claims directed to methods of treating cancers using SNAPvax compositions. As of March 23, 2023, the patent family includes one pending U.S. provisional patent application. If a patent were to issue from a patent application claiming the benefit of this U.S. provisional application, such a patent would be expected to expire in 2043, without giving effect to any potential patent term extensions or patent term adjustments and assuming payment of all appropriate maintenance, renewal, annuity or other governmental fees. We have exclusive rights in this patent family, which resulted from work carried out under a CRADA between Vaccitech and the NIH. In addition, we rely on patent protection afforded by the patent families directed to the SNAPvax platform technology, which are expected to expire between 2030 and 2042, as discussed above.</w:t>
      </w:r>
    </w:p>
    <w:p>
      <w:pPr>
        <w:spacing w:after="0" w:line="17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Our VTP-1000 product candidate includes SNAPvax technology to provide tolerizing immunotherapy for celiac disease. We co-own a patent family with claims directed to compositions and methods for treating celiac disease. As of March 23, 2023, the patent family includes one pending U.S. provisional patent application. If a patent were to issue from a patent application claiming the benefit of this U.S. provisional application, such a patent would be expected to expire in 2043, without giving effect to any potential patent term extensions or patent term adjustments and assuming payment of all appropriate maintenance, renewal, annuity or other governmental fees. In addition, we rely on patent protection afforded by the patent families directed to the SNAPvax platform technology, which are expected to expire between 2030 and 2042, as discussed above.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The duration of foreign patents varies in accordance with provisions of applicable local law, but typically is also 20 years from the earliest effective filing date. All taxes, annuities or maintenance fees for a patent, as required by the USPTO and certain foreign jurisdictions, must be timely paid in order for the patent to remain in force during this period of time.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actual protection afforded by a patent may vary on a product by 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about the risks associated with our efforts to obtain adequate intellectual property protection for our product candidates, and the enforcement of such intellectual property rights, as well as the risks associated with third party intellectual property rights, see the section titled “Risk Factors — Risks Related to Our Intellectual Property.” With regard to our VTP-300 product candidate, we are aware of third- party patents in the United States with claims which may be relevant to this product candidate. See “Risk Factors — Risks Related to Intellectual Property — The intellectual property landscape around immunotherapeutics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United States, biological products are subject to regulation under the Federal Food, Drug, and Cosmetic Act (the “FD&amp;C Act”), and the Public Health Service Act (the “PHS Act”), and other federal, state, local and foreign statutes and regulations. Both the FD&amp;C Act and the PHS Act and their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Biological Products Development Process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 required by the FDA before a biological product may be marketed in the United States generally involves the following:</w:t>
      </w:r>
    </w:p>
    <w:p>
      <w:pPr>
        <w:spacing w:after="0" w:line="216" w:lineRule="exact"/>
        <w:rPr>
          <w:sz w:val="20"/>
          <w:szCs w:val="20"/>
          <w:color w:val="auto"/>
        </w:rPr>
      </w:pPr>
    </w:p>
    <w:p>
      <w:pPr>
        <w:ind w:left="640" w:hanging="302"/>
        <w:spacing w:after="0" w:line="285"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nonclinical laboratory tests and animal studies according to GLPs and applicable requirements for the humane use of laboratory animals or other applicable regulations;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application for an IND which must become effective before human clinical trials may begin;</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protocol and related documentation by an independent institutional review board, or IRB, or ethics committee at each clinical trial site before each trial may be initiated;</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and submission to the FDA of a biologics license application, or BLA, for marketing approval that includes sufficient evidence of establishing the safety, purity, and potency of the proposed biological product for its intended indication, including from results of nonclinical testing and clinical trials;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9"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nonclinical study and clinical trial sites that generated the data in support of the BLA;</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the product candidate by an FDA advisory committee, where appropriate and if applicable;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user fees for FDA review of the BLA (unless a fee waiver applies);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BLA, resulting in the licensure of the biological product for commercial marketing.</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to support the use of the biological product and plans for clinical trials, among other things, must be submitted to the FDA as part of an IND. An IND must become effective before human clinical trials may begin. Once submitted, the IND automatically becomes effective 30 days after receipt by the FDA, unless the FDA, within the 30-day time period, raises safety concerns or questions about the proposed clinical trial. In such a case, the IND may be placed on clinical hold or partial clinical hold and the IND sponsor and the FDA must resolve any outstanding concerns or questions before clinical trials can begin. Submission of an IND therefore may or may not result in FDA authorization to begin a clinical trial.</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Clinical trials involve the administration of the biological product candidate to healthy volunteers or patients under the supervision of qualified investigators which generally are physicians not employed by, or under the control of, the trial sponsor. Clinical trials are conducted under written trial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Certain information about certain clinical trials must also be submitted within specific timeframes to the NIH for public dissemination on its ClinicalTrials.gov website.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 that may overlap or be combined:</w:t>
      </w:r>
    </w:p>
    <w:p>
      <w:pPr>
        <w:spacing w:after="0" w:line="216" w:lineRule="exact"/>
        <w:rPr>
          <w:sz w:val="20"/>
          <w:szCs w:val="20"/>
          <w:color w:val="auto"/>
        </w:rPr>
      </w:pPr>
    </w:p>
    <w:p>
      <w:pPr>
        <w:ind w:left="640" w:hanging="302"/>
        <w:spacing w:after="0" w:line="285"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investigational product is initially introduced into healthy human subjects and tested for safety. In the case of some products for severe or life-threatening diseases, the initial human testing is often conducted in patients.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3"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investigational product is evaluated in a limited patient population to identify possible adverse side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investigational product is administered to an expanded patient population to further evaluate dosage, clinical efficacy, potency, and safety in an expanded patient population at geographically dispersed clinical trial sites. These clinical trials are intended to establish the overall risk/benefit ratio of the investigational product and provide an adequate basis for approval and product labeling.</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some cases, FDA may require, or firms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acting on its own or based on a recommendation from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animal studies and also must develop additional information about the chemistry and physical characteristics of the biological product and finalize a process for manufacturing the product in commercial quantities in accordance with cGMP.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Review and Approval Processes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trials, information on the manufacture and composition of the product, proposed labeling and other relevant information.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or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potency.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Pediatric Research Equity Act, or PREA, a BLA or supplement to a BLA for a novel product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Orphan Drug Designation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Orphan drug designation may also entitle a party to financial incentives such as opportunities for grant funding towards clinical trial costs, tax advantages and user-fee waivers.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Expedited Development and Review Programs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 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Additionally, drug or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Under the Food and Drug Omnibus Reform Act of 2022, or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currently requires, unless otherwise informed by the agency, pre-approval of promotional materials for products receiving accelerated approval,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Post-approval Requirements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Rigorous and extensive FDA regulation of biological products continues after approval, particularly with respect to cGMP requirements, as well as requirements relating to record-keeping, reporting of adverse experiences, periodic reporting, product sampling and distribution, and advertising and promotion of the product. We currently rely, and may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 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Failure to comply with the applicable United States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physicians or other stakeholders, debarment, restitution, disgorgement of profits, or civil or criminal penalties. Any agency or judicial enforcement action could have a material adverse effect on us.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including applicable tracking and tracing requirements. Accordingly, manufacturers must continue to expend time, money, and effort in the area of production and quality control to maintain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Exclusivity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Depending upon the timing, duration and specifics of the FDA approval of the use of our product candidates, some of our United States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litigation. As a result, the ultimate implementation and impact of the BPCIA is subject to significant uncertainty.</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exclusivity under the BPCIA, 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Regulation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applicable environmental laws and that continued compliance therewith will not have a material adverse effect on our business. We cannot predict, however, how changes in these laws may affect our future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Regulation Outside of the United States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April 2014, the EU adopted the new Clinical Trials Regulation (EU) No 536/2014, which replaced the current Clinical Trials Directive 2001/20/EC on January 31, 2022. The transitory provisions of the new Regulation offer sponsors the possibility to choose between the requirements of the previous Directive and the new Regulation if the request for authorization of a clinical trial is submitted in the year after the new Regulation became applicable. If the sponsor chooses to submit under the previous Directive, the clinical trial continues to be governed by the Directive until three years after the new Regulation became applicable. If a clinical trial continues for more than three years after the Regulation became applicable, the new Regulation will at that time begin to apply to the clinical trial. The new Regulation, which is directly applicable in all Member States (meaning that no national implementing legislation in each EU Member State is required), aims at simplifying and streamlining the approval of clinical trials in the EU. The main characteristics of the new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Strict deadlines have also been established for the assessment of clinical trial applications.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Union Drug Review and Approval</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the European Union, medicinal products, including biological medicinal products, are subject to extensive pre- and post-market regulation by regulatory authorities at both the European Union and national levels.</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obtain regulatory approval of a biological medicinal product under the European Union regulatory system, we must submit a marketing authorization application, or MAA, either under a centralized procedure administered by the European Medicines Agency, or EMA, or one of the procedures administered by competent authorities in the European Union: the decentralized procedure, national procedure, or mutual recognition procedure. A marketing authorization may be granted only to an applicant established in the EEA.</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marketing authorization by the European Commission that is valid throughout the entire territory of the EU and the additional Member States of the European Economic Area (Iceland, Liechtenstein and Norway), or EEA. Pursuant to Regulation (EC) No. 726/2004, the centralized procedure is compulsory for specific products, including for medicines produced by certain biotechnological processes, products designated as orphan medicinal products, advanced-therapy medicinal products (gene-therapy, somatic-cell therapy and tissue-engineered medicines) and products with a new active substance indicated for the treatment of certain diseases, including products for the treatment of viral diseases, autoimmune and other immune dysfunctions and cancer. For those products for which the use of the centralized procedure is not mandatory, applicants may elect to use the centralized procedure where the product contains a new active substance not yet authorized in the European Union, and where the applicant can show that the product constitutes a significant therapeutic, scientific or technical innovation or for which a centralized process is in the interest of public health at a European Union level.</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centralized procedure, the Committee for Medicinal Products for Human Use, or the CHMP, established at the EMA is responsible for conducting an initial assessment of whether a product meets the required quality, safety and efficacy requirements, and whether a product has a positive benefit-risk profile. Under the centralized procedure in the European Union, the maximum timeframe for the evaluation of an MAA is 210 days from receipt of a valid MAA, excluding clock stops when additional information or written or oral explanation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products not falling within the mandatory scope of the centralized procedure, national marketing authorizations may be obtained, which are issued by the competent authorities of the European Union Member States and only cover their respective territory. Where a product has already been authorized for marketing in an European Union Member State, this national marketing authorization can be recognized in another European Union Member State through the mutual recognition procedure. If the product has not received a national marketing authorization in any Member State at the time of application, it can be approved simultaneously in various European Union Member States through the decentralized procedure. As with the centralized procedure, the competent authorities of the European Union Member States assess the risk-benefit balance of the product on the basis of scientific criteria concerning its quality, safety and efficacy before granting the marketing authorization.</w:t>
      </w:r>
    </w:p>
    <w:p>
      <w:pPr>
        <w:spacing w:after="0" w:line="3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application used to submit the BLA in the United States is similar to that required in the European Union, with certain exceptions. Directive 2001/83/EC and the laws in the Member States transposing this Directive into national law set out the requirements for an MAA. An MAA for a biological medicinal product must contain certain additional requirements to applications for other medicinal products, such as a description of the origin and history of the starting materials used for the product.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 and Marketing Exclusivity</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European Union also provides opportunities for market exclusivity. Upon receiving marketing authorization in the European Union, innovative medicinal products, approved on the basis of a complete independent package, generally receive eight years of data exclusivity and an additional two years of market exclusivity. Data exclusivity, if granted,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in the European Union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Even if an innovative medicinal product gains the prescribed period of data exclusivity, another company could nevertheless also market another version of the product if such company obtained a marketing authorization based on an MAA with a complete and independent data package of pharmaceutical tests, preclinical tests and clinical trials.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Orphan Designation and Exclusivity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Products with an orphan designation in the European Union can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where an agreed pediatric investigation plan for pediatric trials has been complied with. No extension to any supplementary protection certificate can be granted on the basis of pediatric trials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European Union are similar in principle to those in the United States. Under Article 3 of Regulation (EC) 141/2000, a medicinal product may be designated as an orphan medicinal product if it meets the following criteria:</w:t>
      </w:r>
    </w:p>
    <w:p>
      <w:pPr>
        <w:spacing w:after="0" w:line="1" w:lineRule="exact"/>
        <w:rPr>
          <w:sz w:val="20"/>
          <w:szCs w:val="20"/>
          <w:color w:val="auto"/>
        </w:rPr>
      </w:pPr>
    </w:p>
    <w:p>
      <w:pPr>
        <w:jc w:val="both"/>
        <w:ind w:firstLine="4"/>
        <w:spacing w:after="0" w:line="253" w:lineRule="auto"/>
        <w:tabs>
          <w:tab w:leader="none" w:pos="20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intended for the diagnosis, prevention or treatment of a life-threatening or chronically debilitating condition; (ii) either (a) the prevalence of such condition must not be more than five in 10,000 persons in the European Union when the application is made, or (b) without the benefits derived from orphan status, it must be unlikely that the marketing of the medicine would generate sufficient return in the European Union to justify the investment needed for its development; and (iii) there exists no satisfactory method of diagnosis, prevention or treatment of such condition, or if such a method exists, the product would be of significant benefit to those affected by the condition, as defined in Regulation (EC) 847/2000. Orphan medicinal products are eligible for financial incentives such as reduction of fees or fee waivers made available by the European Union and its Member States to support research into, and the development and availability of, orphan medicinal products. The application for orphan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Orphan medicine marketing exclusivity may be revoked only in very select cases, specifically:</w:t>
      </w:r>
    </w:p>
    <w:p>
      <w:pPr>
        <w:spacing w:after="0" w:line="216" w:lineRule="exact"/>
        <w:rPr>
          <w:sz w:val="20"/>
          <w:szCs w:val="20"/>
          <w:color w:val="auto"/>
        </w:rPr>
      </w:pPr>
    </w:p>
    <w:p>
      <w:pPr>
        <w:ind w:left="640" w:hanging="302"/>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established that a similar medicinal product is safer, more effective or otherwise clinically superior;</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consent from the marketing authorization holder for the authorized orphan product; or</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marketing authorization holder for the authorized orphan product cannot supply enough orphan medicinal product.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Pediatric Development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European Union, companies developing a new medicinal product must agree upon a pediatric investigation plan, or PIP, with the EMA’s Pediatric Committee, or PDCO, and must conduct pediatric clinical trials in accordance with that PIP, unless a waiver applies,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because the relevant disease or condition occurs only in adults).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pediatric clinical trials conducted in accordance with the PIP are eligible for a six-month extension of the protection under a supplementary protection certificate, or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PRIME Designation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March 2016, the EMA, launched an initiative to facilitate development of product candidates in indications, often rare, for which few or no therapies currently exist. The PRIority MEdicines, or PRIME, scheme is intended to encourage product development in areas of unmet medical need (where there is no satisfactory method of diagnosis, prevention or treatment in the European Union or, if there is, the new medicine will bring a major therapeutic advantage) and provides accelerated assessment of products representing substantial innovation. The PRIME scheme is open to medicines under development and for which the applicant intends to apply for an initial MAA through under the centralized procedure.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products from small- and medium-sized enterprises may qualify for earlier entry into the PRIME scheme than larger companies, if compelling non-clinical data in a relevant model provide early evidence of promising activity, and first in 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Post-Approval Controls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152" w:lineRule="exact"/>
        <w:rPr>
          <w:sz w:val="20"/>
          <w:szCs w:val="20"/>
          <w:color w:val="auto"/>
        </w:rPr>
      </w:pPr>
    </w:p>
    <w:p>
      <w:pPr>
        <w:jc w:val="both"/>
        <w:ind w:left="640" w:hanging="302"/>
        <w:spacing w:after="0" w:line="269"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59"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 authorization obligations may include additional safety monitoring, more frequent submission of PSURs, or the conduct of additional clinical trials or post-authorization safety trials. RMPs and PSURs are routinely available to third parties requesting access, subject to limited redactions.</w:t>
      </w:r>
    </w:p>
    <w:p>
      <w:pPr>
        <w:spacing w:after="0" w:line="384"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advertising and promotional activities for the product must be consistent with the approved SmPC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aforementioned EU rules are generally applicable in the EEA.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Brexit and the Regulatory Framework in the United Kingdom</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June 2016, the electorate in the United Kingdom voted in favor of leaving the European Union (commonly referred to as “Brexit”), and the United Kingdom officially withdrew from the European Union on January 31, 2020. Pursuant to the formal withdrawal arrangements agreed between the United Kingdom and the European Union, the United Kingdom was subject to a transition period until December 31, 2020, or Transition Period, during which European Union rules continued to apply. However, the European Union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will continue to apply in Northern Ireland). The regulatory regime in Great Britain therefore largely aligns with current European Union regulations, however it is possible that these regimes will diverge in future now that Great Britain’s regulatory system is independent from the European Union and the TCA does not provide for mutual recognition of United Kingdom and European Union pharmaceutical legislation. For example, the United Kingdom has implemented the now repealed Clinical Trials Directive 2001/20/EC into national law through the Medicines for Human Use (Clinical Trials) Regulations 2004 (as amended). The extent to which the regulation of clinical trials in the United Kingdom will mirror the new Clinical Trials Regulation now that has come into effect is not yet known, however the MHRA has conducted a consultation on a set of proposals designed to improve and strengthen the United Kingdom clinical trials legislation.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Great Britain is no longer covered by the European Union’s procedures for the grant of centralized marketing authorizations (as a result of the Northern Ireland Protocol, Northern Ireland will be covered by the centralized authorization procedure and can be covered as a CMS under the decentralized or mutual recognition procedures). A separate marketing authorization will therefore be required to market drugs in Great Britain. All medicinal products with a valid centralized marketing authorization on January 1, 2021 were automatically converted into Great Britain marketing authorizations (unless the marketing authorization holder opted out of such a conversion). For two years from 1 January 2021, the United Kingdom’s regulator, the Medicines and Healthcare products Regulatory Agency, or MHRA, may rely on a decision taking by the European Commission on the approval of a new marketing authorization in the centralized procedure, in order to more quickly grant a new Great Britain marketing authorization. This is known as the EC Decision Reliance Procedure. The MHRA also offers a 150-day assessment timeline for all high quality applications for a UK, Great Britain or Northern Ireland marketing authorization. The 150 day timeline does not, however, include a “clock-off” period which may occur if issues arise or points require clarification following an initial assessment of the application. Such issues should be addressed within a 60-day period, although extensions may be granted in exceptional cases.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United Kingdom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 in Great Britain).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Coverage and Reimbursement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pharmaceutical or biological product for which we may seek regulatory approval. Sales of any product, if approved, depend, in part, on the extent to which such product will be covered by third-party payors, such as federal, state, and foreign government healthcare programs, commercial insurers, and managed healthcare organizations.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Moreover,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of the product.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of pharmaceutical or biological products; reviewing the cost-effectiveness of such products; and questioning the safety and efficacy of such products. Adoption of new price controls and cost-containment measures, or adoption of more restrictive policies in jurisdictions with existing controls and measures, could further limit sales of any product that receives approval.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Decreases in third-party reimbursement for any product or a decision by a third party not to cover a product could reduce physician usage and patient demand for such product.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Healthcare Laws and Compliance Requirements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or AKS; the civil False Claims Act, or FCA; the federal Health Insurance Portability and Accountability Act of 1996, or HIPAA; and similar foreign, federal, and state fraud and abuse, transparency, and privacy laws.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AKS prohibits, among other things, persons and entities from knowingly and willfully soliciting, receiving, offering, or paying remuneration to induce, or in return for, either the referral of an individual, or the purchase, lease, ordering, or arranging for or recommending the purchase, lease, or ordering, of any item or service for which payment may be made under any federal healthcare program. The term remuneration has been interpreted broadly to include anything of value, whether given directly or indirectly, in cash or in kind. The AKS has been interpreted to apply to arrangements between pharmaceutical manufacturers on one hand and prescribers, third-party payors, patients,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submitted to a federal healthcare program that includes items or services resulting from a violation of the AKS constitutes a false or fraudulent claim that may result in civil liability under the FCA.</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Civil and criminal false claims laws, and civil monetary penalty laws, including the FCA,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FCA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companies have been prosecuted under these laws for allegedly providing free product to customers with the expectation that the customers would bill federal healthcare programs for the product, or for subsidizing copays for patients, including indirectly through charitable patient assistance programs, as an inducement for patients to utilize their products.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AKS, a person or entity can be found guilty of violating HIPAA’s fraud and abuse provisions without actual knowledge of the statute or specific intent to violate it.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clearinghouses, and health plans, and individuals and entities that provide services on their behalf that involve individually identifiable health information, known as business associates, relating to the privacy, security, and transmission of individually identifiable health information. In particular, regulations promulgated pursuant to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complicated by the fact that the applicable rules are subject to changing interpretation. HIPAA mandates the reporting of certain breaches of health information to the U.S. Department of Health and Human Services, or HHS, affected individuals, and if the breach is large enough, the media. In addition to reputational harm,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civil actions.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and Medicaid Services, or CMS, information related to payments or other transfers of value made to physicians (currently defined to include doctors of medicine or osteopathy, dentists, optometrists, podiatrists, and chiropractors), other licensed non-physician health care practitioners, and teaching hospitals, as well as ownership and investment interests held by physicians and their immediate family members. Additionally, we may be subject to federal government price reporting laws, which require us to calculate and report complex pricing metrics in an accurate and timely manner to government programs and federal consumer protection and unfair competition laws, which broadly regulate marketplace activities and activities that potentially harm consumers.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also subject to additional similar U.S. state and foreign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or our officers, directors, employees, contractors, or agents may be subject to penalties, including, without limitation, significant civil, criminal, and administrative penalties; damages; fines; exclusion from government-funded healthcare programs, such as Medicare and Medicaid or similar programs in other countries or jurisdictions; entry into a corporate integrity agreement or similar reporting obligations to resolve allegations of non-compliance; disgorgement; imprisonment; contractual damages; reputational harm; diminished profits; and the curtailment or restructuring of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Privacy and Security Laws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may also be subject to data privacy and security laws in the United States and various jurisdictions around the world in which we operate or process personally identifiable information (“personal information” or “personal data”). In the United States,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FTC’s guidance for appropriately securing consumers’ personal information is similar to what is required by the HIPAA security regulations. In addition, certain states have enacted laws that govern the privacy and security of health information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as well as reputational harm. For example, the California Consumer Privacy Act, or the CCPA, as amended by the California Privacy Rights Act, or the CPRA, went into effect on January 1, 2023. Also, on January 1, 2023, the Virginia Consumer Data Protection Act, or the CDPA, became effective. Further, many additional United States state privacy laws will go into effect throughout 2023: the Colorado Privacy Act, or the CPA (July 1, 2023); the Connecticut Data Privacy Act, or the CTDPA (July 1, 2023); and the Utah Consumer Privacy Act, or the UCPA (December 31, 2023). The CDPA, CPA, CTDPA, and UCPA are substantially similar in scope and contain many of the same requirements and 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Outside of the United States, we also face stringent privacy and data protection requirements. For example, in the European Economic Area or EEA, the collection, use, storage, disclosure, transfer, or other processing of personal information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Data protection authorities from the different EU member states may interpret the GDPR and national laws differently and impose additional requirements, which add to the complexity of processing personal data in the EU.</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various jurisdictions around the world continue to propose new laws that regulate the privacy and/or security of certain types of personal data. Complying with these laws, if enacted, would require significant resources and leave us vulnerable to possible fines, penalties, litigation, and reputational harm if we are unable to comply.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Healthcare Reform and Legislative Changes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biological products, especially under government-funded healthcare programs, and increased governmental control of drug pricing.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and expanding enrollment in commercial health plans through new Health Insurance Marketplaces operated by the federal and state governments;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delaying the implementation of certain ACA-mandated fees, and increasing the point-of-sale discount that is owed by pharmaceutical manufacturers who participate in Medicare Part 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June 17, 2021, the U.S. Supreme Court dismissed the most recent judicial challenge to the ACA brought by several states without specifically ruling on the constitutionality of the ACA. Prior to the Supreme Court’s decision, President Biden issued an executive order that, in part,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other legislative and regulatory changes have been proposed and adopted in the United States since the ACA was enacted.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example:</w:t>
      </w:r>
    </w:p>
    <w:p>
      <w:pPr>
        <w:spacing w:after="0" w:line="199" w:lineRule="exact"/>
        <w:rPr>
          <w:sz w:val="20"/>
          <w:szCs w:val="20"/>
          <w:color w:val="auto"/>
        </w:rPr>
      </w:pPr>
    </w:p>
    <w:p>
      <w:pPr>
        <w:jc w:val="both"/>
        <w:ind w:left="640" w:hanging="302"/>
        <w:spacing w:after="0" w:line="269"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2031, absent further legislative action.</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American Taxpayer Relief Act of 2012 further reduced Medicare payments to several types of providers.</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Try Act (2018),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56"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Inflation Reduction Act of 2022, or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will not qualify for the orphan drug exemption. The effects of the IRA on our business and the healthcare industry in general are not yet known.</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there have been several judicial challenges to the 340B drug pricing program, which imposes ceilings on prices that drug manufacturers can charge for medications sold to certain health care facilities. These include challenges to the government’s reimbursement formula on specified covered outpatient drugs and disputes over potential product diversion through the use of “contract pharmacies,” among other issues. It is unclear how these challenges could affect covered hospitals who might purchase our future products and affect the rates we may charge such facilities for our approved products in the future, if any.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extended the moratorium on implementation until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Although a number of these and other proposed measures may require additional authorization to become effective, Congress and President Biden have each indicated that they will continue to seek new legislative and/or administrative measures to control drug costs. Additional state and federal healthcare reform measures may be adopted in the future. Further, it is possible that additional governmental action is taken in response to COVID-19.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December 31, 2022, we had 107 full-time and part-time employees, of which 74 were located in the United Kingdom, and 33 located in the United States. As of December 31, 2022, 57% of our workforce and 61% of our leadership (at Director level and above) were female. In addition, 27% of our workforce were racially or ethnically diverse. Of our full and part-time employees, 37 have Ph.D. or M.D. degrees, and 75 are engaged in research and clinical development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breakdown of the employment statistics as of December 31, 2022 is as 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Executives</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06"/>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Director/Vice President</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20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Managers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6"/>
        </w:trPr>
        <w:tc>
          <w:tcPr>
            <w:tcW w:w="5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Scientists &amp; Support Functions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1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w:t>
            </w:r>
          </w:p>
        </w:tc>
      </w:tr>
      <w:tr>
        <w:trPr>
          <w:trHeight w:val="198"/>
        </w:trPr>
        <w:tc>
          <w:tcPr>
            <w:tcW w:w="5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46</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61</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107</w:t>
            </w: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38"/>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Demographic</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Asian</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06"/>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Black, Caribbean, or African</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20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Mixed, other or multiple ethnic groups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06"/>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White</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r>
      <w:tr>
        <w:trPr>
          <w:trHeight w:val="20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 disclosed</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46</w:t>
            </w:r>
          </w:p>
        </w:tc>
        <w:tc>
          <w:tcPr>
            <w:tcW w:w="1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61</w:t>
            </w:r>
          </w:p>
        </w:tc>
        <w:tc>
          <w:tcPr>
            <w:tcW w:w="1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107</w:t>
            </w: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new employees, advisors and consultants. We engage with our employees in multiple ways including through company-wide events, social events and team events. We also have a bonus scheme and equity incentive plan in which all employees are entitled to participate. The principal purposes of our equity incentive plans are to attract, retain and reward personnel through the grant of equity-based compensation awards. We believe that attracting and retaining talent increases shareholder value and furthers the success of our company by motivating our employees to perform to the best of their abilities and achieve our objectives.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employ individuals based on their experience and ability, and we are committed to promoting diversity and inclusion in our work environment. We focus on hiring and retaining qualified candidates by promoting a supportive and inclusive working environment for all. We believe that fostering diversity, equity, and inclusion is a key element to discovering, developing, and bringing transformative therapies to patients.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safety of our workforce, including consultants and visitors to our office/laboratory, has and remained of paramount importance to us. We established a balance of working in both office and home environments prior to the COVID-19 pandemic, which enabled us to more smoothly transition to a consistent “work from home” policy for all but our laboratory employees. An initial risk assessment was performed and applicable precautions were implemented for all staff and visitors. This risk assessment was continuously reviewed to ensure top biosecurity measures were in place throughout this ongoing pandemic. We have not yet experienced any labor force issues due to the pandemic. Work on internal, laboratory-based projects has continued within the agreed timelines.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 Health and Safety Committee that focuses on implementing policies and training programs to enhance workplace safety. During the COVID-19 pandemic, our continuing focus on safe working practices enabled us to preserve business continuity without sacrificing our commitment to keeping our colleagues and workplace visitors safe.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we continue to grow, we also intend to expand our overall environmental, social, and governance, or ESG, efforts. In 2022, we assigned oversight for ESG to the Nominating and Governance Committee who were tasked with performing an assessment of our ESG impacts and establishing initiatives. Following this assessment, we have created specific goals and objectives to monitor and improve specific metrics. These include:</w:t>
      </w:r>
    </w:p>
    <w:p>
      <w:pPr>
        <w:spacing w:after="0" w:line="171" w:lineRule="exact"/>
        <w:rPr>
          <w:sz w:val="20"/>
          <w:szCs w:val="20"/>
          <w:color w:val="auto"/>
        </w:rPr>
      </w:pPr>
    </w:p>
    <w:p>
      <w:pPr>
        <w:ind w:left="640" w:hanging="302"/>
        <w:spacing w:after="0" w:line="285"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 the impact Vaccitech has on the environment, including its assessment of carbon footprint and the reporting thereof for new facilities.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 the impact Vaccitech has on society, including the impact on external groups through the development of life-saving products, the impact in low- and middle-income countries and clinical trial diversity. For internal groups the focus is on employees and how Vaccitech monitors and maintains gender pay parity, expands employee diversity, enhances engagement and morale, and minimizes staff turnover.</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 how is the company run, to include diversity and inclusion within the company and the board of directors, board independence and the ratio of executive compensation to employee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Carbon emissions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group has calculated the emissions for the year ended December 31, 2022 and 2021 in tons of carbon dioxide equivalent (“tCO2e”). The carbon footprint for the group for the years ended December 31, 2022 and 2021 are as follows:</w:t>
      </w:r>
    </w:p>
    <w:p>
      <w:pPr>
        <w:spacing w:after="0" w:line="157"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Scope</w:t>
            </w:r>
          </w:p>
        </w:tc>
        <w:tc>
          <w:tcPr>
            <w:tcW w:w="18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880" w:type="dxa"/>
            <w:vAlign w:val="bottom"/>
            <w:gridSpan w:val="2"/>
            <w:vMerge w:val="continue"/>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tCO2e</w:t>
            </w:r>
          </w:p>
        </w:tc>
        <w:tc>
          <w:tcPr>
            <w:tcW w:w="114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 Total emissions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tCO2e</w:t>
            </w:r>
          </w:p>
        </w:tc>
        <w:tc>
          <w:tcPr>
            <w:tcW w:w="114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 Total emissions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Scope 1</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5.59</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8"/>
              </w:rPr>
              <w:t>%</w:t>
            </w: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0.96</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Scope 2</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107.63</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95</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95</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113.22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21.16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For clarity, scope 1 emissions are direct emissions produced from activities owned or controlled by the Company. Scope 2 emissions are indirect emissions related to the generation of the electricity consumed and purchased by Vaccitech. We have used the most recent evidence or estimates provided by our energy supply partners to generate our disclosure of emissions for the period. Standard emissions factors from the “UK Government GHG Conversion Factors for Company Reporting (2022)” guidance were applied to estimate emissions. Electricity usage at our leased facilities in the United Kingdom and United States are responsible for the majority of our greenhouse gas emissions, with the remainder due to operations conducted within our laboratory. The increase in emissions is attributable to incurring 12 months of emissions from the acquisition of Avidea in December 2021, which reported negligible emissions in 2021, and the overlap of leased facilities in the U.K. in 2022, notably the fitout and relocation of our corporate headquarters in July 2022, incurring 7 months of emissions across 2 sites in the U.K. Our corporate headquarters moved from a 5,059 square foot facility on the Oxford Science Park to an approximate 31,000 square foot facility on the Harwell Science and Innovation Campus. Electricity, heating and cooling usage are the majority of our greenhouse gas emissions in these locations. The group has elected not to include the voluntary disclosure for Scope 3 emissions.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2022, the split of emissions by geography is as 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Scope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tCO2e</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6"/>
              </w:rPr>
              <w:t>% Total emissions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98"/>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Scope 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U.K.</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U.S.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Scope 2</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U.K.</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66.22</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U.S.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41.41</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48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113.22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The group considers that the intensity ratio of tons of carbon dioxide per full-time employee, as a suitable metric for its operations for the years ended December 31, 2022, and 2021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4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320" w:type="dxa"/>
            <w:vAlign w:val="bottom"/>
            <w:gridSpan w:val="3"/>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4"/>
        </w:trPr>
        <w:tc>
          <w:tcPr>
            <w:tcW w:w="5140" w:type="dxa"/>
            <w:vAlign w:val="bottom"/>
            <w:gridSpan w:val="3"/>
            <w:vMerge w:val="continue"/>
          </w:tcPr>
          <w:p>
            <w:pPr>
              <w:spacing w:after="0"/>
              <w:rPr>
                <w:sz w:val="11"/>
                <w:szCs w:val="11"/>
                <w:color w:val="auto"/>
              </w:rPr>
            </w:pPr>
          </w:p>
        </w:tc>
        <w:tc>
          <w:tcPr>
            <w:tcW w:w="1120" w:type="dxa"/>
            <w:vAlign w:val="bottom"/>
            <w:tcBorders>
              <w:top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tCO2e /employee</w:t>
            </w:r>
          </w:p>
        </w:tc>
        <w:tc>
          <w:tcPr>
            <w:tcW w:w="120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7"/>
              </w:rPr>
              <w:t>Average employees</w:t>
            </w:r>
          </w:p>
        </w:tc>
        <w:tc>
          <w:tcPr>
            <w:tcW w:w="140" w:type="dxa"/>
            <w:vAlign w:val="bottom"/>
          </w:tcPr>
          <w:p>
            <w:pPr>
              <w:spacing w:after="0"/>
              <w:rPr>
                <w:sz w:val="11"/>
                <w:szCs w:val="11"/>
                <w:color w:val="auto"/>
              </w:rPr>
            </w:pPr>
          </w:p>
        </w:tc>
        <w:tc>
          <w:tcPr>
            <w:tcW w:w="1100" w:type="dxa"/>
            <w:vAlign w:val="bottom"/>
            <w:tcBorders>
              <w:top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tCO2e /employee</w:t>
            </w:r>
          </w:p>
        </w:tc>
        <w:tc>
          <w:tcPr>
            <w:tcW w:w="12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Average employees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Intensity ratio</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7"/>
                <w:szCs w:val="17"/>
                <w:color w:val="auto"/>
              </w:rPr>
              <w:t>1.26</w:t>
            </w: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90</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7"/>
                <w:szCs w:val="17"/>
                <w:color w:val="auto"/>
              </w:rPr>
              <w:t>0.40</w:t>
            </w: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tons of carbon dioxide per employee has increased year on year, primarily as a result of an increase in the size of our leased facilities in both the UK and the US, and an increase in our average headcount of 70%. Additionally, as we have expanded our facilities, more employees have been able to work from the office and therefore consumed more greenhouse gas emissions than in 2021, when many non-laboratory based employees were still working from home due to space limitations at the prior facilities and the COVID-19 pandemic.</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directors have established that the Nominations and Corporate Governance Committee are to have oversight of the assessment and strategy on how to reduce our energy consumption and thereby reducing our carbon footprint.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maintain an internet website at https://www.vaccitech.co.uk/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Investing in our American Depositary Shares, or ADSs,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ADSs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Financial Position and Capital Needs</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a clinical-stage biopharmaceutical company with a limited operating history, and we are in the early stages of our development efforts.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We have no products approved for commercial sale and have not generated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 We have incurred net losses each year since inception through to December 31, 2021. For the year ended December 31, 2022, we reported a net income of $5.3 million, and net loss of $51.1 million for the year ended December 31, 2021. As of December 31, 2022, we had an accumulated deficit of $103.2 million. Notwithstanding that we were profitable in 2022, we do not expect profits or positive cash flows from operations in the foreseeable future. We anticipate that our expenses will increase substantially if, and as we:</w:t>
      </w:r>
    </w:p>
    <w:p>
      <w:pPr>
        <w:spacing w:after="0" w:line="182" w:lineRule="exact"/>
        <w:rPr>
          <w:sz w:val="20"/>
          <w:szCs w:val="20"/>
          <w:color w:val="auto"/>
        </w:rPr>
      </w:pPr>
    </w:p>
    <w:p>
      <w:pPr>
        <w:ind w:left="4880" w:right="2340" w:hanging="4542"/>
        <w:spacing w:after="0" w:line="790" w:lineRule="auto"/>
        <w:tabs>
          <w:tab w:leader="none" w:pos="6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authorizations for product candidates that successfully complete clinical trials, if any;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630682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9"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preclinical studies and clinical trials for our current and future product candidates based on our proprietary biologic and synthetic platforms, including the Chimpanzee Adenovirus Oxford, or ChAdOx, and Modified vaccinia Ankara, or MVA, vectors, SNAPvax and our other technologies;</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our manufacturing capabilities through third parties or by ourselves and scale-up manufacturing to provide adequate supply for clinical trials and commercialization;</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maintain, protect and enforce our intellectual property portfolio;</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medical affairs and distribution infrastructure to commercialize any products for which we may obtain marketing approval and intend to commercialize on our own or jointly;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product candidates and technologies; and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legal, accounting and other expenses in operating our business, including the additional costs associated with operating as a public company.</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shareholders’ equity and working capital.</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Actual payments we may receive in connection with certain milestones or net sales under the AstraZeneca License Agreement may differ materially from those described in this Annual Report, and there can be no assurance that we will receive any such payments at all.</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While we currently receive a share of certain milestones and royalties on net sales of certain vaccines under the research collaboration and exclusive worldwide license agreement, or the AstraZeneca License Agreement, between Oxford University Innovation Limited, or OUI, and AstraZeneca UK Limited, or AstraZeneca, there can be no assurance as to the timing or amount of any such milestones or royalties on net sales.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particular, we are not party to the AstraZeneca License Agreement, and we do not have any direct claim against AstraZeneca to receive a share of any milestones or net sales, or any other payments under the AstraZeneca License Agreement. Instead, we are party to the amendment, assignment and revenue share agreement, or the OUI License Agreement Amendment, with OUI, to the license agreement we entered into with OUI in March 2016, pursuant to which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As a result, we will only receive a share of any milestones or royalties paid on net sales of any such vaccine under the AstraZeneca License Agreement if, and to the extent that, OUI receives a share of any such milestones or royalties pursuant to that agreement.</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Moreover, our understanding is that, under the AstraZeneca License Agreement, OUI agreed to forego its share of any royalties from the commercialization of AZD1222 until after the pandemic period. In April 2022, we announced the commencement of royalty payments relating to commercial sales of Vaxzevria (formerly AZD1222).</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understanding of the terms of the AstraZeneca License Agreement is based solely on an extract of the agreement provided by the parties to that agreement. We are not a party to the AstraZeneca License Agreement and do not have access to a copy of that agreement to verify such extract. In addition, no party to the AstraZeneca License Agreement has confirmed that there are no material terms in that agreement that could adversely impact the economic and other terms of the AstraZeneca License Agreement. Moreover, there can be no assurance that the AstraZeneca License Agreement is an enforceable agreement, that the parties thereto will comply with their obligations under the agreement (including any obligations of AstraZeneca to make milestone or royalty payments to OUI), that the agreement will not be terminated pursuant to its terms or otherwise, or that the terms of the agreement (including royalty rates and other economic terms) will not be modified by the parties in the future. Accordingly, these and other factors could cause amounts received by OUI pursuant to the AstraZeneca License Agreement, and accordingly any share of the revenue under that agreement that we may receive, to fluctuate. Any such fluctuations could be material. Additionally, our understanding of the terms of the AstraZeneca License Agreement is that AstraZeneca is required to notify OUI of OUI’s shares of milestone and royalty payments within 30 days following the close of a fiscal quarter. OUI is then required to notify us of our share of the payments within 30 days after the end of a quarter when OUI received such milestone or royalty payments from AstraZeneca. If the required notifications are not made in accordance with the terms of the agreements, we may not be able to recognize revenue in the period in which it is earned.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the announcement of adverse events observed in individuals who receive Vaxzevria and any negative impact on the perceptions of Vaxzevria safety may reduce sales of the vaccine and therefore the potential payments that we would receive from royalties paid on net sales of Vaxzevria. Further, if Vaxzevria is found to be less effective against certain variants of COVID-19, then that may also reduce sales of the vaccine. Any association of Vaxzevria with adverse events, or the perception of such association, or any findings that Vaxzevria is less effective against certain variants of COVID-19, may prevent or reduce sales of Vaxzevria and therefore the potential payments that we may receive from net sales of the vaccine, and may otherwise adversely impact the development of, and our ability to commercialize, any of our product candidates.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yet generated any material revenue from our product candidates.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ability to become profitable depends upon our ability to generate revenue. We do not expect to generate significant revenue from our current or future product candidates unless or until we successfully complete clinical development and obtain marketing authorization for, and then successfully commercialize, at least one of our product candidates.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Certain of our product candidates are in the preclinical stages of development and will require additional preclinical studies, and all of our product 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and, as such, we face significant translational risk as our product candidates advance into and through the clinical stage, as promising results in preclinical studies may not be replicated in subsequent clinical trials, and testing on animals may not accurately predict human experience. Our ability to generate revenue depends on a number of factors, including, but not limited to:</w:t>
      </w:r>
    </w:p>
    <w:p>
      <w:pPr>
        <w:spacing w:after="0" w:line="179" w:lineRule="exact"/>
        <w:rPr>
          <w:sz w:val="20"/>
          <w:szCs w:val="20"/>
          <w:color w:val="auto"/>
        </w:rPr>
      </w:pPr>
    </w:p>
    <w:p>
      <w:pPr>
        <w:ind w:left="640" w:hanging="302"/>
        <w:spacing w:after="0" w:line="285"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completion of our manufacturing, preclinical studies and clinical trials, which may be significantly slower or cost more than we currently anticipate and will depend substantially upon the performance of third-party contractors;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out of our control, such as those currently experienced with the unforeseen pandemic effect on clinical trial progress and participant willingness to enroll;</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complete investigational new drug application, or IND, enabling trials and successfully submit INDs or comparable applications, for our product candidates;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are required by the U.S. Food and Drug Administration, or the FDA, the European Medicines Agency, or the EMA, or the United Kingdom Medicines and Healthcare products Regulatory Agency, or the MHRA, or similar foreign regulatory authorities, to conduct additional clinical trials or other studies beyond those planned to support the approval and commercialization of our product candidates or any future product candidates;</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duration and severity of potential side effects or other safety issues experienced with our product candidates or future product candidates, if any;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receipt of necessary marketing approvals from the FDA and similar foreign regulatory authorities;</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operators of clinics and patients to utilize or adopt any of our product candidates or future product candidates over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59"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and perceived availability, cost, risk profile and side effects and efficacy of our product candidates, if approved, relative to existing and future alternative immunotherapies, therapeutic and prophylactic vaccines and competitive product candidates and technologies; 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173"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demand for our product candidates and any future product candidates, if approved;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maintain, protect and enforce intellectual property rights in and to our product candidates or any future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licensees and collaborators to develop and commercialize our products effectively;</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some or all of the patients that receive Vaxzevria develop neutralizing antibodies against ChAdOx, which could limit the immunogenicity from subsequent dosing with one of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immunogenicity may not translate into clinical benefit; and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costs and complexities associated with manufacturing both the prime and boost elements, ChAdOx, MVA and SNAPvax, of our immunotherapeutics.</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Many of the factors listed above are beyond our control and could cause us to experience significant delays or prevent us from obtaining marketing 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engaged in an acquisition and may evaluate additional acquisitions and strategic partnerships in the future, including licensing or acquiring complementary product candidates, intellectual property rights, technologies or businesses. Any acquisition or strategic partnership may entail numerous risks, including:</w:t>
      </w:r>
    </w:p>
    <w:p>
      <w:pPr>
        <w:spacing w:after="0" w:line="165" w:lineRule="exact"/>
        <w:rPr>
          <w:sz w:val="20"/>
          <w:szCs w:val="20"/>
          <w:color w:val="auto"/>
        </w:rPr>
      </w:pPr>
    </w:p>
    <w:p>
      <w:pPr>
        <w:ind w:left="640" w:hanging="302"/>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indebtedness or contingent liabilities;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 which would result in dilution to our shareholders;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products and product candidates of an acquired company, including difficulties associated with integrating new personnel;</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an acquisition or strategic partnership;</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products or product candidates to achieve marketing authorizations; and</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intellectual property, technology and/or products sufficient to meet our objectives or even to offset the associated transaction and maintenance costs.</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addition, we may assume or incur debt obligations, incur large one-time expenses and/or acquire intangible assets that could result in significant future amortization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you to evaluate the success of our business to date and to assess our future viability.</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 preclinical studies, in-licensing product candidates for development, and establishing arrangements with third parties for the manufacture of initial quantities of our product candidates and component materials, as well as sponsoring and conducting clinical trials up to Phase 2b. We have not yet demonstrated our ability to successfully complete clinical trials beyond Phase 2b,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 successful in such a transition.</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currently advancing current and future product candidates based on our proprietary biologic and synthetic platforms, including the Chimpanzee Adenovirus Oxford, or ChAdOx, and Modified vaccinia Ankara, or MVA, vectors, SNAPvax and our other technologies through clinical development. Developing and commercializing products for therapeutic indications is expensive, and we do not expect to generate meaningful product revenues in the foreseeable future.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December 31, 2022, our cash and cash equivalents were $194.4 million. Based on our current business plan, our management believes that we have sufficient cash to support our operations in to the first quarter of 2025, without additional financing. Our fundraising efforts to raise additional capital may divert our management from their day-to-day activities, which may adversely affect our ability to develop our platforms. In addition, we cannot guarantee that financing will be available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we are unable to obtain funding on a timely basis, we may be required to revise our business plan and strategy, which may result in us significantly curtailing, delaying or discontinuing one or more of our clinical trials or may result in our being unable to expand our operations or otherwise capitalize on our business opportunities. As a result, our business, financial condition and results of operations could be materially affected.</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shareholders, restrict our operations or require us to relinquish rights to our technologies or product candidates.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3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Since our inception, we have invested a significant portion of our efforts and financial resources in research and development activities for our platform and our product candidates developed using our platform. Preclinical studies, clinical trials and additional research and development activities will require substantial funds to complete. We expect our expenses to increase in parallel with our ongoing activities, particularly as we continue our preclinical and clinical development activities to identify new product candidates and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incur significant additional costs associated with operating as a public company. Accordingly, we will need to obtain substantial additional funding in connection with our continuing operations.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had cash and cash equivalents of $194.4 million as of December 31, 2022. Our future capital requirements will depend on many factors, including:</w:t>
      </w:r>
    </w:p>
    <w:p>
      <w:pPr>
        <w:spacing w:after="0" w:line="152" w:lineRule="exact"/>
        <w:rPr>
          <w:sz w:val="20"/>
          <w:szCs w:val="20"/>
          <w:color w:val="auto"/>
        </w:rPr>
      </w:pPr>
    </w:p>
    <w:p>
      <w:pPr>
        <w:ind w:left="4880" w:right="1760" w:hanging="4542"/>
        <w:spacing w:after="0" w:line="790" w:lineRule="auto"/>
        <w:tabs>
          <w:tab w:leader="none" w:pos="6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preclinical development and clinical trials for our product candidates;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630682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enter into additional collaboration arrangements with regard to product candidate development or acquire or in-license products or technologies;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the COVID-19 vaccine program for which we licensed certain of our licensed intellectual property rights to OUI/AstraZeneca;</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future commercialization activities, including product sales, marketing, manufacturing and distribution, for any of our product candidates for which we receive marketing approval;</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if any, received from commercial sales of our product candidates, should any of our product candidates receive marketing approval; and</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78"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w:t>
      </w:r>
    </w:p>
    <w:p>
      <w:pPr>
        <w:spacing w:after="0" w:line="3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Identifying potential product candidates, manufacturing them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Recent volatility in capital markets and lower market prices for many securities may affect our ability to access new capital through sales of shares of our ordinary shares or issuance of indebtedness, which may harm our liquidity, limit our ability to grow our business, pursue acquisitions or improve our operating infrastructure and restrict our ability to compete in our markets.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71" w:lineRule="exact"/>
        <w:rPr>
          <w:sz w:val="20"/>
          <w:szCs w:val="20"/>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unanticipated working capital requirements;</w:t>
      </w:r>
    </w:p>
    <w:p>
      <w:pPr>
        <w:spacing w:after="0" w:line="21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or enhance our technological infrastructure and our existing solutions;</w:t>
      </w:r>
    </w:p>
    <w:p>
      <w:pPr>
        <w:spacing w:after="0" w:line="21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acquisitions or other strategic relationships; and</w:t>
      </w:r>
    </w:p>
    <w:p>
      <w:pPr>
        <w:spacing w:after="0" w:line="21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pressures.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US”), was closed by the California Department of Financial Protection and Innovation, which appointed the Federal Deposit Insurance Corporation, or FDIC, as receiver. Similarly, on March 12, 2023, Signature Bank was swept into receivership. Although a statement by the Department of the Treasury, the Federal Reserve and the FDIC indicated that all depositors of SVB US would have access to all of their money after only one business day of closure, including funds held in uninsured deposit accounts, borrowers under credit agreements, letters of credit and certain other financial instruments with SVB US, Signature Bank or any other financial institution that is placed into receivership by the FDIC may be unable to access undrawn amounts thereunder. In addition, on March 10, 2023, The Bank of England announced that, absent any meaningful further information, it intends to apply to the Court to place Silicon Valley Bank UK Limited (“SVB UK”) into a Bank Insolvency Procedure. On March 13, 2023, The Bank of England announced that, in consultation with the Prudential Regulation Authority (“PRA”) HM Treasury (“HMT”), and the Financial Conduct Authority (“FCA”) it has taken the decision to sell SVB UK to HSBC UK Bank Plc, (“HSBC”). The Bank of England stated that all depositors’ money with SVB UK is safe and secure as a result of this transaction. The Bank of England further stated that SVB UK’s business will continue to be operated normally by SVB UK and that all services will continue to operate as normal and customers should not notice any changes.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March 10, 2023, we believe that we had limited exposure to SVB US, and had less than 1% of our cash on deposit with SVB US through our subsidiary, Vaccitech North America Inc. Additionally, we have a $0.2 million letter of credit held with SVB US related to a lease. As of March 10, 2023, a substantial amount of our cash was on deposit with SVB UK.</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Although we are not a borrower or party to any other such instruments with Signature or any other financial institution currently in receivership or a similar proceeding, if any of our counterparties to any such instruments were to be placed into receivership, we may be unable to access such funds. In addition,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US or SVB UK credit agreements and arrangements, and third parties such as beneficiaries of letters of credit (among others), may experience direct impacts from the closure of SVB US and SVB UK and uncertainty remains over liquidity concerns in the broader financial services industry. Similar impacts have occurred in the past, such as during the 2008-2010 financial crisis.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5" w:lineRule="exact"/>
        <w:rPr>
          <w:sz w:val="20"/>
          <w:szCs w:val="20"/>
          <w:color w:val="auto"/>
        </w:rPr>
      </w:pPr>
    </w:p>
    <w:p>
      <w:pPr>
        <w:ind w:left="640" w:hanging="302"/>
        <w:spacing w:after="0"/>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access to deposits or other financial assets or the uninsured loss of deposits or other financial assets;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inability or reductions in our ability to refund, roll over or extend the maturity of, or enter into new credit facilities or other working capital resources;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breach of contractual obligations that require us to maintain letters of credit or other credit support arrangements; or</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cash management arrangements and/or delays in accessing or actual loss of funds subject to cash management arrangements.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any further deterioration in the macroeconomic economy or financial services industry could lead to losses or defaults by our third-party manufacturers or suppliers, which in turn, could have a material adverse effect on our current and/or projected business operations and results of operations and financial condition. For example, a third-party manufacturer or supplier may default under their agreements with us, become insolvent or declare bankruptcy, or determine that they will no longer deal with us as a customer. In addition, a third-party manufacturer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third-party manufacturer or supplier bankruptcy or insolvency, or any breach or default by a third-party manufacturer or supplier, or the loss of any significant third-party manufacturer or supplier relationships, could result in material losses to us and may have a material adverse impact on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 and Industry and Risks Related to Clinical Development</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All of our product candidates are in early stages of development, including our lead product candidates, VTP-300, VTP-200, VTP-850, VTP-600, VTP-1100 and VTP-1000, and as such will require extensive preclinical and clinical testing, as applicable. Product candidates may not meet targeted clinical or safety endpoints during clinical trials such as the MVA-based influenza prophylactic, VTP-100, which did not meet defined primary clinical endpoints in two concurrent Phase 2b trials and we subsequently discontinued further development of this program.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The success of our current and future product candidates will depend on several factors, including the following:</w:t>
      </w:r>
    </w:p>
    <w:p>
      <w:pPr>
        <w:spacing w:after="0" w:line="182" w:lineRule="exact"/>
        <w:rPr>
          <w:sz w:val="20"/>
          <w:szCs w:val="20"/>
          <w:color w:val="auto"/>
        </w:rPr>
      </w:pPr>
    </w:p>
    <w:p>
      <w:pPr>
        <w:ind w:left="4880" w:right="2000" w:hanging="4542"/>
        <w:spacing w:after="0" w:line="790" w:lineRule="auto"/>
        <w:tabs>
          <w:tab w:leader="none" w:pos="64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with sufficient efficacy and safety profiles, of preclinical studies and clinical trials;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630682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 to complete the necessary preclinical studies and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INDs or equivalent clinical trial authorizations in other regions for our planned clinical trials or future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and completion of our ongoing and future clinical trials, including any delays in enrollment or completed due to the evolving COVID-19 pandemic;</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sufficient data from our clinical program that support an acceptable risk-benefit profile of our product candidates in the intended populations;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maintenance of marketing authorizations from applicable regulatory authorities;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scale-up of our manufacturing processes and formulation of our product candidates for later stages of development and commercialization;</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our own manufacturing capabilities or agreements with third-party manufacturers for clinical supply for our clinical trials and commercial manufacturing, if our product candidate is approved;</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develop product candidate formulations that provide sufficient genetic and thermal stability for long term storage and shipment to meet market requirements;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collaborations, where needed, to further the development of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or regulatory exclusivity for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commercial sales of our product candidates, if and when approved;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the product candidate’s benefits and uses, if and when approved, by patients, the medical community and third- party payors;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adverse events experienced with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continued acceptable benefit/risk profile of the product candidates following authorization;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 including new therapies that may be developed and approved;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healthcare coverage and adequate reimbursement from third-party payors;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qualifying for, maintaining, enforcing and defending intellectual property rights and claims; and</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are conducting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We have no control over third-party use of ChAdOx and MVA technologies outside of our exclusively licensed field under license from OUI, and such third-party use could have a negative impact on our ability to develop current and future product candidates, which would materially harm our business.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experience delays in obtaining the FDA’s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participants on time, or be completed on schedule, if at all. We may experience numerous adverse or unforeseen events during, or as a result of, preclinical studies and clinical trials that could delay or prevent our ability to receive marketing authorization or commercialize our product candidates, including:</w:t>
      </w:r>
    </w:p>
    <w:p>
      <w:pPr>
        <w:spacing w:after="0" w:line="173" w:lineRule="exact"/>
        <w:rPr>
          <w:sz w:val="20"/>
          <w:szCs w:val="20"/>
          <w:color w:val="auto"/>
        </w:rPr>
      </w:pPr>
    </w:p>
    <w:p>
      <w:pPr>
        <w:ind w:left="640" w:hanging="302"/>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receive feedback from regulatory authorities that requires us to modify the design of our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treatments may become standard of care during the process of completing a clinical trial, which may impact the initial clinical trial design or future patient care pathways;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relevant regulatory requirements may cause a delay in the start of a clinical trial, due to additional requirements needing to be met;</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not produce differentiated or clinically significant results across infectious diseases, cancers and autoimmune diseases;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revise the requirements for approving our product candidates, or such requirements may not be as we anticipate;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collaborators may conduct clinical trials in ways they view as advantageous to them but that are suboptimal for us.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the ChAdOx vectors are currently being evaluated in clinical trials outside of our licensed fields conducted by the University of Oxford and other third parties to which OUI has granted licenses, including trials conducted by AstraZeneca for Vaxzevria. We have no control over these other clinical trials and any adverse results in these clinical trials could impact public perception and regulatory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approval of our product candidates. Even after any of our product candidates obtain regulatory marketing authorization, the announcement of adverse events observed in individuals who receive these products may impact public perception and may result in increased regulatory scrutiny across our platform. For example, in March 2021, several countries announced plans to either temporarily suspend the use of a particular batch of Vaxzevria or the use of Vaxzevria altogether following reports of very rare thromboembolic events in people following vaccination. While the European Medicines Agency, or the EMA, subsequently issued an update confirming the overall risk-benefit profile of Vaxzevria remains positive, and Vaxzevria later received full marketing authorization in the EU in November 2022, the applicable regulatory authorities continue to assess available safety data as Vaxzevria continues to be administered and have made recommendations regarding updates to the vaccine’s labeling and use in certain populations. These recommendations may continue to evolve, and these types of announcements may affect public perception of the safety of Vaxzevria, which may extend to product candidates we are developing. Other very rare events have been reported in people who have received Vaxzevria, including thrombocytopenia (low platelet numbers in the blood), capillary leak syndrome, and neurological syndromes such as Guillain Barre Syndrome and transverse myelitis. Perception about the efficacy of Vaxzevria, such as its effectiveness against emerging COVID-19 variants, may also impact perception of our product candidates. Additionally, these announcements may lead to additional inquiries or scrutiny from regulators on whether similar safety or efficacy signals have been observed with our other candidates.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Institutional Review Boards, or IRBs, or ethics committees of the institutions in which such clinical trials are being conducted, or by the FDA or other regulatory authorities, or suspended or terminated based on recommendations by the Data Safety Monitoring Board or equivalent for such clinical trial.</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 In addition, any disclosure of negative data of clinical trials being conducted by our collaborators could have an adverse impact on our business.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we experience delays in the completion of any preclinical study or clinical trial of our product candidates, or our preclinical studies or clinical trials are 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more complete data related to the particular study or trial. We also make assumptions, estimations,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calculations and conclusions as part of our analyses of data, and we may not have received or had the opportunity to fully and carefully evaluate all data. As a result, the topline or preliminary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ADSs.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ChAdOx vectors are currently being evaluated in clinical trials conducted by Oxford and other third parties to which the University of Oxford has granted licenses, including trials conducted by AstraZeneca for Vaxzevria. We have no control over these other clinical trials and any adverse results in these clinical trials could impact public perception and regulatory approval of our product candidates. The information these third parties choose to publicly disclose regarding a particular study or clinical trial is based on what is typically extensive information, and shareholders may not agree with what these third parties determine is material or otherwise appropriate information to include in their disclosure.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 appropriate information to include in our disclosure.</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based on a novel approach to the treatment of cancer, which makes it difficult to predict the time and cost of product candidate development.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concentrated our research and development efforts on our proprietary platform to develop product candidates that stimulate powerful, targeted immune responses against pathogens and tumor cells, which is a novel approach. Our future success depends on the successful development of this platform.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or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other testing and manufacturing methods, which may prevent us from completing our clinical trials or commercializing our product candidates on a timely or profitable basis, if at all.</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 immunotherapies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Difficulty in enrolling participants could delay or prevent clinical trials of our product candidates and prevent us from realizing the full commercial potential of any products we may develop.</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participants to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participate in these trials as required by the FDA, the EMA or other foreign regulatory authorities. For example, randomized clinical controlled trials for Middle East respiratory syndrome, or MERS, are difficult due to the sporadic and low incidence of cases. Our ability to enroll participants may be significantly delayed by the COVID-19 pandemic due to local lockdowns, and government and site level policies in the countries we are performing our clinical trials. In addition, where potential participants for our clinical trials have had previous exposure to the ChAdOx1 vector, we may not be able to enroll these individuals in a clinical trial or their enrollment may be delayed due to the concern that neutralizing antibodies might be present for some time after ChAdOx exposure. For example, we may not be able to enroll or may need to delay the enrollment of potential subjects who received the Vaxzevria vaccine. Although we believe the presence and impact of such neutralizing antibodies is transient, we do not have full data on this yet and our assessment may change. Until the pandemic is over, we will not know the full extent and scope of such delays. The initiation of our Phase 1/2a clinical trial for VTP-200, our Phase 1b/2a clinical trial for VTP-300 and our Phase 1/2a clinical trial for VTP-600, which are being conducted across sites in various countries, was delayed due to COVID-19. Slow enrollment and further delays remain a risk. We cannot anticipate the next pandemic or how that may or may not impact future clinical trial enrollment. In addition, some of our competitors have ongoing clinical trials for product candidates that treat the same indications as our product candidates, and participants who would otherwise be eligible for our clinical trials may instead enroll in clinical trials of our competitors’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enrollment of patients and participants further depends on many factors, including:</w:t>
      </w:r>
    </w:p>
    <w:p>
      <w:pPr>
        <w:spacing w:after="0" w:line="216" w:lineRule="exact"/>
        <w:rPr>
          <w:sz w:val="20"/>
          <w:szCs w:val="20"/>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of clinical testing;</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of participants to clinical trial sites;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inconvenience to patients by participating in a clinical trial, such as increased doctor visits, missed work, travel costs and time;</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clinical trial, including the number of site visits, whether the clinical trial includes a placebo arm and invasive assessments required;</w:t>
      </w:r>
    </w:p>
    <w:p>
      <w:pPr>
        <w:spacing w:after="0" w:line="139"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20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participant consents;</w:t>
      </w:r>
    </w:p>
    <w:p>
      <w:pPr>
        <w:spacing w:after="0" w:line="20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of the preliminary results of any of our clinical trials;</w:t>
      </w:r>
    </w:p>
    <w:p>
      <w:pPr>
        <w:spacing w:after="0" w:line="202" w:lineRule="exact"/>
        <w:rPr>
          <w:rFonts w:ascii="Times New Roman" w:cs="Times New Roman" w:eastAsia="Times New Roman" w:hAnsi="Times New Roman"/>
          <w:sz w:val="17"/>
          <w:szCs w:val="17"/>
          <w:color w:val="auto"/>
        </w:rPr>
      </w:pPr>
    </w:p>
    <w:p>
      <w:pPr>
        <w:ind w:left="640" w:hanging="302"/>
        <w:spacing w:after="0" w:line="254"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some or all of the patients that receive Vaxzevria develop neutralizing antibodies against ChAdOx, which could limit the immunogenicity from subsequent dosing with one of our product candidates;</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participants enrolled in clinical trials will drop out of the clinical trials before clinical trial completion; and</w:t>
      </w:r>
    </w:p>
    <w:p>
      <w:pPr>
        <w:spacing w:after="0" w:line="202" w:lineRule="exact"/>
        <w:rPr>
          <w:rFonts w:ascii="Times New Roman" w:cs="Times New Roman" w:eastAsia="Times New Roman" w:hAnsi="Times New Roman"/>
          <w:sz w:val="17"/>
          <w:szCs w:val="17"/>
          <w:color w:val="auto"/>
        </w:rPr>
      </w:pPr>
    </w:p>
    <w:p>
      <w:pPr>
        <w:ind w:left="640" w:hanging="302"/>
        <w:spacing w:after="0" w:line="254"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we may not be able to control, such as current or potential pandemics that may limit participants, principal investigators or staff or clinical site availability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COVID-19 pandemic).</w:t>
      </w:r>
    </w:p>
    <w:p>
      <w:pPr>
        <w:spacing w:after="0" w:line="1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participants and their doctors may be inclined to use conventional therapies, such as chemotherapy, rather than enroll participants in any future clinical trial.</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FDA, the EMA or other comparable foreign regulatory authorities. Further, clinical trials by their nature utilize a sample of the potential patient population. Because of our dose escalation design for our clinical trials, undesirable side effects in initial cohorts could also result in the need to expand the size of our clinical trials, increasing the expected costs and timeline of our clinical trials. Additionally, because certain of our product candidates, including Vaxzevria, have been administered to substantial numbers of participants on a more rapid basis than is standard in clinical trials, undesirable side effects could result in a negative impact across a larger participant population. Results of our trials could reveal a high and unacceptable severity and prevalence of side effects or unexpected characteristics. If we do observe serious side effects in our clinical trials, our ongoing clinical trials may be halted or put on clinical hold prior to completion if there is an unacceptable safety risk for participants.</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If unacceptable toxicities arise in the development of our product candidates, we could suspend or terminate our trials or the FDA, the EMA or other comparable foreign regulatory authorities, or local regulatory authorities such as IRBs or ethics committees, could order us to cease clinical trials. Competent national health authorities, such as the FDA, could also deny approval of our product candidates for any or all targeted indications. Even if the side effects presented do not preclude the product from obtaining or maintaining marketing authorization, treatment-related side effects could also affect participant recruitment or the ability of enrolled participants to complete the trial or result in potential product liability claims. In addition, these side effects may not be appropriately recognized or managed by the treating medical staff.</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intend to develop certain of our product candidates in combination with other therapies, which exposes us to additional risks.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We intend to develop certain of our product candidates in combination with one or more other approved therapies, such as anti-PD-1 antibodies and other checkpoint inhibitors to treat certain cancers and chronic infections. Even if any product candidate we develop were to receive marketing authorization or be commercialized for use in combination with other existing therapies, we would continue to be subject to the risks that the FDA, the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also may choose to evaluate our current product candidates and any other future product candidates in combination with one or more therapies that have not yet been approved for marketing by the FDA, the EMA or comparable foreign regulatory authorities. We will not be able to market and sell our current product candidates or any product candidate we develop in combination with any unapproved therapies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the FDA, the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Approach</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Cancer therapies are sometimes characterized by line of therapy (first line, second line, third line, fourth line, etc.), and the regulatory authorities, including the FDA, often approve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seek approval of VTP-600 as a component of first line therapy but we expect to seek approval of our other oncology product candidates initially as second or third line therapy, for use in patients with relapsed or refractory metastatic cancer. Subsequently, for those product candidates that prove to be sufficiently safe and beneficial as third line or second line therapies, if any, we would expect to seek approval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as earlier line therapies, but there is no guarantee that our product candidates, even if approved as a second or third line of therapy, would be approved for an earlier line of therapy, and, prior to any such approvals, we may have to conduct additional clinical trials.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projections of both the number of people who have the infectious diseases and cancers we are targeting, as well as the subset of people with these infectious diseases and cancers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cancers and chronic infections.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Negative developments in the field of infectious disease and immuno-oncology could damage public perception of any of our product candidates and negatively affect our business.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commercial success of our product candidates will depend in part on public acceptance of the use of immunotherapies and vector-based viral vaccines. Adverse events in clinical trials of VTP-300 and VTP-200, or in clinical trials of others developing similar products and the resulting publicity, as well as any other negative developments in the field of infectious disease and immuno-oncology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present product candidates consist of modified viruses. Adverse developments in clinical trials of other immunotherapy products based on viruses, such as oncolytic viruses, may result in a disproportionately negative effect for our platform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and successfully commercialize additional product candidates.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spacing w:after="0" w:line="165" w:lineRule="exact"/>
        <w:rPr>
          <w:sz w:val="20"/>
          <w:szCs w:val="20"/>
          <w:color w:val="auto"/>
        </w:rPr>
      </w:pPr>
    </w:p>
    <w:p>
      <w:pPr>
        <w:ind w:left="640" w:hanging="302"/>
        <w:spacing w:after="0"/>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assemble sufficient resources to acquire or discover additional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may develop alternatives that render our potential product candidates obsolete or less attractive;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candidates we develop may nevertheless be covered by third parties’ patents or other exclusive rights;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candidates may not be effective in treating their targeted diseases or symptoms;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a potential product candidate may change so that the continued development of that product candidate is no longer reasonable;</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potential product candidate may not be capable of being produced in commercial quantities at an acceptable cost, or at all; or</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pathway for a potential product candidate is highly complex and difficult to navigate successfully or economically.</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Developing, obtaining marketing authorization for and commercializing additional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choose to focus our efforts on and allocate resources to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Our spending on current and future research and development programs and product candidates for specific indications may not yield any commercially viable products. If we are unable to evaluate the commercial potential or target market for a particular product candidate, identify and successfully commercialize additional suitable product candidates, this would adversely impact our business strategy and our financial position.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Sales, Marketing and Competition</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in an environment of rapid technological change, which may result in others discovering, developing, obtaining marketing authorization approval or commercializing products before or more successfully than we do, which may adversely affect our financial condition and our ability to successfully market or commercialize our product candidates.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Product candidates that we successfully develop and commercialize will compete with existing therapies and new therapies that may become available in the future. Specifically, we expect that our product candidates will compete against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efficacy, safety,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the Development of Our Product Candidates</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Before obtaining marketing authorization for the commercial sale of our product candidates, we must demonstrate the safety, purity and potency of our investigational biologics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VTP-100 demonstrated tolerability and immunogenicity during small Phase 1 clinical trials but did not demonstrate sufficient clinical activity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certain of our product candidates, VTP- 400, VTP-1100, VTP-1000 and VTP-600, and are in early stages of clinical trials for certain of our product candidates, VTP-300, VTP-500 and VTP-200, as is the case with all novel immunotherapeutics and viral-vector based vaccines,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 development of or deny authorization of certain of our product candidates for any or all targeted indications. Treatment- 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Even if we obtain marketing authorization for our product candidates, the products may not gain market acceptance among physicians, patients, hospitals, cancer treatment centers and others in the medical community.</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use of novel immunotherapeutics, nanoparticle and viral-vector based product candidates to target the treatment and prevention of infectious diseases, and cancer and autoimmuneimmune tolerance diseases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171" w:lineRule="exact"/>
        <w:rPr>
          <w:sz w:val="20"/>
          <w:szCs w:val="20"/>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licensed;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hospitals, cancer treatment centers and patients considering our product candidates as a safe and effective treatment;</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our product candidates over alternative treatments, including the adoption of our treatment as the standard of care;</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demonstrate the advantages of our product candidates over other vaccines and cancer, or chronic infectious disease or immune tolerance disease medicines;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for other immunotherapeutics and public perception of other immunotherapeutics;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for other viral-vector based vaccines and/or therapeutics and public perception of other viral-vector based vaccines and/or therapeutics;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for other nanoparticle based vaccines and/or therapeutics and public perception of other nanoparticle based vaccines and/or therapeutics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labeling or product insert requirements of the FDA or other regulatory authorities;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approved labeling;</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our product candidates as well as competitive products;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coverage, reimbursement and pricing by third-party payors and government authorities;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coverage by third-party payors and government authorities;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 including as compared to alternative treatments and competitive therapies;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and marketing efforts.</w:t>
      </w:r>
    </w:p>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although our product candidates differ in certain ways from other immunotherapeutic and viral-vector based vaccine approaches, serious adverse events or deaths in other clinical trials involving immunotherapeutics and viral-vector based vaccines,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policies are expensive and protect us only from some business risks, which leaves us exposed to significant uninsured liabilities.</w:t>
      </w:r>
    </w:p>
    <w:p>
      <w:pPr>
        <w:spacing w:after="0" w:line="2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do not carry insurance for all categories of risk that our business may encounter. Some of the policies we currently maintain include general liability, employment practices liability, property, umbrella, and directors’ and officers’ insurance.</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Insurance coverage is becoming increasingly expensive and in the future we may not be able to maintain insurance coverage at a reasonable cost or in 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marketing authorizations could be suspended.</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Reliance on Third Parties</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certain of our preclinical studies and clinical trials. If these third parties do not properly and successfully carry out their contractual duties or meet expected deadlines, we may not be able to obtain marketing authorizations for, or commercialize, our product candidates and our business could be substantially harmed.</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utilize and depend, and expect to continue to utilize and depend, upon independent investigators and collaborators, such as medical institutions, contract research organizations, or CROs, contract manufacturing organizations, or CMOs, and strategic partners to conduct and support certain of our preclinical studies and clinical trials under agreements with us. For example, we are dependent on our regional partner, CanSino Biologics, to conduct a Phase 1 clinical trial of VTP-400 for herpes zoster prevention.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expect to have to continue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preclinical studies and clinical trials 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 the FDA and comparable foreign regulatory authorities for product candidates in clinical development.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authorization applications, or MAA.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 parties to comply with these regulations or to recruit a sufficient number of participants may require us to repeat clinical trials, which would delay the marketing authorization process. Moreover, our business may be implicated if any of these third parties performing services or otherwise acting on our behalf violates federal or state fraud and abuse or false claims laws and regulations or healthcare privacy and security laws.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marketing authorization for, or successfully commercialize, our product candidates. As a result, our financial results and the commercial prospects for our product candidates would be harmed, our costs could increase and our ability to generate revenue could be delayed.</w:t>
      </w:r>
    </w:p>
    <w:p>
      <w:pPr>
        <w:spacing w:after="0" w:line="3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collaborations involving our product candidates are subject to numerous risks, which may include the following:</w:t>
      </w:r>
    </w:p>
    <w:p>
      <w:pPr>
        <w:spacing w:after="0" w:line="216" w:lineRule="exact"/>
        <w:rPr>
          <w:sz w:val="20"/>
          <w:szCs w:val="20"/>
          <w:color w:val="auto"/>
        </w:rPr>
      </w:pPr>
    </w:p>
    <w:p>
      <w:pPr>
        <w:ind w:left="4880" w:right="1100" w:hanging="4542"/>
        <w:spacing w:after="0" w:line="790" w:lineRule="auto"/>
        <w:tabs>
          <w:tab w:leader="none" w:pos="6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a collaboration;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630682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3"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1"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agreements, collaborators may develop our product candidates to standards that only meet their local regulatory requirements and therefore clinical data cannot be applied in support regulatory submissions in other jurisdictions;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in certain countries may require joint ventures to manufactures and commercialize products in their territory, which may increase costs, increase dilution to shareholders, and offer lack of clarity on revenue and intellectual property sharing;</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products may not commit sufficient resources to their marketing and distribution;</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78"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369"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 and</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Manufacturing of biological drug products is complex and requires significant expertise and capital investment, including the development of advanced manufacturing techniques and process controls. Manufacturers of biologic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anticipated reliance on a limited number of third-party manufacturers exposes us to a number of risks, including the following:</w:t>
      </w:r>
    </w:p>
    <w:p>
      <w:pPr>
        <w:spacing w:after="0" w:line="216" w:lineRule="exact"/>
        <w:rPr>
          <w:sz w:val="20"/>
          <w:szCs w:val="20"/>
          <w:color w:val="auto"/>
        </w:rPr>
      </w:pPr>
    </w:p>
    <w:p>
      <w:pPr>
        <w:jc w:val="both"/>
        <w:ind w:left="640" w:hanging="302"/>
        <w:spacing w:after="0" w:line="269"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manufacturer would have to be educated in, or develop substantially equivalent processes for, the production of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manufacturers might be unable to timely manufacture our product candidates or produce the quantity and quality required to meet our clinical and commercial needs, if any;</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manufacturers may not be able to execute our manufacturing procedures and other logistical support requirements appropriately;</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own, or may have to share, the intellectual property rights to any improvements made by our third-party manufacturers in the manufacturing process for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manufacturers could breach or terminate their agreements with us;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manufacturers may prioritize another customer’s needs in front of ours, especially in the event of a global pandemic;</w:t>
      </w:r>
    </w:p>
    <w:p>
      <w:pPr>
        <w:spacing w:after="0" w:line="215"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and critical suppliers may be subject to inclement weather, pandemics, as well as natural or man- made disasters; and</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our third-party manufacturers use hazardous and biological materials in a manner that causes injury or violates applicable law, we may be liable for damages.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research and development activities involve the controlled use of potentially hazardous substances, including biological materials, by our third-party 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Government Regulation</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time required to obtain approval from the FDA, the EMA, MHRA and other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 product candidate and it is possible that none of our current or future product candidates will ever obtain marketing authorizations.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current and future product candidates could fail to receive marketing authorizations for many reasons, including the following:</w:t>
      </w:r>
    </w:p>
    <w:p>
      <w:pPr>
        <w:spacing w:after="0" w:line="216" w:lineRule="exact"/>
        <w:rPr>
          <w:sz w:val="20"/>
          <w:szCs w:val="20"/>
          <w:color w:val="auto"/>
        </w:rPr>
      </w:pPr>
    </w:p>
    <w:p>
      <w:pPr>
        <w:ind w:left="640" w:hanging="302"/>
        <w:spacing w:after="0"/>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financial resources to commence and complete planned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the EMA, MHRA or other comparable foreign regulatory authorities may disagree with the design or implementation of our clinical trials;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Licensing Application, or BLA, to the FDA, or an MAA to the EMA or other comparable submission to regulatory authorities in other regions, to obtain authorization in the United States, the European Union or elsewhere;</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the EMA, MHRA or regulatory authorities in other regions that a product candidate has an overall suitable benefit/risk profile for its proposed indication;</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the EMA, MHRA or other comparable foreign regulatory authorities may find deficiencies with or fail to approve the manufacturing processes or facilities of third-party manufacturers with which we contract for clinical and commercial supplies;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the EMA, MHRA or other comparable foreign regulatory authorities may significantly change in a manner rendering our clinical data insufficient for approval; and</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intend to conduct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conducted, and intend to conduct, clinical trials of certain of our product candidates outside the United States. Although the FDA may accept data from clinical trials conducted outside the United States, acceptance of these data are 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 population must also adequately represent the U.S. population, and the data must be applicable to the U.S. population and U.S. medical practice in ways that the FDA deems clinically meaningful. In general, the participant population for any clinical trials conducted outside of the United States must be representative of the population for whom we intend to label the product in the United States. There can be no assurance the FDA will accept data from trials conducted outside of the United States.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FDA, the EMA and other comparable foreign regulatory authorities have substantial discretion in the approval process, and determining when or whether marketing authorization will be obtained for any product candidate that we develop. Even if we believe the data collected from future clinical trials of our product candidates are promising, such data may not be sufficient to support approval by the FDA, the EMA, MHRA or any other comparable foreign regulatory authorities.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Even if we were to obtain marketing authorization, regulatory authorities may approve any of our product candidates for fewer or more limited indications than we request, may not approve the price we intend to charge for our products, may grant approval conditional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other expedited approval programs, including accelerated approval.</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for the treatment and prevention of infectious diseases and cancer, there can be no assurance that we will receive breakthrough therapy designation.</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approved, our investigational products regulated as biologics may face competition from biosimilars approved through an abbreviated regulatory pathway.</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Even if we obtain FDA, EMA or MHRA approval for our current or future product candidates that we may identify and pursue in the United States, Europe or the United Kingdom, we may never obtain approval to commercialize any such product candidates outside of those jurisdictions, including in Asian markets wherein we intend to commercialize VTP-300, which would limit our ability to realize their full market potential.</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 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 EMA or MHRA approval, in addition to country-specific risks and challenges. For example, we are developing VTP-300 for HBV infection, which is most prevalent in China and other countries in Asia. We have limited development experience in this market and we may need to rely on a local, third-party partner to help us navigate the applicable regulatory requirements. Additionally, governments in this target market may deem the eradication of HBV infections to be a national priority which could impact the framework for available reimbursement or our ability to achieve a standard commercial return based on the value of our product, if approved. We do not have any product candidates approved for sale in any jurisdiction, including international markets, and we do not have experience in obtaining marketing authorizations in international markets for our current or future product candidates. If we fail to comply with regulatory requirements in international markets or to obtain and maintain required approvals, or if marketing authorization in international markets is delayed, our target market will be reduced and our ability to realize the full market potential of our current or future product candidates will be harmed.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Future changes to tax laws could materially adversely affect our financial condition and results of operations, and reduce net returns to our shareholders.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conduct business globally and file income tax returns in multiple jurisdictions. The tax treatment of the Company or any of the group companies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Base Erosion and Profit Shifting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A tax authority may disagree with tax positions that we have taken, which could result in increased tax liabilities. For example, Her Majesty’s Revenue &amp; Customs, or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spacing w:after="0" w:line="1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use net operating loss and tax credit carryforwards and certain built-in losses or tax credits to reduce future tax payments or to benefit from favorable UK tax legislation.</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UK incorporated and tax resident entity, we are subject to UK corporate taxation. Due to the nature of our business, we have generated losses since inception and therefore have not paid any UK corporation tax. As of December 31, 2022, we had cumulative carryforward tax losses of approximately $39.6 million (December 31, 2021: $40.9 million). Subject to any relevant criteria and restrictions (including those that limit the percentage of profits that 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us by third parties, the Research and Development Expenditure Credit program. Under the SME Program, where available, we may be able to surrender some of our trading losses that arise from our qualifying research and development activities for cash or carry forward such losses for potential offset against future profits (subject to relevant restrictions). The majority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In addition, the SME Program has been amended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 Finance Act 2021 which came into force in April 2021. This legislation introduced a cap on claims under the SME Program to a multiple of payroll taxes (broadly, to a maximum payable credit equal to £20,000 plus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Changes to the UK R&amp;D tax relief legislation that have been recently enacted or proposed, and expected to take effect from April 2023, respectively reduce the R&amp;D cash rebate rate under the SME Program, and may introduce restrictions on relief that may be claimed for expenditure on sub-contracted R&amp;D activity, broadly requiring either that workers carrying on such activity are subject to UK PAYE or, where work is undertaken outside the UK, that this must be due to geographical, environmental, social or other conditions that: (i) are not present in the UK; and (ii) it would be wholly unreasonable to replicate in the UK. This rate reduction and such proposed restrictions may impact the quantum of R&amp;D relief that we are able to claim in the future. In addition, the UK government is currently consulting on the potential replacement of the SME Program and RDEC Program with a single program, operating similarly to the RDEC Program, which may, inter alia, change the present treatment of sub-contracted R&amp;D work and introduce different thresholds and caps on expenditure and relief. If enacted, the new program would be expected to have effect for expenditure incurred from April 2024 onwards, and could have a material impact on the quantum of R&amp;D relief that we are eligible to claim.</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 available on our research and development expenditures, we expect a long-term rate of corporation tax lower than the statutory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Ongoing Regulatory Obligations</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marketing authorizations that we receive for our product candidates will require surveillance to monitor the safety and efficacy of the product candidate. The FDA may also require a risk evaluation and mitigation strategy, or REMS, and the EMA may also require additional rapid microbiological method approvals or educational materials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regulations and GCPs, for any clinical trials that we conduct post-approval, and compliance with applicable product tracking and tracing requirements.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80" w:lineRule="exact"/>
        <w:rPr>
          <w:sz w:val="20"/>
          <w:szCs w:val="20"/>
          <w:color w:val="auto"/>
        </w:rPr>
      </w:pPr>
    </w:p>
    <w:p>
      <w:pPr>
        <w:ind w:left="640" w:hanging="302"/>
        <w:spacing w:after="0" w:line="285"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our product candidates, withdrawal of the product from the market or voluntary or mandatory product recalls;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delays and supply disruptions where regulatory inspections identify observations of noncompliance requiring remediation;</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revisions to the labeling, including limitation on approved uses or the addition of additional warnings, contraindications or other safety information, including boxed warnings;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REMS, which may include distribution or use restrictions;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additional post-market clinical trials to assess the safety of the product;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filed by us or suspension or revocation of approvals;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our product candidates;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criminal, or administrative penalties.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marketing authorization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and other regulatory authorities actively enforce the laws and regulations prohibiting the promotion of off-label uses.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if approved. In particular, while the FDA permits the dissemination of truthful and non- misleading information about an approved product, a manufacturer may not promote a product for uses that are not approved by the FDA or such other regulatory authorities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regulations that govern marketing approvals, pricing and reimbursement for new drugs vary widely from country to country. In the United States, no uniform policy of coverage and reimbursement for products exists among third-party payors and,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385" w:lineRule="exact"/>
        <w:rPr>
          <w:sz w:val="20"/>
          <w:szCs w:val="20"/>
          <w:color w:val="auto"/>
        </w:rPr>
      </w:pPr>
    </w:p>
    <w:p>
      <w:pPr>
        <w:ind w:left="640" w:hanging="30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As a result, increasingly high barriers are being erected to the entry of new products.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legislative or regulatory reform measures may have a material adverse effect on our business and results of operations.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 existing laws, rules, and regulations could impact our business in the future by requiring, for example:</w:t>
      </w:r>
    </w:p>
    <w:p>
      <w:pPr>
        <w:spacing w:after="0" w:line="2" w:lineRule="exact"/>
        <w:rPr>
          <w:sz w:val="20"/>
          <w:szCs w:val="20"/>
          <w:color w:val="auto"/>
        </w:rPr>
      </w:pPr>
    </w:p>
    <w:p>
      <w:pPr>
        <w:jc w:val="both"/>
        <w:ind w:firstLine="4"/>
        <w:spacing w:after="0" w:line="258" w:lineRule="auto"/>
        <w:tabs>
          <w:tab w:leader="none" w:pos="22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the section entitled “Business – Government Regulation – Healthcare Reform and Legislative Changes.”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We cannot predict the reform initiatives that may be adopted in the future or whether initiatives that have been adopted will be modified or invalidated.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will be subject to the Foreign Corrupt Practices Act, or FCPA, and similar anti-bribery and anti- corruption laws in other jurisdictions.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we engage in and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 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Securities and Exchange Commission, or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example, over the last several years the U.S. government has shut down several times and certain regulatory authorities, such as the FDA and the SEC, have had to furlough critical FDA, SEC and other government employees and stop critical activities. If a prolonged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COVID-19 and may experience delays in their regulatory activities.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U.S. federal and state fraud and abuse laws and other healthcare laws, including, without limitation, the federal Anti- Kickback Statute, or AKS, the federal civil and criminal false claims laws, and the law commonly referred to as the Physician Payments Sunshine Act, or Sunshine Act, along with regulations promulgated under such laws. These laws impact, among other things, our clinical research activities, proposed sales, marketing and educational programs, and other arrangements and relationships with third-party payors, healthcare professionals, and other parties through which we 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See section entitled “Business – Government Regulation – Other Healthcare Laws and Compliance Requirements.”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If any of the physicians or other healthcare providers or entities with whom we expect to do business is found not to be in compliance with 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collaborators, CROs or CMOs, principal investigators, suppliers and vendors may engage in fraudulent conduct or other illegal activity. Misconduct by these parties could include intentional, reckless and negligent conduct 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persons acting on our behalf could also involve the improper use of individually identifiable information, including, without limitation, information obtained in the course of clinical trials, which could result in regulatory sanctions and serious harm to our reputation.</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current or future national, supranational, federal or state laws and regulations, regulatory guidance and industry standards relating to data protection, privacy and information security, including restrictive European regulations, could lead to government enforcement actions (which could include civil or criminal penalties), private litigation, and/or adverse publicity and could negatively affect our operating results and business.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and our collaborators and third-party providers are subject to national, supranational, federal or state laws and regulations, regulatory guidance and industry standards relating to data protection, privacy and information security. This includes the EU General Data Protection Regulation, or GDPR, as well as other national data protection legislation in force in relevant EU member states (including the GDPR in such form as incorporated into the law of England and Wales, Scotland and Northern Ireland by virtue of the European Union (Withdrawal) Act 2018 and any regulations thereunder and the UK Data Protection Act 2018, or UK GDPR.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GDPR and UK GDPR are wide-ranging in scope and impose numerous additional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and the UK GDPR also provide individuals with various rights in respect of their personal data, including rights of access, erasure, portability, rectification, restriction and objection. The GDPR and UK GDPR define personal data to include pseudonymized or coded data and requires different informed consent practices and more detailed notices for clinical trial participants and investigators than applies to clinical trials conducted in the United States. We are required to apply GDPR and UK GDPR standards to any clinical trials that our EU and UK established businesses carry out anywhere in the world.</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GDPR and UK GDPR impose strict rules on the transfer of personal data to countries outside the European Economic Area, including the United States. The UK and Switzerland have adopted similar restrictions. Although the UK is regarded as a third country under the EU’s GDPR, the European Commission, or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GDPR and UK GDPR may increase our responsibility and liability in relation to personal data that we process where such processing is subject to the GDPR and UK GDPR. While we have taken steps to comply with the GDPR and UK GDPR, and implementing legislation in applicable EU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changes in data protection obligations, preparing for and complying with the GDPR and UK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Section 5 of the FTCA), that govern the collection, use, disclosure and protection of health-related and other personal information could apply to our operations or the operations of our collaborators and third-party providers. For example, California recently enacted the California Consumer Privacy Act, or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US states are constantly amending existing laws, requiring attention to frequently changing regulatory requirements. At this time, we do not collect personal data on residents of California but should we begin to do so, and in the context of doing so, become subject to the CCPA, the CCPA will impose new and burdensome privacy compliance obligations on our business and will raise new risks for potential fines and class actions.</w:t>
      </w:r>
    </w:p>
    <w:p>
      <w:pPr>
        <w:spacing w:after="0" w:line="3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to the CCPA, a California ballot initiative, the California Privacy Rights Act, or CPRA, was passed in November 2020. Effective as of January 1, 2023, the CPRA imposes additional obligations on companies covered by the legislation and will significantly modify the CCPA, including by expanding consumers’ rights with respect to certain sensitive personal information. The CPRA also created a new state agency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Some observers have noted that the CCPA and CPRA could mark the beginning of a trend toward more stringent privacy legislation in the United States, which could increase our potential liability and adversely affect our business. For example, on January 1, 2023, the Virginia Consumer Data Protection Act, or the CDPA, became effective. Further, many additional United States state privacy laws will go into effect throughout 2023: the Colorado Privacy Act, or the CPA (July 1, 2023); the Connecticut Data Privacy Act, or the CTDPA (July 1, 2023); and the Utah Consumer Privacy Act, or the UCPA (December 31, 2023). The CDPA, CPA, CTDPA, and UCPA are substantially similar in scope and contain many of the same requirements and 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While the CDPA, CPA, CTDPA, and UCPA incorporate many similar concepts of the CCPA and CPRA, there are also several key differences in the scope, application, and enforcement of the laws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general privacy and data protection requirements, many jurisdictions around the world have adopted legislation that regulates how businesses operate online and enforces information security, including measures relating to privacy, data security and data breaches. Many of these laws require businesses to notify data breaches to the regulators and/or data subjects. These laws are not consistent, and compliance in the event of a widespread data breach is costly and burdensome.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 of up to €20 million (£17.5 million in the UK) or 4% of annual global revenue, whichever is greater. The authorities have shown a willingness to impose significant fines and issue orders preventing the processing of personal data on non-compliant businesses. Data subjects also have a private right of action, as do consumer associations, to lodge complaints with supervisory authorities, seek judicial remedies, and obtain compensation for damages resulting from violations of applicable data protection laws. In the United States, possible consequences for non-compliance include enforcement actions in response to rules and regulations promulgated under the authority of federal agencies and state attorneys general and legislatures and consumer protection agencies.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privacy advocates and industry groups have regularly proposed, and may propose in the future, self-regulatory standards that may legally or contractually apply to us. If we fail to follow these security standards, even if no customer information is compromised, we may incur significant fines or experience a significant increase in costs.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risk of our being found in violation of these laws is increased by the fact that the interpretation and enforcement of them is not entirely clear.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 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liable, could be expensive and time-consuming to defend, could result in adverse publicity and could have a material adverse effect on our business, financial condition, results of operations and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Intellectual Property</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with respect to our product 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 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or WTO, will waive certain intellectual property protections now or in the future on certain technologies. It is 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 WTO. We also cannot be certain that any of our current or future intellectual property rights, whether patents, trade 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 With respect to both our in-licensed and owned intellectual property, we cannot predict whether the patent applications that we and our licensors are currently pursuing or that we may pursue in the future will issue as patents in any particular jurisdiction or whether the claims of any issued patents will provide sufficient protection from competitors.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issuance of a patent is not conclusive as to its inventorship, scope, validity, or enforceability, and our patents may be challenged in the courts or patent offices in the United States and abroad. We or our licensors may become subject to a third party pre-issuance submission of prior art to the United States Patent and Trademark Office, or the USPTO, or opposition, derivation, revocation, reexamination, post-grant and </w:t>
      </w:r>
      <w:r>
        <w:rPr>
          <w:rFonts w:ascii="Times New Roman" w:cs="Times New Roman" w:eastAsia="Times New Roman" w:hAnsi="Times New Roman"/>
          <w:sz w:val="17"/>
          <w:szCs w:val="17"/>
          <w:i w:val="1"/>
          <w:iCs w:val="1"/>
          <w:color w:val="auto"/>
        </w:rPr>
        <w:t xml:space="preserve">inter partes </w:t>
      </w:r>
      <w:r>
        <w:rPr>
          <w:rFonts w:ascii="Times New Roman" w:cs="Times New Roman" w:eastAsia="Times New Roman" w:hAnsi="Times New Roman"/>
          <w:sz w:val="17"/>
          <w:szCs w:val="17"/>
          <w:color w:val="auto"/>
        </w:rPr>
        <w:t>review, or interference proceedings and other similar proceedings challenging our patent rights or the patent rights of others.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heavily reliant upon licenses to certain patent rights and proprietary technology from third parties that are important or necessary to the development of our product candidates. These and other future agreements impose, and may continue to impose, numerous obligations, such as 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 order to maintain the licenses. In spite of our best efforts, our current and future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we may not have the right to control the preparation, filing, prosecution, maintenance, enforcement, and defense of patents and patent applications covering the technology that we license from third parties. For example, we do not control the preparation, filing, prosecution or maintenance of patents in-licensed from OUI.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termination of these licenses, or any failure of the underlying patents to provide the intended exclusivity, could result in the loss of significant rights 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Disputes may arise between us and our current and future licensors regarding intellectual property subject to a license agreement, including:</w:t>
      </w:r>
    </w:p>
    <w:p>
      <w:pPr>
        <w:spacing w:after="0" w:line="216" w:lineRule="exact"/>
        <w:rPr>
          <w:sz w:val="20"/>
          <w:szCs w:val="20"/>
          <w:color w:val="auto"/>
        </w:rPr>
      </w:pPr>
    </w:p>
    <w:p>
      <w:pPr>
        <w:ind w:left="640" w:hanging="302"/>
        <w:spacing w:after="0"/>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technology and processes infringe, misappropriate or otherwise violate intellectual property rights of the licensor that are not subject to the licensing agreement;</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sublicense patent and other rights to third parties under collaborative development relationships and the amount of fees payable as a result of sublicensing arrangements;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with respect to the use of the licensed technology in relation to our development and commercialization of our product candidates, and what activities satisfy those diligence obligations;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any patented technology; and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current or future licensors and/or us and/or our partners.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to the protection afforded by patents, we seek to rely on trade secret protection and confidentiality agreements to protect proprietary know-how 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Moreover, any of these parties might breach the agreements and intentionally or inadvertently disclose our trade secret information and we may not be able to obtain adequate remedies for such breaches. In addition, competitors and other third parties may otherwise gain access to our trade secrets or 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prospects.</w:t>
      </w:r>
    </w:p>
    <w:p>
      <w:pPr>
        <w:spacing w:after="0" w:line="3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and could have a material adverse effect on our business, financial conditions, results of operations and prospects.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intellectual property landscape around immunotherapeutics, nanoparticles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intellectual property landscape around immunotherapeutics, nanoparticles and viral-vector based vaccines is crowded and dynamic,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post-grant review proceedings before the USPTO or oppositions and other comparable proceedings in 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viral vectors and vaccines or their methods of use or manufacture. Thus, because of the large number of patents issued and patent applications filed in our fields, there may be a risk that third parties may allege they have patent rights encompassing our product candidates, technologies or methods. For example, we are aware of third-party patents in the United States and Europe with claims which may be relevant to our VTP-300 and VTP-850 product candidates. In the event that these patents were asserted against us in an infringement action, we may have to argue that the manufacture, use, sale or importation of our VTP-300 or VTP-850 product candidates in the United States and Europe do not infringe any valid claim of the asserted patents. There is no assurance that a court would find in our favor on questions of infringement or validity.</w:t>
      </w:r>
    </w:p>
    <w:p>
      <w:pPr>
        <w:spacing w:after="0" w:line="4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spacing w:after="0" w:line="152" w:lineRule="exact"/>
        <w:rPr>
          <w:sz w:val="20"/>
          <w:szCs w:val="20"/>
          <w:color w:val="auto"/>
        </w:rPr>
      </w:pPr>
    </w:p>
    <w:p>
      <w:pPr>
        <w:ind w:left="640" w:hanging="302"/>
        <w:spacing w:after="0" w:line="28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post-grant review proceedings. These proceedings are expensive and may consume our time or other 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 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 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spacing w:after="0" w:line="3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product components and processes for our development pipeline through acquisitions and in-licenses.</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currently have rights to intellectual property, through licenses from third parties, to develop and commercialize our product candidates. Many pharmaceutical companies, biotechnology companies, and academic institutions are competing with us in the field of infectious disease, immunotolerance and oncology and filing patent applications potentially relevant to our business. Because our current and future product candidates may require the use of proprietary rights held by third parties, the growth of our business will likely depend in part on our ability to acquire, in-license or use these proprietary rights.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 may be required to expend significant time and resources to develop or license replacement technology. Moreover, the molecules that will be used with our product candidates may be covered by the intellectual property rights of others.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intellectual property rights, including any patents we may own or in- license in the future, which could be expensive, time-consuming and unsuccessful.</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 U.S.C. §271 (e)(1).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 patents are challenged. For example, one of our in-licensed European patents relating to our now discontinued MVA influenza product candidate has been revoked in a European opposition proceeding. This decision is currently on appeal, although there can be no assurance that any such appeal will be successful. The costs of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ADSs.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 compliance with these requirements.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 fees on any issued patents and patent applications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platforms, which could have a material adverse effect on our business prospects and financial condition.</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Any issued patents we in-license or may own now or in the future covering our product candidates could be narrowed or found invalid or unenforceable if challenged in court or before administrative bodies in the United States or abroad, including the USPTO.</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interference proceedings, derivation proceedings and equivalent proceedings in foreign jurisdictions (such as opposition proceedings). Such proceedings could result in revocation or amendment to our in-licensed patent applications or patents or any patent applications or patents we may own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in-license or may own in the future, allow third parties to commercialize our product candidates or other technologies and compete directly with us, without payment to us, or result in our inability to manufacture or commercialize products without infringing third-party patent rights.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any intellectual property, including any patents we may in-license or own in the future.</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Litigation may be necessary to defend against these and other claims challenging inventorship of any patents we in-license or may own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3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 solicitation agreements with our competitors or other third parties.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confidential information or trade secrets of these third parties. In addition, we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 be unsuccessful in executing such an agreement with each party who, in fact, develops intellectual property that we regard as our own. The assignment of 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and data exclusivity for any of our current or future product candidates we may develop, our business may be materially harmed.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Depending upon the timing, duration and specifics of any FDA marketing approval of any of our current or future product candidates we may develop, one or more U.S. patents we in-license or may own in the future may be eligible for limited patent term extension under the Drug Price Competition and Patent Term Restoration Act of 1984, or the Hatch-Waxman Amendments. The Hatch- 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or other third parties may obtain approval of competing products following expiration of any patents that issue from our patent applications, and our business, financial condition, results of operations, and prospects could be materially harmed.</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Changes to patent law in the United States and in foreign jurisdictions could diminish the value of patents in general, thereby impairing our ability to protect our products.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17"/>
          <w:szCs w:val="17"/>
          <w:i w:val="1"/>
          <w:iCs w:val="1"/>
          <w:color w:val="auto"/>
        </w:rPr>
        <w:t>Assoc. for Molecular Pathology v. Myriad Genetics, Inc.,</w:t>
      </w:r>
      <w:r>
        <w:rPr>
          <w:rFonts w:ascii="Times New Roman" w:cs="Times New Roman" w:eastAsia="Times New Roman" w:hAnsi="Times New Roman"/>
          <w:sz w:val="17"/>
          <w:szCs w:val="17"/>
          <w:color w:val="auto"/>
        </w:rPr>
        <w:t xml:space="preserve">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 own in the future, all of which could have a material adverse effect on our business, financial condition, results of operations, and prospects.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European patents and patent applications could be challenged in the recently created Unified Patent Court (UPC) for the European Union,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and proprietary rights throughout the world.</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vaccine in those countries. In addition, many countries limit the enforceability of patents against government agencies or government contractors. In these countries, the patent owner may have limited 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trademarks or trade names may be challenged, infringed or diluted, lapsed, abandoned, circumvented or declared generic or determined to be infringing on or become dilutive of other marks, or otherwise invalidated through administrative process or litigation.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Third parties may use trademarks similar to our trademarks and any potential confusion as to the source of goods or services could have an adverse effect on our business. For example, in April 2022, we received a letter asserting that our use of our “Vaccitech” trademark infringes a United Kingdom trademark held by a third party. We timely responded rejecting the claims and we believe that such claims are without merit. However, if such third party continues to assert its claims, we cannot provide any assurance whether we could reach a settlement relating to such claims or whether we would prevail in any litigation or action related to such claims. Regardless of its outcome, any litigation related to such claims may subject us to damages, impair our ability to use our “Vaccitech” trademark, and otherwise adversely affect our business, results of operations and financial condition.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Moreover,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through opposition or cancellation proceedings against our trademarks, and if such third parties are successful, our trademarks may not survive such proceedings. In some cases, there may be third-party trademark owners who have prior rights to our trademarks or third parties who have prior rights to similar trademarks, and we may not be able to prevent such third parties from using and marketing any such trademarks. Litigation brought to protect and enforce our intellectual property rights could be costly, unpredictable, time-consuming and distracting to management, regardless of whether we are successful in such litigation. If we are unable to obtain a registered trademark or establish name recognition based on our trademarks and trade names, we may not be able to compete effectively and our business, results of operations and financial condition may be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Numerous factors may limit any potential competitive advantage provided by the relevant patent rights.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5" w:lineRule="exact"/>
        <w:rPr>
          <w:sz w:val="20"/>
          <w:szCs w:val="20"/>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applications that we own or in-license may not lead to issued patents;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that we in-license or may own in the future, may not provide us with any competitive advantages, may be narrowed in scope, or may be challenged and held invalid or unenforceable;</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spacing w:after="0" w:line="164"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compete with us in jurisdictions where we do not pursue and obtain patent protection;</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collaborators, might not have been the first to make the inventions covered by a patent application that we own or in-license;</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collaborators, might not have been the first to file patent applications covering a particular invention;</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without infringing, misappropriating or otherwise violating our intellectual property rights;</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71"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and/or maintain necessary licenses on reasonable terms, or at all;</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assert an ownership interest in our intellectual property and, if successful, such disputes may preclude us from exercising exclusive rights, or any rights at all, over that intellectual property;</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know-how, and a third party may subsequently file a patent covering such trade secrets or know-how;</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maintain the confidentiality of our trade secrets or other proprietary information;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or in-license additional proprietary technologies that are patentable;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they could significantly harm our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Employee Matters, Managing Our Growth and Other Risks Related to Our Employee Matters</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 Chief Executive Officer. The loss of the services of any of our executive officers, other key employees and other scientific and medical advisors, and an inability to find suitable replacements could result in delays in product development and harm our business.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conduct our operations at our facilities in Harwell, United Kingdom and Baltimore, Maryland.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Changes to UK, U.S. or similar foreign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the UK (including, but not limited to, those that result as a direct or indirect consequence of Brexit), U.S. or similar foreign immigration or visa laws and regulations impair our hiring processes and goals or projects involving personnel who are not U.S. citizens.</w:t>
      </w: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 leave. The standard notice period for UK employed personnel is three calendar months or six calendar months for the senior executive team. Our success also depends on our ability to continue to attract, retain and motivate highly skilled junior, mid-level and senior managers as well as junior, mid-level and senior scientific and medical personnel.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 Operations and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of our organization, and we may experience difficulties in managing this growth.</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December 31, 2022, we had 107 full-time and part-time employees. As our development and commercialization plans and strategies develop, and as we continue to transition into operating as a public company, we expect to need additional managerial, operational, sales, marketing, financial and other personnel, as well as additional facilities to expand our operations. Future growth would impose significant added responsibilities on members of management, including:</w:t>
      </w:r>
    </w:p>
    <w:p>
      <w:pPr>
        <w:spacing w:after="0" w:line="171" w:lineRule="exact"/>
        <w:rPr>
          <w:sz w:val="20"/>
          <w:szCs w:val="20"/>
          <w:color w:val="auto"/>
        </w:rPr>
      </w:pPr>
    </w:p>
    <w:p>
      <w:pPr>
        <w:ind w:left="640" w:hanging="302"/>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and existing employees;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clinical trial sites in multiple countries;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If such an event were to occur, it could result in the theft or destruction of intellectual property, data or other misappropriation of assets, or otherwise compromise our confidential or proprietary information and result in a material 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Although we devote resources to protect our information systems, including organization-wide prevention software, we realize that cyberattacks are a threat, and there can be no assurance that our efforts will prevent information security breaches that would result in business, legal, financial or reputational harm to us, or would have a material adverse effect on our business, financial condition, results of operations and prospects.</w:t>
      </w:r>
    </w:p>
    <w:p>
      <w:pPr>
        <w:spacing w:after="0" w:line="3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Likewise, we rely on third parties for the manufacture of our product candidates and to conduct clinical trials, and similar events relating to their computer systems could also have a material adverse effect on our business. We rely on our third-party providers to implement effective security measures and identify and correct for any such failures, deficiencies or breaches.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breach in our or our third-party providers’ information technology systems could 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claims or proceedings, liability under laws that protect the privacy of personal information, damage to our reputation and the further 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 condition, prospects and cash flows. If we are unable to prevent or mitigate the impact of such security or data privacy breaches, we could be exposed to litigation and governmental investigations, which could lead to a potential disruption to our business.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could seriously harm our future revenue and financial condition and increase our costs and expenses.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6" w:lineRule="exact"/>
        <w:rPr>
          <w:sz w:val="20"/>
          <w:szCs w:val="20"/>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 candidates or products that we may develop;</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participants;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 candidate;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share price.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International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operating our business internationally could materially adversely affect our business.</w:t>
      </w:r>
    </w:p>
    <w:p>
      <w:pPr>
        <w:spacing w:after="0" w:line="2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spacing w:after="0" w:line="152" w:lineRule="exact"/>
        <w:rPr>
          <w:sz w:val="20"/>
          <w:szCs w:val="20"/>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in foreign countries;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tariffs, trade barriers, price and exchange controls, and other regulatory requirements;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foreign economies and markets;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taxes, including withholding of payroll taxes;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fluctuations, which could result in increased operating expenses and reduced revenue, and other obligations incident to doing business in another country;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staffing and managing foreign operations;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United States;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under the FCPA Office of Foreign Assets Control Anti-Money Laundering Program as required by the Bank Secrecy Act and its implementing regulations, or comparable foreign laws, including the UK Bribery Act 2010, or Bribery Act;</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and terrorism.</w:t>
      </w:r>
    </w:p>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These and other risks associated with our planned international operations may materially adversely affect our ability to attain or maintain profitable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economic, political, regulatory and other risks associated with international operations.</w:t>
      </w:r>
    </w:p>
    <w:p>
      <w:pPr>
        <w:spacing w:after="0" w:line="22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Our business is subject to risks associated with conducting business internationally. Accordingly, our future results could be harmed by a variety of factors, including the following:</w:t>
      </w:r>
    </w:p>
    <w:p>
      <w:pPr>
        <w:spacing w:after="0" w:line="152" w:lineRule="exact"/>
        <w:rPr>
          <w:sz w:val="20"/>
          <w:szCs w:val="20"/>
          <w:color w:val="auto"/>
        </w:rPr>
      </w:pPr>
    </w:p>
    <w:p>
      <w:pPr>
        <w:ind w:left="640" w:hanging="302"/>
        <w:spacing w:after="0" w:line="285" w:lineRule="auto"/>
        <w:tabs>
          <w:tab w:leader="none" w:pos="6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political instability in particular in foreign economies and markets, and the potentially severe continued United States and global economic impact caused by the COVID-19 pandemic;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for drug approvals;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jurisdictions potentially presenting different issues for securing, maintaining or obtaining freedom to operate in such jurisdictions;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reduced protection for intellectual property rights;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compliance with different, complex and changing laws, regulations and court systems of multiple jurisdictions and compliance with a wide variety of foreign laws, treaties and regulations;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and customs, tariffs and trade barriers;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currency exchange rates of the euro, U.S. dollar, pound sterling and currency controls;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or economic environment;</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import or export licensing requirements or other restrictive actions by governments;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reimbursement regimes and price controls in certain international markets;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consequences from changes in tax laws or practice;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United States and EU;</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 and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terrorism, pandemics, or natural disasters including earthquakes, typhoons, floods and fires.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Claims of U.S. civil liabilities may not be enforceable against us.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incorporated under English law and have our registered office in England. Many of the members of our senior management and certain members of 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 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judgment will be enforceable by methods generally available for this purpose. These methods generally permit the courts of England and Wales discretion to prescribe the manner of enforcement.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a result, U.S. investors may not be able to enforce against us or certain of our senior management, board of directors or certain experts named herein who are residents of the UK or countries other than the United States any judgments obtained in U.S. courts in civil and commercial matters, including judgments under the U.S. federal securities laws.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Fluctuations in the exchange rate between the U.S. dollar and the pound sterling may increase the risk of holding our ADSs and may materially affect our results of operations and financial condition.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 U.S. dollars and our functional currency is the pound sterling (except that the functional currency of our U.S. subsidiaries is the U.S. dollar) and the majority of our operating expenses are paid in pound sterling. We also regularly acquire services, consumables and materials in U.S. dollars, pound sterling, AUS dollars and the euro. Further potential future revenue may be derived from abroad, particularly from the United States. As a result, our business and the 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Annual Report for a description of foreign exchange risks.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possible abandonment of the euro by one or more members of the European Union, or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Ownership of Our ADSs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ADSs may not be sustained.</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 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Our principal shareholders and management own a significant percentage of our stock and exert significant influence over matters subject to shareholder approval.</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March 3, 2023, our executive officers, directors, and 5% shareholders beneficially owned approximately 40.3% of our voting stock. Depending on the level of attendance at our meetings of shareholders, these shareholders either alone or voting together as a group may be in a position to determine or 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This may prevent or discourage unsolicited acquisition proposals or offers for our ADSs that holders of our ADSs may feel are in their best interest as shareholders.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ADSs is volatile and holders of our ADSs could lose all or part of their investment.</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trading price of our ADSs is highly volatile and subject to wide fluctuations in response to various factors, some of which are beyond our control, including limited trading volume. In addition to the factors discussed in this “Risk Factors” section and elsewhere in this Annual Report, these factors include:</w:t>
      </w:r>
    </w:p>
    <w:p>
      <w:pPr>
        <w:spacing w:after="0" w:line="165" w:lineRule="exact"/>
        <w:rPr>
          <w:sz w:val="20"/>
          <w:szCs w:val="20"/>
          <w:color w:val="auto"/>
        </w:rPr>
      </w:pPr>
    </w:p>
    <w:p>
      <w:pPr>
        <w:ind w:left="640" w:hanging="302"/>
        <w:spacing w:after="0" w:line="28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ongoing, planned or any future preclinical studies, clinical trials or clinical development programs and those of third parties, such as those of AstraZeneca’s with respect to Vaxzevria;</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enrollment, or results of clinical trials of our product candidates or any future clinical trials we may conduct, or changes in the development status of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results or delays in preclinical studies and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decision to initiate a clinical trial, not to initiate a clinical trial, or to terminate an existing clinical trial;</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our regulatory filings or any adverse regulatory decisions, including failure to receive marketing authorization for our product candidates;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products, including but not limited to clinical trial requirements for approvals;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concerning our manufacturers or our manufacturing plans;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adequate product supply for any licensed product or inability to do so at acceptable prices;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establish collaborations if needed;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commercialize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serious safety concerns related to the use of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or services offered by us or our competitors;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partnerships, joint ventures or capital commitments by us or our competitors;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of our initial cancer target markets;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treat additional types of cancers or at different stages;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quarterly operating results;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position;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the estimates and projections of the investment community or that we may otherwise provide to the public;</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or our industry, or immunotherapy in particular, or positive or negative recommendations or withdrawal of research coverage by securities analysts;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ADSs by us or our shareholders in the future;</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ADSs;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practices;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ineffectiveness of our internal controls;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intellectual property or proprietary rights, including patents, litigation matters and our ability to obtain patent protection for our technologies;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intellectual property or shareholder litigation;</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and economic conditions;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many of which are beyond our control.</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 of our ADSs are not treated as holders of our ordinary shares.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our ADSs. Holders of ADSs therefore do not have any rights as holders of our ordinary shares, other than the rights that they have pursuant to the deposit agreement.</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Holders of our ADSs will not have the same voting rights as the holders of our ordinary shares, and may not receive voting materials or any other documents that would need to be provided to our shareholders pursuant to English corporate law, including the Companies Act 2006, in time to be able to exercise their right to vote.</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Except as described elsewhere in this Annual Report and the deposit agreement, holders of the ADSs will not be able to exercise voting rights attaching to the ordinary shares represented by the ADSs. The deposit agreement provides that, upon receipt of notice of any meeting of holders of our ordinary shares, 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 (ii) a statement as to the manner in which instructions may be given by the holders. We cannot guarantee that ADS holders will receive the voting materials in time to ensure that they can instruct the depositary to vote the ordinary shares underlying their ADSs.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Otherwise, ADS holders will not be able to exercise their right to vote, unless they withdraw the ordinary shares underlying the ADSs they hold to vote them in person or by proxy in accordance with applicable laws and regulations and our articles of association, or the Articles. However, ADS holders may not know about 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 depositary’s liability to ADS holders for failing to execute voting instructions or for the manner of executing voting instructions is limited by the deposit agreement. As a result, ADS holders may not be able to exercise their right to vote, and there may be nothing they can do if the ordinary shares underlying their ADSs are not voted as they requested or if their shares cannot be voted.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 of ADSs may be subject to limitations on the transfer of their ADSs and the withdrawal of the underlying ordinary shares.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deposit agreement governing our ADSs representing our ordinary shares provides that, to the fullest extent permitted by law, holders and beneficial owners of ADSs irrevocably waive the right to a jury trial of any claim they may have against us or the depositary arising out of or relating to our ADSs or the deposit agreement.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$1.24 billion or (c) in which we are deemed to be a large accelerated filer, which requires the market value of our ADSs that are held by non-affiliates to exceed $700 million as of the prior June 30th, and (2) the date on which we have issued more than $1 billion in non-convertible debt during the prior three-year period.</w:t>
      </w:r>
    </w:p>
    <w:p>
      <w:pPr>
        <w:spacing w:after="0" w:line="3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avail ourselves of this exemption and, therefore, we will not be subject to the same timing of adoption of new or revised accounting standards as other public companies that are not emerging growth companies.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Even after we no longer qualify as an emerging growth company, we may still qualify as a “smaller reporting company,” which may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operating as an English public company listed in the U.S., and our board of directors will be required to devote substantial time to new compliance initiatives and corporate governance practices.</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As an English public company listed in the U.S., and particularly after we no longer qualify as an emerging growth company, we will incur significant legal, accounting and other expenses that we did not incur as a private company. In 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We are subject to the reporting requirements of the Securities Exchange Act of 1934, the Sarbanes-Oxley Act of 2002 and the rules and regulations of The Nasdaq Global Market. Pursuant to Section 404 of the Sarbanes-Oxley Act of 2002, we are required to perform system and process evaluation and testing of our internal control over financial reporting to allow our management to report on the effectiveness of our internal control over financial reporting. See section entitled “Controls and Procedures – Management’s Annual Report on Internal Controls Over Financial Reporting.” However, while we remain an emerging growth company, we will not be required to include an attestation report on internal control over financial reporting issued by our independent registered public accounting firm. We will incur substantial additional professional fees and internal costs to expand our accounting and finance functions and expend significant management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 Factors</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if approved, sales of our product candidates. These upfront and milestone payments may vary significantly from period to period and any variance could cause a significant fluctuation in our operating results from one period to the next.</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Further, our operating results may fluctuate due to a variety of other factors, many of which are outside of our control and may be difficult to predict, including the following:</w:t>
      </w:r>
    </w:p>
    <w:p>
      <w:pPr>
        <w:spacing w:after="0" w:line="152" w:lineRule="exact"/>
        <w:rPr>
          <w:sz w:val="20"/>
          <w:szCs w:val="20"/>
          <w:color w:val="auto"/>
        </w:rPr>
      </w:pPr>
    </w:p>
    <w:p>
      <w:pPr>
        <w:ind w:left="640" w:hanging="302"/>
        <w:spacing w:after="0" w:line="285"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and development activities relating to our current and any future product candidates, which will change from time to time;</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outcomes of clinical trials for our current and any other future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current and any future product candidates, which may vary depending on FDA guidelines and requirements, the quantity of production and the terms of our agreements with manufacturers;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support our future growth;</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unforeseen business disruptions that increase our costs or expenses;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changing and volatile global economic environment.</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 provide.</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 of our ADSs.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ADSs, so any returns will be limited to the value of our ordinary shares.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In addition, as a public limited company incorporated in England &amp;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As an English public limited company, certain capital structure decisions require shareholder approval, which limits our flexibility to manage our capital structure.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English law provides that a board of directors may only allot shares (or grant rights to subscribe for or to convert any security into shares) with the prior authorization of shareholders, such authorization stating the aggregate nominal amount of shares that it covers and being valid for a maximum period of five years, each as specified in our Articles or relevant ordinary resolution passed by shareholders at a general meeting. Such authority from our shareholders to allot shares (or grant rights to subscribe for or to convert any security into shares) for a period of five years from April 21, 2021 was included in the ordinary resolution passed by our shareholders on April 21, 2021, which authorization will need to be renewed upon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but may be sought more frequently for additional five-year terms (or any shorter period).</w:t>
      </w:r>
    </w:p>
    <w:p>
      <w:pPr>
        <w:spacing w:after="0" w:line="3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English law also generally provides shareholders with preemptive rights when new shares are issued for cash. However, it is possible for the Articles,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Such authority from our shareholders to disapply preemptive rights for a period of five years was included in the special resolution passed by our shareholders on April 21, 2021, which disapplication will need to be renewed upon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to remain effective, but may be sought more frequently for additional five- year terms (or any shorter period).</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Shareholder protections found in provisions under the UK City Code on Takeovers and Mergers, or the Takeover Code, will not apply if our place of central management and control is considered to be outside of the UK (or the Channel Islands or the Isle of Man).</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believe that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152" w:lineRule="exact"/>
        <w:rPr>
          <w:sz w:val="20"/>
          <w:szCs w:val="20"/>
          <w:color w:val="auto"/>
        </w:rPr>
      </w:pPr>
    </w:p>
    <w:p>
      <w:pPr>
        <w:jc w:val="both"/>
        <w:ind w:left="640" w:hanging="302"/>
        <w:spacing w:after="0" w:line="263"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74" w:lineRule="exact"/>
        <w:rPr>
          <w:rFonts w:ascii="Times New Roman" w:cs="Times New Roman" w:eastAsia="Times New Roman" w:hAnsi="Times New Roman"/>
          <w:sz w:val="17"/>
          <w:szCs w:val="17"/>
          <w:color w:val="auto"/>
        </w:rPr>
      </w:pPr>
    </w:p>
    <w:p>
      <w:pPr>
        <w:jc w:val="both"/>
        <w:ind w:left="640" w:hanging="302"/>
        <w:spacing w:after="0" w:line="259"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73"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60"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voluntary offer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any offer which is not a mandatory offer), when interests in shares representing 10% or more of the voting rights of a class have been acquired for cash by an offeror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7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making an offer for a company, the offeror or any person acting in concert with them acquires an interest in shares in an offeree company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target) at a price higher than the value of the offer, the offer must be increased to not less than the highest price paid for the interest in shares so acquired;</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shareholders must be given the same information;</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profit forecasts, quantified financial benefits statements and asset valuations must be made to specified standards and must be reported on by professional advisers;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misleading, inaccurate or unsubstantiated statements made in documents or to the media must be publicly corrected immediately;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69"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64"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rights of our shareholders may differ from the rights typically offered to shareholders of a U.S. corporation.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incorporated under the laws of England and Wales. The rights of holders of ordinary shares and, therefore, certain of the rights of holders of ADSs, are governed by the laws of England and Wales, including the provisions of the Companies Act 2006, and by our Articles. These rights differ in certain respects from the rights of shareholders in typical U.S. corporations.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differences include the following:</w:t>
      </w:r>
    </w:p>
    <w:p>
      <w:pPr>
        <w:spacing w:after="0" w:line="216" w:lineRule="exact"/>
        <w:rPr>
          <w:sz w:val="20"/>
          <w:szCs w:val="20"/>
          <w:color w:val="auto"/>
        </w:rPr>
      </w:pPr>
    </w:p>
    <w:p>
      <w:pPr>
        <w:jc w:val="both"/>
        <w:ind w:left="640" w:hanging="302"/>
        <w:spacing w:after="0" w:line="269"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64"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3"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71"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spacing w:after="0" w:line="174" w:lineRule="exact"/>
        <w:rPr>
          <w:rFonts w:ascii="Times New Roman" w:cs="Times New Roman" w:eastAsia="Times New Roman" w:hAnsi="Times New Roman"/>
          <w:sz w:val="17"/>
          <w:szCs w:val="17"/>
          <w:color w:val="auto"/>
        </w:rPr>
      </w:pPr>
    </w:p>
    <w:p>
      <w:pPr>
        <w:jc w:val="both"/>
        <w:ind w:left="640" w:hanging="302"/>
        <w:spacing w:after="0" w:line="257"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for approval;</w:t>
      </w:r>
    </w:p>
    <w:p>
      <w:pPr>
        <w:spacing w:after="0" w:line="175" w:lineRule="exact"/>
        <w:rPr>
          <w:rFonts w:ascii="Times New Roman" w:cs="Times New Roman" w:eastAsia="Times New Roman" w:hAnsi="Times New Roman"/>
          <w:sz w:val="17"/>
          <w:szCs w:val="17"/>
          <w:color w:val="auto"/>
        </w:rPr>
      </w:pPr>
    </w:p>
    <w:p>
      <w:pPr>
        <w:jc w:val="both"/>
        <w:ind w:left="640" w:hanging="302"/>
        <w:spacing w:after="0" w:line="260"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ind w:left="640" w:hanging="302"/>
        <w:spacing w:after="0" w:line="259" w:lineRule="auto"/>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Articles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2006 or our Articles (as may be amended from time to time); or (d) any action or proceeding asserting a claim or otherwise related to our affairs (the “</w:t>
      </w:r>
      <w:r>
        <w:rPr>
          <w:rFonts w:ascii="Times New Roman" w:cs="Times New Roman" w:eastAsia="Times New Roman" w:hAnsi="Times New Roman"/>
          <w:sz w:val="17"/>
          <w:szCs w:val="17"/>
          <w:b w:val="1"/>
          <w:bCs w:val="1"/>
          <w:color w:val="auto"/>
        </w:rPr>
        <w:t>England and Wales Forum Provision</w:t>
      </w:r>
      <w:r>
        <w:rPr>
          <w:rFonts w:ascii="Times New Roman" w:cs="Times New Roman" w:eastAsia="Times New Roman" w:hAnsi="Times New Roman"/>
          <w:sz w:val="17"/>
          <w:szCs w:val="17"/>
          <w:color w:val="auto"/>
        </w:rPr>
        <w:t>”.)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 complaint asserting a cause of action arising under the Securities Act or the Exchange Act (the “</w:t>
      </w:r>
      <w:r>
        <w:rPr>
          <w:rFonts w:ascii="Times New Roman" w:cs="Times New Roman" w:eastAsia="Times New Roman" w:hAnsi="Times New Roman"/>
          <w:sz w:val="17"/>
          <w:szCs w:val="17"/>
          <w:b w:val="1"/>
          <w:bCs w:val="1"/>
          <w:color w:val="auto"/>
        </w:rPr>
        <w:t>U.S. Federal Forum Provision</w:t>
      </w:r>
      <w:r>
        <w:rPr>
          <w:rFonts w:ascii="Times New Roman" w:cs="Times New Roman" w:eastAsia="Times New Roman" w:hAnsi="Times New Roman"/>
          <w:sz w:val="17"/>
          <w:szCs w:val="17"/>
          <w:color w:val="auto"/>
        </w:rPr>
        <w:t>.”) In addition, our Articles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England and Wales Forum Provision and the U.S. Federal Forum Provision in our Articles may impose additional litigation costs on our shareholders in pursuing any such claims. Additionally, the forum selection clauses in our Articles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tax law could adversely affect our financial condition and results of operations.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ordinary shares or ADSs.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were classified as a passive foreign investment company, it would result in adverse U.S. federal income tax consequences to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the Internal Revenue Code, or Code, we will be a passive foreign investment company, or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if</w:t>
      </w:r>
    </w:p>
    <w:p>
      <w:pPr>
        <w:spacing w:after="0" w:line="1" w:lineRule="exact"/>
        <w:rPr>
          <w:sz w:val="20"/>
          <w:szCs w:val="20"/>
          <w:color w:val="auto"/>
        </w:rPr>
      </w:pPr>
    </w:p>
    <w:p>
      <w:pPr>
        <w:jc w:val="both"/>
        <w:ind w:firstLine="4"/>
        <w:spacing w:after="0" w:line="264" w:lineRule="auto"/>
        <w:tabs>
          <w:tab w:leader="none" w:pos="26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3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on the current and expected composition of our income and the value of our assets, we believe we were not a PFIC for the year ended December 31, 2021. However, based on current projections of our income and volatility in the price of our shares, it is possible we may be a PFIC for our current taxable year.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Each U.S. Holder should consult its own tax advisors with respect to the potential adverse U.S. tax consequences to it if we are or were to become a PFIC. 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a controlled foreign corporation, there could be adverse U.S. federal income tax consequences to certain U.S. Holders.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In addition, if a non-U.S. corporation owns at least one U.S. subsidiary, under current law, any current non-U.S. subsidiaries and any 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value or total combined voting power of all classes of stock entitled to vote of such corporation.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believe that we were a CFC in 2022, and we do not expect to be a CFC in 2023. The determination of CFC status is complex and includes 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 penalties. We cannot provide any assurances that we will 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testing required to be conducted by us in connection with Section 404, and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Implementing any appropriate changes to our internal controls, including compliance with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continue to discover and develop novel immunotherapeutics and vaccines for the treatment and prevention of infectious diseases, immunetolerance and cancer.</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3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year ended December 31, 2022, pursuant to Section 404, we are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Management previously reported, in our Annual Report on Form 10-K for the year ended December 31, 2021, material weaknesses in our internal control over financial reporting related to: (i) our IT general control environment has not been sufficiently designed to include appropriate user access rights and (ii) policies and procedures with respect to the review, supervision and monitoring of our accounting and reporting functions were either not designed and in place or not operating effectively. As of the year ended December 31, 2022, in addition to the above material weakness on IT general control user access rights, we also identified additional deficiencies related to the design and implementation of controls over program development, program changes, and computer operations. During fiscal year 2022, we undertook efforts to remediate previously disclosed material weaknesses, implement a company-wide formal control program, and strengthen our internal controls. Implementing section 404 within our environment has been a significant undertaking. Although we made substantial progress throughout the year, the design and operation of SOX-level controls remained ongoing as of December 31, 2022, due to a significant amount of progress occurring in the second half of the year, and therefore being unable to determine if a control had been formalized, operated and tested with enough instances to be embedded within the control environment for fiscal year 2022. Our internal control remediation efforts will continue into fiscal year 2023. See section entitled “Controls and Procedures.”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Assessing our procedures to improve our internal control over financial reporting is an ongoing process. We may need to hire additional accounting and financial staff and consultants with appropriate experience and technical accounting knowledge, and compile the system and process documentation necessary to remediate the material weaknesses identified. We may not be able to complete our evaluation, testing and any required remediation in a timely fashion. We therefore can provide no assurance that our remediation efforts described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herein will be successful and that we will not have material weaknesses in the future. Any other material weaknesses we identify could result in an adverse reaction in the financial markets due to a loss of confidence in the reliability of our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 subject to securities class action litigation</w:t>
      </w:r>
      <w:r>
        <w:rPr>
          <w:rFonts w:ascii="Times New Roman" w:cs="Times New Roman" w:eastAsia="Times New Roman" w:hAnsi="Times New Roman"/>
          <w:sz w:val="17"/>
          <w:szCs w:val="17"/>
          <w:i w:val="1"/>
          <w:iCs w:val="1"/>
          <w:color w:val="auto"/>
        </w:rPr>
        <w: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The United Kingdom’s withdrawal from the EU could increase the regulatory burden of product development and authorization in the United Kingdom and European Union.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23, 2016, a majority of voters in the United Kingdom voted in favor of the United Kingdom withdrawing from the European Union in a national referendum, commonly referred to as Brexit, and the United Kingdom formally left the European Union on January 31, 2020. There was a transition period during which EU pharmaceutical laws continued to apply to the United Kingdom, which expired on December 31, 2020. However,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the United Kingdom and European Union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future now that Great Britain’s regulatory system is independent from the EU and the TCA does not provide for mutual recognition of United Kingdom and European Union pharmaceutical legislation. For example, the new Clinical Trials Regulation which became effective in the EU on January 31, 2022 and provides for a streamlined clinical trial application and assessment procedure covering multiple European Union Member States has not been implemented into the United Kingdom law, and a separate application will need to be submitted for clinical trial authorization in the United Kingdom.</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cumulative effects of the disruption to the regulatory framework may add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as a result of Brexit, other European Union Member States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in the long-term and the full extent to which our business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principal executive offices are located on the Harwell Science and Innovation Campus, Harwell, Oxfordshire, United Kingdom, where we lease and occupy approximately 31,000 square feet of office and laboratory space.</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Following the acquisition of Avidea in December 2021, we lease laboratory and office facilities in Baltimore, Maryland, United States. On June 14, 2022, the Company entered into a lease agreement for approximately 19,700 square feet in Germantown, Maryland. The site will house the Company’s, state-of-the-art wet laboratory and office space in the United States. We plan to relocate our Baltimore laboratory and office facilities to Germantown, Maryland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From time to time, we may become involved in other litigation or legal proceedings relating to claims arising from the ordinary course of business.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no penalties to report in accordance with The Revenue Procedure 2005-51 and Section 6707A(e) of the Internal Revenue Code, which requires the Company to disclose any IRS demand for payment of certain penalties related to tax-avoidance transactions under I.R.C. Sections 6662(h), 6662A, or 6707A.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ordinary shares, nominal value £0.000025 per share, in the form of American Depositary Shares, or ADSs, trade under the symbol “VACC” on the Nasdaq Global Market.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Our ADSs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American Depositary Shares, or ADSs, each represent one ordinary share, nominal value £0.000025 per share, of Vaccitech plc. An ADS may be evidenced by an American Depositary Receipt issued by the Bank of New York Mellon as depositary bank. As of March 21, 2023, there was one holder of record of our ordinary shares, nominal value £0.000025 per share, and 64 holders of record of our ADSs. The closing sale price per ADS on the Nasdaq Global Market on March 17, 2023 was $2.99.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never paid or declared any cash dividends on shares of our ordinary shares, ADSs or other securities and do not anticipate paying or declaring any cash dividends in the foreseeable future. We currently intend to retain all future earnings, if any, for use in the operation of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12 of Part III of this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Material UK Tax Considerations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 The United Kingdom tax consequences discussed below do not reflect a complete analysis or listing of all the possible United Kingdom tax consequences that may be relevant to holders of our ordinary shares or ADSs.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Gains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An individual holder of ordinary shares or ADSs who ceases to be resident in the UK for UK tax purposes for a period of less than five years and who disposes of ordinary shares or ADSs during that period may also be liable on returning to the UK for UK capital gains tax despite the fact that the individual may not be resident in the UK at the time of the disposal.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Stamp Duty and Stamp Duty Reserve Tax</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Stamp duty and/or stamp duty reserve tax (“SDRT”) are imposed in the United Kingdom on certain transfers of securities (including shares in companies which, like us, are incorporated in the United Kingdom) at a rate of 0.5% of the consideration paid for the transfer. Certain transfers of shares to depositaries or into clearance systems are charged a higher rate of 1.5%. Transfers of interests in shares within a depositary or clearance system, and from a depositary to a clearance system, are generally exempt from stamp duty and SDRT.</w:t>
      </w:r>
    </w:p>
    <w:p>
      <w:pPr>
        <w:sectPr>
          <w:pgSz w:w="11900" w:h="16838" w:orient="portrait"/>
          <w:cols w:equalWidth="0" w:num="1">
            <w:col w:w="9920"/>
          </w:cols>
          <w:pgMar w:left="980" w:top="496" w:right="9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Transfers of our ordinary shares held in book entry form through the facilities of The Depository Trust Company (“DTC”) should not attract a charge to stamp duty or SDRT in the UK provided no instrument of transfer is entered into (which should not be necessary).</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Any transfer of, or agreement to transfer, our ordinary shares that occurs outside the DTC system, including repurchases by us, will ordinarily attract stamp duty or SDRT at a rate of 0.5%. This duty must be paid (and where applicable the transfer document stamped by Her Majesty’s Revenue and Customs) before the transfer can be registered in our books. Typically this stamp duty or SDRT would be paid by the purchaser of the ordinary shares.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transfer of title in our ordinary shares from within the DTC system out of the DTC system will not attract stamp duty or SDRT if undertaken for no consideration. If that ordinary shares is redeposited into DTC (which may only be done via a deposit of the ordinary shares first with an appropriate offshore depositary followed by a transfer of the ordinary shares from the offshore depositary into DTC), however, the redeposit will attract stamp duty or SDRT at a rate of 1.5%.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UK law, there is no withholding tax on dividends paid on the ordinary shares or ADSs.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Initial Public Offering</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has been no material change in our planned use of the net proceeds from the IPO as described in the final prospectus filed with the SEC pursuant to Rule 424(b) under the Securities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of Equity Securities by the Issuer and Affiliated Purchases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discussion and analysis or set forth elsewhere in this report, including information with respect to our plans and strategy for our business, includes forward-looking statements that involve risks, uncertainties and assumptions.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are a clinical-stage biopharmaceutical company engaged in the discovery and development of novel immunotherapeutics and vaccines for the treatment and prevention of infectious diseases, cancer and autoimmunity. We aim to treat and prevent infectious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 immune responses and prevent/reverse autoimmunity. We are focused on applying our platform capabilities and the expertise of our team to address significant unmet medical needs in two settings - the therapeutic setting, for the treatment of chronic infectious diseases, cancer, and autoimmunity and the prophylactic setting, for the prevention of infectious diseases, based on our platform’s ability to respond rapidly to epidemic and pandemic threats.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VTP-1000 for treatment of celiac disease, and VTP-1100 for treatment of HPV-associated cancers. The latter two programs are designed to utilize our SNAPvax platform. Our current prophylactic programs include VTP-400 for the prevention of herpes zoster, or shingles, and VTP-500 for the prevention of Middle East respiratory syndrome, or MERS. In addition, we co-invented a COVID-19 vaccine with the University of Oxford, the rights to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and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obtain regulatory authorization for one or more of such product candidates, if at all, and commercialize our products, or we enter into out-licensing agreements with third parties. Substantially all of our net losses have resulted from costs incurred in connection with our research and development activities and from general and administrative costs associated with our operations.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March 28, 2022, pursuant to the OUI License Agreement Amendment, we were notified of the commencement of payments, arising from AstraZeneca’s commercial sales of Vaxzevria. Under the terms of an exclusive worldwide license agreement between OUI and AstraZeneca, we understand OUI is entitled to milestone payments and royalties on commercial sales of Vaxzevria that began after the pandemic period. As part of the assignment from us to OUI, we are entitled to receive approximately 24% of payments received by OUI from AstraZeneca. For the year ended December 31, 2022, we recognized approximately $43.7 million as revenue (year ended December 31, 2021: $nil). There is, however, no guarantee or expectation that such payments will continue in the future and, if they do, that we will be notified of such payments in a timely manner.</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2022, we sold 307,139 ordinary shares represented by ADSs under the sales agreement, amounting to gross proceeds of $0.7 million.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incurred net losses each year since inception through to December 31, 2021. For the year ended December 31, 2022, we generated net income of $5.3 million, primarily as a result of revenues arising from AstraZeneca sales of Vaxzevria and our agreement with OUI. For the year ended December 31, 2021, we incurred net losses of $51.1 million. As of December 31, 2022 and 2021, we had an accumulated deficit of $103.2 million and $108.6 million, respectively, and we do not currently expect profits or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71" w:lineRule="exact"/>
        <w:rPr>
          <w:sz w:val="20"/>
          <w:szCs w:val="20"/>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 and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 to complete the necessary preclinical studies and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investigational new drug applications, or INDs, for our planned clinical trials or future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enrollment and completion of clinical trials;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 supporting approvable and commercially acceptable risk/benefit profiles for our product candidates in the intended populations;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maintenance of necessary regulatory and marketing approvals from applicable regulatory authorities, in the light of the commercial environment then existent;</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either our own manufacturing capabilities or satisfactory agreements with third-party manufacturers for clinical supply for later stages of development and commercial manufacturing;</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collaborations where appropriate to further the development of our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or assisting with the launch of commercial sales of our product candidates following approval;</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each product’s benefits and uses by patients, the medical community and third-party payors following approval;</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events experienced with our product candidates in development;</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a continued acceptable safety profile of the product candidates following approval;</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healthcare coverage and adequate reimbursement from third-party payors if necessary or desirable;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December 31, 2022 will enable us to fund our operating expenses and capital requirements into the first quarter of 2025.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18, 2023, we incorporated Vaccitech Switzerland GmbH, a wholly owned subsidiary of Vaccitech (UK) Limited.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30, 2023, we announced the appointment of Nadège Pelletier, Ph.D., as Chief Scientific Officer.</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March 20, 2023, we announced topline interim data from HPV001, a Phase 1b/2 clinical trial of VTP-200, a potential treatment for low grade HPV-related cervical lesions, which demonstrated favorable safety and immunogenicity data at interim analysis in patients with low-grade cervical HPV lesions. The HPV001 clinical trial will continue as planned to the 12-month primary endpoint.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the COVID-19 Pandemic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COVID-19 continues to have an impact, both directly and indirectly, on our business and operations, including continuing disruptions to our clinical trial activities. Our study protocols have been amended so that participants who have previously received Vaxzevria (or any other adenovirus-based vaccine) wait for a minimum of three months between their last adenovirus vaccine and injection with our immunotherapeutic product candidates to prevent prior vector immunity affecting the study.</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the VTP-200 program, participant recruitment was delayed due, in part, to patient availability and site staff availability, and the last patient’s first visit occurring in January 2023 with the last visit due by January 2024. Interim data is expected to be available in the first quarter of 2023. We recently announced topline initial interim immunogenicity and safety data from 58 patients that reached their six-month evaluation timepoint. We expect to announce the full data from this trial in the first quarter of 2024.</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our Phase 1 (HBV001) clinical trial for VTP-300, recruitment of patients with Chronic Hepatitis B (CHB) in the UK was challenging, due to COVID-19 lockdowns but we completed recruitment for all cohorts in first quarter of 2022. For our Phase 1b/2a (HBV002) clinical trial for VTP-300, CHB patient recruitment was delayed in Taiwan, South Korea, and the United Kingdom due to the ongoing COVID-19 restrictions in those countries due to patient availability, patient hesitancy and site staff availability. Patient recruitment was also delayed in South Korea due to the roll out of Vaxzevria vaccine and vaccine hesitancy. Patient recruitment was completed in May 2022, an update to the interim efficacy data was announced on June 22, 2022 and updated efficacy data was presented at AASLD on November 7, 2022.</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continue to assess our business plans and the impact COVID-19 is having on our ability to advance the development of our product candidates as a result of adverse impacts on the availability of raw materials for manufacturing, research sites, contract service providers or suppliers on whom we rely, or to raise financing to support the development of our ongoing product candidate development. No assurances can be given that this analysis will enable us to avoid part or all of any impact from COVID-19, including downturns in business sentiment generally or in our sector in particular.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other business disruptions, our ability to conduct our business in the manner and on the timelines presently planned could be materially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the Ukraine Crisis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respect of the international situation in Ukraine, we have assessed the impact on the Company as minimal. We have no operations or suppliers based in Ukraine, Belarus, or Russia, and there is consequently no additional risk or negative impact on the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Global Economic Conditions and Inflationary Pressures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Instability in global economic conditions and geopolitical matters, as well as volatility in financial markets, could have a material adverse effect on the Company’s results of operations and financial condition. These inflationary pressures and rising interest rates in the United States, the United Kingdom and elsewhere have given rise to increasing concerns that the U.S., U.K. and other economies are now in, or may soon enter, economic recession. Sustained inflationary pressures, increased interest rates, an economic recession or continued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date, we have not generated any revenue from direct product sales and do not expect to do so in the near future, if at all. Most of our revenue to date has been derived from a research grant from the Biomedical Advanced Research and Development Authority, or BARDA, a research collaboration and license agreement with Enara Bio, a research, option and license agreement with Scancell and the OUI License Agreement Amendment with OUI relating to Vaxzevria.</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In March 2022, we were notified by OUI of the commencement of revenue relating to the commercial sales of Vaxzevria. Our revenue for the year ending December 31, 2022 was $43.7 million, representing the amounts we have been notified of as due by OUI to date and an estimate of future receipts, constrained to the extent that it is probable that a significant reversal of revenue would not occur. No revenue was recognized as a result of this agreement for the year ended December 31, 2021.</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earned, and it is probable that a significant reversal of revenue will not occur.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since inception have consisted of research and development costs and general administrative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Since our inception, we have focused significant resources on our research and development activities, including establishing and building on our adenovirus platform, further enhancing our in-licensed ChAdOx1, ChAdOx2 and MVA vectors, developing new next-generation vector platforms, acquiring new nanoparticle based technologies,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VTP-600, VTP-850 and readying VTP-400, VTP-500, VTP-1100 and VTP-1000 for clinical trials. Research and development activities account for the major portion of our operating expenses, and we expect research and development expenses to increase in the future. Research and development costs are expensed as incurred. These costs include:</w:t>
      </w:r>
    </w:p>
    <w:p>
      <w:pPr>
        <w:spacing w:after="0" w:line="179" w:lineRule="exact"/>
        <w:rPr>
          <w:sz w:val="20"/>
          <w:szCs w:val="20"/>
          <w:color w:val="auto"/>
        </w:rPr>
      </w:pPr>
    </w:p>
    <w:p>
      <w:pPr>
        <w:ind w:left="640" w:hanging="302"/>
        <w:spacing w:after="0" w:line="285" w:lineRule="auto"/>
        <w:tabs>
          <w:tab w:leader="none" w:pos="6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other related costs, including share-based compensation, for personnel engaged in research and development functions;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drug products for use in preclinical development and clinical trials, including under agreements with third parties, such as CMOs, consultants and contractors;</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costs;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leased facility costs, equipment depreciation and other expenses, which include direct and allocated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For the year ended December 31, 2022, we recognized a change in fair value in relation to the updated assumptions in the assessment of the contingent consideration fair value recognized from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acquisition of Avidea on December 10, 2021. Significant judgment is used to determine the probability of success of achievement of the technology and clinical milestones and the date of the expected milestone.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will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recognized a change in fair value in relation to the conversion and redemption features embedded in the convertible loan notes in the consolidated statements of operations and comprehensive loss for the year ended December 31,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Loan Notes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conversion was accounted for as an extinguishment of the convertible loan notes. As a result, the 12,421 Series B preferred shares issued on conversion were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Interest expense results primarily from our convertible loan notes, which carried a market rate of interest. These notes were issued between July and November 2020 and converted on March 15, 2021 into 12,421 Series B Shares with the conversion price being 0.8 times the Series B Shares issue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Interest income results primarily from the interest earned on our short-term cash deposits and cash balances held by Vaccitech (UK) Limited in United States dollars and pounds sterling.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Research and development incentives contain payments receivable from the United Kingdom government related to corporation tax relief on research and development projects incentive programs in the United Kingdom. We account for such relief received as other income.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benefits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Under the SME program, the Company is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subcontracted qualifying research and development expenditures are eligible for a cash rebate of up</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to 21.67%. A large portion of costs relating to research and development, clinical trials and manufacturing activities are eligible for inclusion within these tax credit cash rebate claims. From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April 2023, it is expected that the SME additional deduction and credit rates will decrease, reducing the tax credit claim available for the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the Company’s ability to claim R&amp;D tax credits in future. Further, the U.K. Finance Act of 2021 introduced a cap on payable credit claims under the SME Program in excess of £20,000 with effect from April 2021 by reference to, broadly, three times the total Pay As You Earn, or PAYE, and National Insurance Contributions, or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 For the year ended December 31, 2022, the R&amp;D tax credits was further restricted by the available tax losses in the UK for the period.</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discussion and analysis of financial condition and results of operations is based on our consolidated financial statements, which have been prepared in accordance with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revenue and expenses during the reporting period. On an ongoing basis, management evaluates its estimates, including those related to revenue, expenses, leases, accruals and prepayments for external manufacturing of clinical trial material as well as clinical study conduct, fair value of contingent consideration, impairment of goodwill and intangible assets,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Recognition of Revenue from Contracts with Customers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receive approximately 24% of receipts, including royalties and milestones, received by OUI from that license agreement with AstraZeneca as set out in the OUI License Agreement Amendment.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evaluate our collaboration and licensing arrangements pursuant to Accounting Standards Codification 606, or ASC 606. We use judgment to determine whether milestones or other variable consideration, except for sales-based royalties, should be included in the transaction price. For sales-based and clinical development milestones and royalties, when the license is deemed to be the predominant item to which the royalties relate, we recognize revenue at the later of (i) when the related sales or milestone achievement occurs or (ii)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 Research and development costs are accrued when the related services or goods are delivered ahead of being billed.</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grant options and restricted shares to employees and directors and account for share-based compensation using a fair value method. All of these arrangements are settled in equity at a predetermined price and generally vest over a period of one to three years. All share options have a life of 10 years before expiration. To the extent such incentives are in the form of share options, up until the first quarter of 2021, the options may have been granted pursuant to bilateral EMI option awards or unapproved option awards.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or restricted shares. Upon adoption of the Vaccitech plc Share Award Plan 2021, no further awards are granted pursuant to the bilateral EMI option awards or unapproved option awards.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measure share-based awards granted to employees and directors based on the fair value on the date of grant using the Black-Scholes option-pricing model for options. Black-Scholes utilizes assumptions related to expected term, volatility, the risk-free interest rate and the dividend yield (which is assumed to be zero, as we have not paid any cash dividends). The volatility assumption utilizes both the Company’s historical volatility and those of a portfolio of listed peer companies, weighted towards the Company as we build the historical records following IPO. For options granted prior to our IPO, we applied a discount for lack of marketability calculated using the Finnerty model.</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assumptions used in the Black-Scholes model to determine fair value for the share option grants during the years ended December 31, 2022 and 2021, were: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60" w:type="dxa"/>
            <w:vAlign w:val="bottom"/>
          </w:tcPr>
          <w:p>
            <w:pPr>
              <w:spacing w:after="0"/>
              <w:rPr>
                <w:sz w:val="13"/>
                <w:szCs w:val="13"/>
                <w:color w:val="auto"/>
              </w:rPr>
            </w:pPr>
          </w:p>
        </w:tc>
      </w:tr>
      <w:tr>
        <w:trPr>
          <w:trHeight w:val="141"/>
        </w:trPr>
        <w:tc>
          <w:tcPr>
            <w:tcW w:w="556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4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r>
      <w:tr>
        <w:trPr>
          <w:trHeight w:val="166"/>
        </w:trPr>
        <w:tc>
          <w:tcPr>
            <w:tcW w:w="55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Borders>
              <w:bottom w:val="single" w:sz="8" w:color="CCEEFF"/>
            </w:tcBorders>
          </w:tcPr>
          <w:p>
            <w:pPr>
              <w:spacing w:after="0"/>
              <w:rPr>
                <w:sz w:val="14"/>
                <w:szCs w:val="14"/>
                <w:color w:val="auto"/>
              </w:rPr>
            </w:pPr>
          </w:p>
        </w:tc>
      </w:tr>
      <w:tr>
        <w:trPr>
          <w:trHeight w:val="198"/>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94.7</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2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6.31</w:t>
            </w:r>
          </w:p>
        </w:tc>
        <w:tc>
          <w:tcPr>
            <w:tcW w:w="160" w:type="dxa"/>
            <w:vAlign w:val="bottom"/>
          </w:tcPr>
          <w:p>
            <w:pPr>
              <w:spacing w:after="0"/>
              <w:rPr>
                <w:sz w:val="17"/>
                <w:szCs w:val="17"/>
                <w:color w:val="auto"/>
              </w:rPr>
            </w:pPr>
          </w:p>
        </w:tc>
      </w:tr>
      <w:tr>
        <w:trPr>
          <w:trHeight w:val="20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2.40</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bl>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the years ended December 31, 2022 and 2021, 2,296,303 and 1,947,402 share options were granted, respectively. In January and February 2023, we granted a further 1,973,529 share options with a weighted average exercise price of $2.53.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acquired Avidea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met the criteria of a business combination we first used the “screen test” to assess whether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substantially all of the fair value of the gross assets acquired is concentrated in a single identifiable asset or a group of similar identifiable assets. As the “screen test” was not met, as the identifiable assets were not substantially all of the fair value of the gross assets acquired, we then applied the “framework” for determining whether the acquired assets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to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 We therefore determined the acquisition to meet the definition of a business combination. 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acquired Avidea for an up-front amount of $32.8 million (after working capital adjustments), of which $11.8 million was payable in cash and $21.0 million in 2,151,831 of American Depositary Shares of the Company. In addition, Avidea’s stockholders may be entitled to receive an aggregate of up to $40.0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earnings in the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Transaction costs are expensed as incurred in general and administrative expenses. Results of operations and cash flows of acquired companies are included in our operating results from the date of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and Intangible Assets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test goodwill for impairment at least annually,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$12.2 million recognized to December 31, 2022 wholly relates to the acquisition of Avidea on December 10, 2021. The Company performed the annual impairment test to determine whether it is more likely than not that the fair value of the reporting unit is less than its carrying amount. Based on this assessment, the Company has not recognized any impairment losses related to goodwill or intangible assets for the years ended December 31,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Notes and Embedded Derivatives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review the terms of convertible loan notes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fair value, and then re-valued at each reporting date, with changes in the fair value reported as charges or credits in the consolidated statements of operations and comprehensive loss. To the extent that the initial fair values of the freestanding and/or bifurcated derivative instrument exceed the total proceeds received an immediate charge in the consolidated statements of operations and comprehensive loss is recognized in order to initially record the derivative instrument at fair value.</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statements of operations and comprehensive loss, using the effective interest method.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Embedded derivatives bifurcated are presented along with the host contract on the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2020, we entered into a series of unsecured convertible loan notes arrangements on various dates between July through November 2020. The Series B funding on March 21,2021 constituted a qualified equity financing in accordance with the terms of the convertible loan notes. As a result, the convertible loan notes were converted on March 15, 2021 into 12,421 Series B Shares with the conversion price being 0.8 times the Series B Shares issue price and are no longer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2022 and 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31, 2021</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from Licenses, Grants &amp; Services</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44,703</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44,435</w:t>
            </w: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&amp; development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21,979</w:t>
            </w: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6,394</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25,118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(18,724)</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48,744</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45,489</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3,225</w:t>
            </w: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41,180</w:t>
            </w: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income/(expense):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derivatives embedded in convertible loan notes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w:t>
            </w: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exchange gain on convertible loan notes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0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Loss on extinguishment of convertible loan notes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13,789</w:t>
            </w: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r>
      <w:tr>
        <w:trPr>
          <w:trHeight w:val="20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w:t>
            </w: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w:t>
            </w:r>
          </w:p>
        </w:tc>
      </w:tr>
      <w:tr>
        <w:trPr>
          <w:trHeight w:val="206"/>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income/(expense)</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(5,919)</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10,810</w:t>
            </w:r>
          </w:p>
        </w:tc>
      </w:tr>
      <w:tr>
        <w:trPr>
          <w:trHeight w:val="198"/>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Tax benefit</w:t>
            </w: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4,471</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4,443</w:t>
            </w:r>
          </w:p>
        </w:tc>
      </w:tr>
      <w:tr>
        <w:trPr>
          <w:trHeight w:val="198"/>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income/(loss)</w:t>
            </w: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(51,112)</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56,433</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2022, our revenue primarily consisted of $43.7 million from the OUI License Agreement Amendment with respect to amounts owed to us by OUI for the commercial sales of Vaxzervria, and $0.8 million attributable to upfront fees associated with a research and license agreement with Scancell.</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2021, our revenue consisted of $0.2 million of reimbursement of research and development expenses from BARDA and $0.1 million of license revenue from a research, collaboration and license agreement with Enara Bio. The collaboration and license agreement with Enara Bio was terminated in 2022.</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years ended December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31, 2021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VTP-200 HPV</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160" w:type="dxa"/>
            <w:vAlign w:val="bottom"/>
          </w:tcPr>
          <w:p>
            <w:pPr>
              <w:spacing w:after="0"/>
              <w:rPr>
                <w:sz w:val="17"/>
                <w:szCs w:val="17"/>
                <w:color w:val="auto"/>
              </w:rPr>
            </w:pPr>
          </w:p>
        </w:tc>
        <w:tc>
          <w:tcPr>
            <w:tcW w:w="2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VTP-300 HBV</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VTP-600 NSCLC</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VTP-800/850 Prostate cancer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VTP-1000/VTP-1100 (SNAPvax candidates)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and earlier stage programs</w:t>
            </w: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Total direct research and development expenses</w:t>
            </w:r>
          </w:p>
        </w:tc>
        <w:tc>
          <w:tcPr>
            <w:tcW w:w="10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 research and development expenses: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Personnel-related (including share-based compensation)</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Facility related</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internal costs</w:t>
            </w:r>
          </w:p>
        </w:tc>
        <w:tc>
          <w:tcPr>
            <w:tcW w:w="10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internal research and development expenses</w:t>
            </w: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0" w:type="dxa"/>
            <w:vAlign w:val="bottom"/>
          </w:tcPr>
          <w:p>
            <w:pPr>
              <w:spacing w:after="0"/>
              <w:rPr>
                <w:sz w:val="1"/>
                <w:szCs w:val="1"/>
                <w:color w:val="auto"/>
              </w:rPr>
            </w:pPr>
          </w:p>
        </w:tc>
      </w:tr>
      <w:tr>
        <w:trPr>
          <w:trHeight w:val="198"/>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0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42,350</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20,371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research and development expenses for the years ended December 31, 2022 and 2021 were $42.4 million and $20.4 million, respectively, and consisted of direct and internal research and development expenses.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Direct expenses for the years ended December 31, 2022 and 2021 were $30.3 million and $14.0 million, respectively, and consisted of outside services, consultants, laboratory materials, clinical trials, manufacturing of clinical trial materials, as well as costs for external preclinical services and sample testing. Of the $16.3 million increase, $7.3 million pertains to progress in VTP-300, having completed the last patient visit in the HBV001 Phase 1 clinical trial in May 2022, completing enrollment in the HBV002 Phase 2 clinical trial in May 2022, and dosing the first patient in the HBV003 Phase 2 clinical trial in October 2022. $5.1 million of the increase pertains to the commencement of VTP-1000 Celiac disease and VTP-1100 HPV cancer programs in 2022. $2.6 million of the increase pertains to VTP-800/850, which has progressed to FDA clearance of our IND for PCA001, a Phase 1/2 open-label clinical trial, in December 2022. $1.0 million of the increase pertains to VTP-200, having completed enrollment into the Phase 1b/2 clinical trial, HPV001, in December 2022.</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Internal research and development expenses for the years ended December 31, 2022 and 2021 were $12.0 million and $6.4 million, respectively. Of the $5.6 million increase, $4.6 million pertains to personnel-related expenses as a result of the relative increase in headcount across locations in the United Kingdom and United States, including those individuals that joined the Company through the acquisition of Avidea in December 2021. Facility related costs increased $0.9 million primarily due to the relocation of the Company headquarters in the third quarter of 2022, and the U.S. facility expenses being incurred for the full year following the Avidea acquisition in December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for the year ended December 31, 2022 were $6.4 million, which were mainly attributable to personnel expenses of $16.8 million, including the share-based compensation charge of $7.2 million, due to an increase in headcount, insurance cost of $6.2 million, legal and professional fees of $4.3 million, and other general and administrative expenses, offset by un unrealized foreign exchange gain on the revaluation of cash balances of $26.4 million, resulting from the fluctuations between the United States dollar and pound sterling exchange rates.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2021, general and administrative expenses were $25.1 million, which were mainly attributable to personnel expenses of $20.4 million, including the share-based compensation charge of $14.2 million, insurance costs of $4.8 million and legal and professional fees of $2.9 million, netted by unrealized foreign exchange gain on cash balances of $6.0 million. The share-based payment charge includes a one-off expense relating to the RSUs that vested upon the successful completion of our IPO.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derivatives embedded in convertible loan notes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the year ended December 31, 2022, there were no outstanding convertible loan notes. For the year ended December 31, 2021, we recognized a gain of $6.0 million in relation to the conversion and redemption features embedded in the convertible loan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loan notes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There was no loss on extinguishment of convertible loan notes for the year ended December 31, 2022, as there were no outstanding loan notes in the year. For the year ended December 31,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years ended December 31, 2022 and 2021, interest income was $3.1 million and $0.002 million respectively, which primarily result from the interest earned on our short-term cash deposits and cash balances held by Vaccitech (UK) Limited in United States dollars and pound sterling.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the years ended December 31, 2022, interest expense was $0.02 million which mainly relates to dilapidation provision discounted over the length of the lease in respect of the Company headquarters, and $0.003 million interest paid on the debt recognized on the acquisition of Avidea, which was repaid in full in the first quarter of 2022. For the year ended December 31, 2021 interest expense was $2.7 million which primarily related to our convertible loan notes, which carried a market rate of interest.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years ended December 31, 2022 and 2021, we accrued research and development incentives of $1.2 million and $4.0 million respectively, with the decrease attributable to a reduction in losses available to surrender for the receipt of the research and development incentives in Vaccitech (UK) Limited , due to amounts payable to the Company from the commercial sales of Vaxzevria. Such research and development incentives relate to corporation tax relief on research and development projects incentive programs in the United Kingdom. We account for such relief received as other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benefit</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the years ended December 31, 2022 and 2021, the tax benefit was $4.5 million and $0.03 million respectively, which primarily relates to movements in deferred tax resulting from the deferred tax liability recognised in respect of the acquired intangible asset.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royalty and milestone payments from OUI in connection with the OUI License Agreement Amendment. Through December 31, 2022, we had received gross proceeds of approximately $325.5 million from the issuance of our ordinary and preferred shares and convertible loan notes. As of December 31, 2022, we had cash and cash equivalents of $194.4 million. Key financing and corporate milestones include the following:</w:t>
      </w:r>
    </w:p>
    <w:p>
      <w:pPr>
        <w:spacing w:after="0" w:line="384" w:lineRule="exact"/>
        <w:rPr>
          <w:sz w:val="20"/>
          <w:szCs w:val="20"/>
          <w:color w:val="auto"/>
        </w:rPr>
      </w:pPr>
    </w:p>
    <w:p>
      <w:pPr>
        <w:ind w:left="640" w:hanging="302"/>
        <w:spacing w:after="0"/>
        <w:tabs>
          <w:tab w:leader="none" w:pos="6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2016, we raised gross proceeds of approximately $14.0 million from the issuance of our seed round of ordinary shares.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November 2017 and December 2018, we raised gross proceeds of $33.9 million from the issuance of our Series A Shares.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July 2020 and November 2020, we raised gross proceeds of $41.2 million from the issuance of convertible loan notes.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2021, we raised gross proceeds of $125.2 million from the issuance of our Series B shares.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2021, we raised gross proceeds of $110.5 million from the initial public offering of our ordinary shares on NASDAQ.</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received $38.2 million of cash from OUI for the commercial sales of Vaxzevria.</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2022, we raised gross proceeds of $0.7 million from the issuance of shares represented by ADSs through “at-the-market” offerings under the sales agreement with Jefferies LLC.</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2022, we sold 307,139 ordinary shares represented by ADSs under the sales agreement, amounting to gross proceeds of $0.7 million.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currently expect positive cash flows from operations in the foreseeable future, if at all. Historically, we have incurred operating losses as a result of ongoing efforts to develop our heterologous prime-boost immunotherapy platforms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the primary sources and uses of cash (in thousands) for each period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81"/>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61"/>
              <w:spacing w:after="0" w:line="141" w:lineRule="exact"/>
              <w:rPr>
                <w:sz w:val="20"/>
                <w:szCs w:val="20"/>
                <w:color w:val="auto"/>
              </w:rPr>
            </w:pPr>
            <w:r>
              <w:rPr>
                <w:rFonts w:ascii="Times New Roman" w:cs="Times New Roman" w:eastAsia="Times New Roman" w:hAnsi="Times New Roman"/>
                <w:sz w:val="14"/>
                <w:szCs w:val="14"/>
                <w:b w:val="1"/>
                <w:bCs w:val="1"/>
                <w:color w:val="auto"/>
                <w:w w:val="98"/>
              </w:rPr>
              <w:t>ended December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31, 2022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31, 2021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6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2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2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60" w:type="dxa"/>
            <w:vAlign w:val="bottom"/>
            <w:vMerge w:val="restart"/>
          </w:tcPr>
          <w:p>
            <w:pPr>
              <w:jc w:val="right"/>
              <w:ind w:right="1734"/>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96"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Used in Operating Activities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2022, net cash used in operating activities was $14.4 million, primarily resulting from our net income of $5.3 million, adjusted by foreign exchange gain on translation of $24.8 million, share based compensation of $9.9 million, depreciation and amortization of $4.3 million, and changes in our operating assets and liabilities, net of $5.5 million primarily resulting from the OUI receivable, and an increase in prepaid expense due to the payment of annual insurance premiums that occurred in the second quarter of 2022.</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2021, net cash used in operating activities was $32.6 million, primarily resulting from our net loss of $51.1 million, adjusted by fair value gain on embedded derivatives of $6.0 million, loss on conversion of convertible loan notes of $13.8 million, share-based compensation of $16.5 million, non-cash interest expense of $0.8 million, depreciation and amortization of $0.6 million, foreign exchange gain on convertible loan notes of $0.2 million and changes in our operating assets and liabilities, net of $7.0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year ended December 31, 2022, cash used in investing activities was $5.8 million primarily resulted from capital expenditures related to our new headquarters in Harwell, United Kingdom.</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year ended December 31, 2021, cash used in investing activities was $12.9 million, including $11.8 million which was related to the acquisition of Avidea, and $1.1 million related to capital expenditures.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Financing Activities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cash provided by financing activities was $0.3 million resulting from $0.5 million net proceeds from the issuance ordinary shares through the “at-the-market” sales agreement, offset by $0.2 million repayment of debt incurred previously by the acquired company Avidea (acquired on December 10, 2021, that subsequently became Vaccitech North America, Inc.).</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year ended December 3l, 2021, cash provided by financing activities was $222.7 million consisting of $121.8 million of net proceeds from the issuance of Series B shares, $102.8 million of net proceeds from the IPO after offering costs of $2.2 million and $0.3 million of capital contributions from non-controlling interest.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 of exchange rates on cash and cash equivalents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year ended December 31, 2022 and 2021, the effect of foreign exchange on cash and cash equivalents was a $0.2 million gain and $6.5 million loss respectively, primarily as a result of fluctuations between the United States dollar and pound sterling exchange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Funding Requirements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were profitable in 2022 but continue to maintain negative operating cash flows. As of December 31, 2022, we had an accumulated deficit of $103.2 million. We expect to continue to incur significant losses and negative cash flows from operations for the foreseeable future. We anticipate that our expenses will increase substantially as we:</w:t>
      </w:r>
    </w:p>
    <w:p>
      <w:pPr>
        <w:spacing w:after="0" w:line="175" w:lineRule="exact"/>
        <w:rPr>
          <w:sz w:val="20"/>
          <w:szCs w:val="20"/>
          <w:color w:val="auto"/>
        </w:rPr>
      </w:pPr>
    </w:p>
    <w:p>
      <w:pPr>
        <w:ind w:left="640" w:hanging="302"/>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the clinical and preclinical development of our current product candidates;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our technologies to advance additional product candidates into preclinical and clinical development;</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authorizations for product candidates that successfully complete clinical trials, if any;</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hire and retain additional clinical, regulatory, quality control and other scientific personnel;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line="285"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increase personnel appropriately, including personnel to support our manufacturing and commercialization efforts and our operations as a public company;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enforce, and protect our intellectual property portfolio as appropriate;</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sales, marketing, medical affairs and distribution teams and infrastructure to commercialize any products for which we may obtain marketing approval and intend to commercialize on our own or jointly;</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companies, product candidates and technologies; and</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legal, accounting and other expenses in operating our business, including office expansion and the additional costs associated with operating as a public company.</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Since our foundation, we have invested a significant portion of our efforts and financial resources in research and development activities for our ChAdOx1, ChAdOx2 and MVA technologies, acquisition of additional complementary platforms such as SNAPvax,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future capital requirements may depend on many factors, including:</w:t>
      </w:r>
    </w:p>
    <w:p>
      <w:pPr>
        <w:spacing w:after="0" w:line="216" w:lineRule="exact"/>
        <w:rPr>
          <w:sz w:val="20"/>
          <w:szCs w:val="20"/>
          <w:color w:val="auto"/>
        </w:rPr>
      </w:pPr>
    </w:p>
    <w:p>
      <w:pPr>
        <w:ind w:left="640" w:hanging="302"/>
        <w:spacing w:after="0" w:line="285" w:lineRule="auto"/>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our current and future product candidates and programs, and of conducting preclinical studies and clinical trials;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product candidates that we may pursue, and of other indications for our current product candidates that we may pursue;</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52" w:lineRule="exact"/>
        <w:rPr>
          <w:rFonts w:ascii="Times New Roman" w:cs="Times New Roman" w:eastAsia="Times New Roman" w:hAnsi="Times New Roman"/>
          <w:sz w:val="17"/>
          <w:szCs w:val="17"/>
          <w:color w:val="auto"/>
        </w:rPr>
      </w:pPr>
    </w:p>
    <w:p>
      <w:pPr>
        <w:jc w:val="both"/>
        <w:ind w:left="640" w:hanging="302"/>
        <w:spacing w:after="0" w:line="269" w:lineRule="auto"/>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ind w:left="640" w:hanging="302"/>
        <w:spacing w:after="0"/>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CanSino, CRUK and the Ludwig Institute and any future collaboration partners;</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OUI’s licensed product candidate with AstraZeneca;</w:t>
      </w:r>
    </w:p>
    <w:p>
      <w:pPr>
        <w:spacing w:after="0" w:line="215"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strategic licensing or other arrangements and the financial terms of such agreements;</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to the company of commercialization activities for our current and future product candidates that we may take on, whether alone or with a collaborator;</w:t>
      </w:r>
    </w:p>
    <w:p>
      <w:pPr>
        <w:spacing w:after="0" w:line="152" w:lineRule="exact"/>
        <w:rPr>
          <w:rFonts w:ascii="Times New Roman" w:cs="Times New Roman" w:eastAsia="Times New Roman" w:hAnsi="Times New Roman"/>
          <w:sz w:val="17"/>
          <w:szCs w:val="17"/>
          <w:color w:val="auto"/>
        </w:rPr>
      </w:pPr>
    </w:p>
    <w:p>
      <w:pPr>
        <w:ind w:left="640" w:hanging="302"/>
        <w:spacing w:after="0" w:line="285"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preparing, filing, prosecuting, maintaining, expanding, defending and enforcing patent and other intellectual property claims, including litigation costs and the outcome of such litigation;</w:t>
      </w:r>
    </w:p>
    <w:p>
      <w:pPr>
        <w:spacing w:after="0" w:line="152"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amount of sales of, or royalties or other income from, our future products, if any; and</w:t>
      </w:r>
    </w:p>
    <w:p>
      <w:pPr>
        <w:spacing w:after="0" w:line="215" w:lineRule="exact"/>
        <w:rPr>
          <w:rFonts w:ascii="Times New Roman" w:cs="Times New Roman" w:eastAsia="Times New Roman" w:hAnsi="Times New Roman"/>
          <w:sz w:val="17"/>
          <w:szCs w:val="17"/>
          <w:color w:val="auto"/>
        </w:rPr>
      </w:pPr>
    </w:p>
    <w:p>
      <w:pPr>
        <w:ind w:left="640" w:hanging="302"/>
        <w:spacing w:after="0"/>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and success or otherwise of competing oncology and infectious disease therapies and other market developments.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Based on our research and development plans, we expect that our existing cash and cash equivalents will enable us to fund our operating expenses and capital expenditure requirements into the first quarter of 2025. These estimates are based on assumptions that may prove to be wrong, and we could use our available capital resources more quickly than we expect.</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Purchase, and Other Obligations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operating lease obligations related to our property, plant and equipment. The details of these leases are disclosed in Item 2. “Properties.”. The obligations related to both short- and long-term lease arrangements are set forth in Note 17 “Commitment and Contingencies” to our consolidated financial statements.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December 31, 2022. See section entitled “Business - Our Collaboration and License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 description of recently issued accounting pronouncement that may potentially impact our financial position and results of operations is disclosed in Note 2 to our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and Currency Translation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subject to the risk of fluctuations in foreign currency exchange rates, specifically with respect to the euro, pound sterling and Australian dollar. Our reporting currency is the United States dollar, and functional currency of Vaccitech plc and its consolidated subsidiaries, Vaccitech (UK) Limited and Vaccitech Oncology Limited, is the pound sterling. The functional currency of our wholly owned foreign subsidiary, Vaccitech North America, Inc. is the United States dollar. The functional currency of our wholly owned foreign subsidiary, Vaccitech Australia Pty, is the Australian dollar. The functional currency of our wholly owned foreign subsidiary, Vaccitech Italia S.R.L, is the euro. Our cash and cash equivalents as of December 31, 2022 consisted primarily of cash balances held by Vaccitech (UK) Limited in United States dollars.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consolidated Balance Sheets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incur significant operating costs in the UK and face exposure to changes in the exchange ratio of the United States dollar and the pound sterling arising from expenses and payables at our UK operations that are settled in pound sterling. For the year ended December 31, 2022, an average 10% weakening in the United States dollar relative to the pound sterling would have resulted in an increase to our expenses denominated in pound sterling of approximately $4.5 million, as compared to an increase in our expenses of approximately $4.9 million in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Sensitivity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not currently exposed significantly to market risk related to changes in interest rates, as we have no significant interest-bearing liabilities. We had cash and cash equivalents of $194.4 million as of December 31, 2022, which were primarily held as account balances with banks in the United Kingdom, United States and Australia. A hypothetical 10% relative change in interest rates during any of the periods presented would not have had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audited consolidated financial statements are included at the end of this Annual Report, starting at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and 15d-15(e) under the Exchange Act) as of December 31, 2022. 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Notwithstanding the ineffective disclosure controls and procedures as a result of the identified material weaknesses, management has concluded that the consolidated financial statements included elsewhere in this Annual Report on Form 10-K present fairly, in all material respects, the Company’s financial position, results of operations and cash flows in accordance with generally accepted accounting principles in the United States of America (“U.S. GAAP”).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Rules 13a-15(f) and 15d-15(f) under the Exchange Act, and for the assessment of the effectiveness of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making its assessment of the Company’s internal control over financial reporting as of December 31, 2022, management used the criteria set forth in Internal Control—Integrated Framework (2013) issued by the Committee of Sponsoring Organizations of the Treadway Commission (“COSO”) and evaluated the internal control over financial reporting. As a result of the material weaknesses described below, management concluded our internal control over financial reporting was not effective as of December 31, 2022 based on criteria in </w:t>
      </w:r>
      <w:r>
        <w:rPr>
          <w:rFonts w:ascii="Times New Roman" w:cs="Times New Roman" w:eastAsia="Times New Roman" w:hAnsi="Times New Roman"/>
          <w:sz w:val="17"/>
          <w:szCs w:val="17"/>
          <w:i w:val="1"/>
          <w:iCs w:val="1"/>
          <w:color w:val="auto"/>
        </w:rPr>
        <w:t xml:space="preserve">Internal Control-Integrated Framework </w:t>
      </w:r>
      <w:r>
        <w:rPr>
          <w:rFonts w:ascii="Times New Roman" w:cs="Times New Roman" w:eastAsia="Times New Roman" w:hAnsi="Times New Roman"/>
          <w:sz w:val="17"/>
          <w:szCs w:val="17"/>
          <w:color w:val="auto"/>
        </w:rPr>
        <w:t>(2013) issued by the COSO.</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Management previously reported, in our Annual Report on Form 10-K for the year ended December 31, 2021, material weaknesses in our internal control over financial reporting related to: (i) our IT general control environment has not been sufficiently designed to include appropriate user access rights and (ii) policies and procedures with respect to the review, supervision and monitoring of our accounting and reporting functions were either not designed and in place or not operating effectively.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the year ended December 31, 2022, in addition to the above material weakness on IT general control user access rights, we also identified additional deficiencies related to the design and implementation of controls over program development, program changes, and computer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Efforts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fiscal year 2022, we undertook efforts to remediate previously disclosed material weaknesses, including assessing and identifying risks to financial reporting over all business processes impacting financial reporting and implementation of controls over critical accounting policies and estimates. Although we made substantial progress throughout the year, the design and operation of SOX-level controls remained ongoing as of December 31, 2022, due to a significant amount of progress occurring in the second half of the year, and therefore being unable to determine if a control had been formalized, operated and tested with enough instances to be embedded within the control environment for fiscal year 2022. In implementing SOX in 2022, management applied a risk based approach, focusing on establishing and testing controls over the critical accounting policies and estimates such as going concern, revenue, contingent consideration, impairment and leases, as a priority. Some business process controls over critical accounting policies and estimates established in the fiscal year that were dependent on systems without effective IT general controls were deemed ineffective because they could be adversely impacted by the lack of system controls. Our internal control remediation efforts will continue into fiscal year 2023 and focus on the areas detailed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Planned Remediation Activities</w:t>
      </w:r>
    </w:p>
    <w:p>
      <w:pPr>
        <w:spacing w:after="0" w:line="212" w:lineRule="exact"/>
        <w:rPr>
          <w:sz w:val="20"/>
          <w:szCs w:val="20"/>
          <w:color w:val="auto"/>
        </w:rPr>
      </w:pPr>
    </w:p>
    <w:p>
      <w:pPr>
        <w:ind w:left="920" w:hanging="608"/>
        <w:spacing w:after="0"/>
        <w:tabs>
          <w:tab w:leader="none" w:pos="920" w:val="left"/>
        </w:tabs>
        <w:numPr>
          <w:ilvl w:val="0"/>
          <w:numId w:val="7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IT general controls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taking measures to address the IT environment through the implementation of a new enterprise resource planning (“ERP”) system and controls over program development, program changes, computer operations and access rights. We have implemented the new ERP system for the U.K. Company in the first quarter of 2023, and plan to rollout implementation of the new ERP system to the U.S. Company later in 2023.</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new ERP system and all other IT systems deemed significant to financial reporting, we plan to implement: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exist, to adequately restrict user and privileged access to certain financial applications, programs and data to appropriate company personnel; (iii) computer operations controls to ensure that critical batch jobs are monitored and data backups are authorized and monitored, (iv) testing and approval controls for program development to ensure that changes are aligned with business and IT requirements, and (v) identification and testing of system-generated information and calculations used in the execution of manual controls.</w:t>
      </w:r>
    </w:p>
    <w:p>
      <w:pPr>
        <w:spacing w:after="0" w:line="175" w:lineRule="exact"/>
        <w:rPr>
          <w:sz w:val="20"/>
          <w:szCs w:val="20"/>
          <w:color w:val="auto"/>
        </w:rPr>
      </w:pPr>
    </w:p>
    <w:p>
      <w:pPr>
        <w:ind w:left="920" w:hanging="608"/>
        <w:spacing w:after="0"/>
        <w:tabs>
          <w:tab w:leader="none" w:pos="920" w:val="left"/>
        </w:tabs>
        <w:numPr>
          <w:ilvl w:val="0"/>
          <w:numId w:val="7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policies and procedures with respect to the review, supervision and monitoring of our accounting and reporting functions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taking measures to address this material weakness, which includes hiring appropriate personnel whose roles are to enhance policies and procedures with respect to the review, supervision, formalization and monitoring of our accounting and reporting functions. Additionally, we plan to enhance business process controls through the following activities:</w:t>
      </w:r>
    </w:p>
    <w:p>
      <w:pPr>
        <w:spacing w:after="0" w:line="165" w:lineRule="exact"/>
        <w:rPr>
          <w:sz w:val="20"/>
          <w:szCs w:val="20"/>
          <w:color w:val="auto"/>
        </w:rPr>
      </w:pPr>
    </w:p>
    <w:p>
      <w:pPr>
        <w:ind w:left="960" w:hanging="314"/>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evaluate and refine the design, implementation, and documentation of the internal controls to ensure controls address the relevant risks, are properly designed, and provide appropriate evidence of the Company’s performance;</w:t>
      </w:r>
    </w:p>
    <w:p>
      <w:pPr>
        <w:spacing w:after="0" w:line="152" w:lineRule="exact"/>
        <w:rPr>
          <w:rFonts w:ascii="Times New Roman" w:cs="Times New Roman" w:eastAsia="Times New Roman" w:hAnsi="Times New Roman"/>
          <w:sz w:val="17"/>
          <w:szCs w:val="17"/>
          <w:color w:val="auto"/>
        </w:rPr>
      </w:pPr>
    </w:p>
    <w:p>
      <w:pPr>
        <w:ind w:left="960" w:hanging="314"/>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the design of controls that address the completeness and accuracy of reports being utilized in the execution of internal controls;</w:t>
      </w:r>
    </w:p>
    <w:p>
      <w:pPr>
        <w:spacing w:after="0" w:line="152" w:lineRule="exact"/>
        <w:rPr>
          <w:rFonts w:ascii="Times New Roman" w:cs="Times New Roman" w:eastAsia="Times New Roman" w:hAnsi="Times New Roman"/>
          <w:sz w:val="17"/>
          <w:szCs w:val="17"/>
          <w:color w:val="auto"/>
        </w:rPr>
      </w:pPr>
    </w:p>
    <w:p>
      <w:pPr>
        <w:ind w:left="960" w:hanging="314"/>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evaluate the assignment of responsibilities associated with the performance of control activities and consider hiring additional resources, obtaining third party assistance, or providing additional training to existing resources;</w:t>
      </w:r>
    </w:p>
    <w:p>
      <w:pPr>
        <w:spacing w:after="0" w:line="152" w:lineRule="exact"/>
        <w:rPr>
          <w:rFonts w:ascii="Times New Roman" w:cs="Times New Roman" w:eastAsia="Times New Roman" w:hAnsi="Times New Roman"/>
          <w:sz w:val="17"/>
          <w:szCs w:val="17"/>
          <w:color w:val="auto"/>
        </w:rPr>
      </w:pPr>
    </w:p>
    <w:p>
      <w:pPr>
        <w:ind w:left="960" w:hanging="314"/>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develop and execute a testing protocol that allows the Company to validate the operating effectiveness of certain controls over financial reporting to gain assurance that such controls are presented and functioning as designed;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we monitor and evaluate our ICFR, we will continue to assess the effectiveness of our remediation plan and prioritize our resources.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This Annual Report does not include an attestation report of our registered public accounting firm due to an exemption provided by the JOBS Act for “emerging growth companies.”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Other than the changes related to the ongoing remediation activities related to the material weaknesses noted above, no change in our internal control over financial reporting (as defined in Rules 13a-15(f) and 15d-15(f) under the Exchange Act) occurred during the year ended December 31, 2022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definitive proxy statement for our 2023 Annual General Meeting to be filed with the U.S. Securities and Exchange Commission.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definitive proxy statement for our 2023 Annual General Meeting to be filed with the United States Securities and Exchange Commission.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definitive proxy statement for our 2023 Annual General Meeting to be filed with the U.S. Securities and Exchange Commission.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definitive proxy statement for our 2023 Annual General Meeting to be filed with the United States Securities and Exchange Commission.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definitive proxy statement for our 2023 Annual General Meeting to be filed with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(1)</w:t>
            </w:r>
          </w:p>
        </w:tc>
        <w:tc>
          <w:tcPr>
            <w:tcW w:w="8760" w:type="dxa"/>
            <w:vAlign w:val="bottom"/>
            <w:gridSpan w:val="20"/>
          </w:tcPr>
          <w:p>
            <w:pPr>
              <w:ind w:left="120"/>
              <w:spacing w:after="0"/>
              <w:rPr>
                <w:sz w:val="20"/>
                <w:szCs w:val="20"/>
                <w:color w:val="auto"/>
              </w:rPr>
            </w:pPr>
            <w:r>
              <w:rPr>
                <w:rFonts w:ascii="Times New Roman" w:cs="Times New Roman" w:eastAsia="Times New Roman" w:hAnsi="Times New Roman"/>
                <w:sz w:val="17"/>
                <w:szCs w:val="17"/>
                <w:color w:val="auto"/>
              </w:rPr>
              <w:t>Financial Statements.</w:t>
            </w:r>
          </w:p>
        </w:tc>
      </w:tr>
      <w:tr>
        <w:trPr>
          <w:trHeight w:val="41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ind w:left="380"/>
              <w:spacing w:after="0"/>
              <w:rPr>
                <w:sz w:val="20"/>
                <w:szCs w:val="20"/>
                <w:color w:val="auto"/>
              </w:rPr>
            </w:pPr>
            <w:r>
              <w:rPr>
                <w:rFonts w:ascii="Times New Roman" w:cs="Times New Roman" w:eastAsia="Times New Roman" w:hAnsi="Times New Roman"/>
                <w:sz w:val="17"/>
                <w:szCs w:val="17"/>
                <w:color w:val="auto"/>
              </w:rPr>
              <w:t>The financial statements filed as part of this report are listed on the Index to Consolidated Financial Statements in Item 8.</w:t>
            </w:r>
          </w:p>
        </w:tc>
      </w:tr>
      <w:tr>
        <w:trPr>
          <w:trHeight w:val="411"/>
        </w:trPr>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(2)</w:t>
            </w:r>
          </w:p>
        </w:tc>
        <w:tc>
          <w:tcPr>
            <w:tcW w:w="8760" w:type="dxa"/>
            <w:vAlign w:val="bottom"/>
            <w:gridSpan w:val="20"/>
          </w:tcPr>
          <w:p>
            <w:pPr>
              <w:ind w:left="120"/>
              <w:spacing w:after="0"/>
              <w:rPr>
                <w:sz w:val="20"/>
                <w:szCs w:val="20"/>
                <w:color w:val="auto"/>
              </w:rPr>
            </w:pPr>
            <w:r>
              <w:rPr>
                <w:rFonts w:ascii="Times New Roman" w:cs="Times New Roman" w:eastAsia="Times New Roman" w:hAnsi="Times New Roman"/>
                <w:sz w:val="17"/>
                <w:szCs w:val="17"/>
                <w:color w:val="auto"/>
              </w:rPr>
              <w:t>Financial Statement Schedules.</w:t>
            </w:r>
          </w:p>
        </w:tc>
      </w:tr>
      <w:tr>
        <w:trPr>
          <w:trHeight w:val="39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ind w:left="380"/>
              <w:spacing w:after="0"/>
              <w:rPr>
                <w:sz w:val="20"/>
                <w:szCs w:val="20"/>
                <w:color w:val="auto"/>
              </w:rPr>
            </w:pPr>
            <w:r>
              <w:rPr>
                <w:rFonts w:ascii="Times New Roman" w:cs="Times New Roman" w:eastAsia="Times New Roman" w:hAnsi="Times New Roman"/>
                <w:sz w:val="17"/>
                <w:szCs w:val="17"/>
                <w:color w:val="auto"/>
              </w:rPr>
              <w:t>No schedules are submitted because they are not applicable, not required, or because the information is included in the</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760" w:type="dxa"/>
            <w:vAlign w:val="bottom"/>
            <w:gridSpan w:val="20"/>
          </w:tcPr>
          <w:p>
            <w:pPr>
              <w:ind w:left="380"/>
              <w:spacing w:after="0"/>
              <w:rPr>
                <w:sz w:val="20"/>
                <w:szCs w:val="20"/>
                <w:color w:val="auto"/>
              </w:rPr>
            </w:pPr>
            <w:r>
              <w:rPr>
                <w:rFonts w:ascii="Times New Roman" w:cs="Times New Roman" w:eastAsia="Times New Roman" w:hAnsi="Times New Roman"/>
                <w:sz w:val="17"/>
                <w:szCs w:val="17"/>
                <w:color w:val="auto"/>
              </w:rPr>
              <w:t>consolidated financial statements or the notes thereto.</w:t>
            </w:r>
          </w:p>
        </w:tc>
      </w:tr>
      <w:tr>
        <w:trPr>
          <w:trHeight w:val="411"/>
        </w:trPr>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(3)</w:t>
            </w:r>
          </w:p>
        </w:tc>
        <w:tc>
          <w:tcPr>
            <w:tcW w:w="8760" w:type="dxa"/>
            <w:vAlign w:val="bottom"/>
            <w:gridSpan w:val="20"/>
          </w:tcPr>
          <w:p>
            <w:pPr>
              <w:ind w:left="120"/>
              <w:spacing w:after="0"/>
              <w:rPr>
                <w:sz w:val="20"/>
                <w:szCs w:val="20"/>
                <w:color w:val="auto"/>
              </w:rPr>
            </w:pPr>
            <w:r>
              <w:rPr>
                <w:rFonts w:ascii="Times New Roman" w:cs="Times New Roman" w:eastAsia="Times New Roman" w:hAnsi="Times New Roman"/>
                <w:sz w:val="17"/>
                <w:szCs w:val="17"/>
                <w:color w:val="auto"/>
              </w:rPr>
              <w:t>Exhibits.</w:t>
            </w:r>
          </w:p>
        </w:tc>
      </w:tr>
      <w:tr>
        <w:trPr>
          <w:trHeight w:val="41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17"/>
          </w:tcPr>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3"/>
        </w:trPr>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6"/>
        </w:trPr>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16"/>
          </w:tcPr>
          <w:p>
            <w:pPr>
              <w:ind w:left="30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160"/>
        </w:trPr>
        <w:tc>
          <w:tcPr>
            <w:tcW w:w="920" w:type="dxa"/>
            <w:vAlign w:val="bottom"/>
            <w:tcBorders>
              <w:top w:val="single" w:sz="8" w:color="auto"/>
            </w:tcBorders>
          </w:tcPr>
          <w:p>
            <w:pPr>
              <w:ind w:left="120"/>
              <w:spacing w:after="0" w:line="160" w:lineRule="exact"/>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3"/>
                <w:szCs w:val="13"/>
                <w:color w:val="auto"/>
              </w:rPr>
            </w:pPr>
          </w:p>
        </w:tc>
        <w:tc>
          <w:tcPr>
            <w:tcW w:w="8580" w:type="dxa"/>
            <w:vAlign w:val="bottom"/>
            <w:tcBorders>
              <w:top w:val="single" w:sz="8" w:color="auto"/>
              <w:bottom w:val="single" w:sz="8" w:color="0000EE"/>
            </w:tcBorders>
            <w:gridSpan w:val="14"/>
          </w:tcPr>
          <w:p>
            <w:pPr>
              <w:spacing w:after="0" w:line="160"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Agreement and Plan of Merger and Reorganization, dated December 9, 2021, by and among Vaccitech plc, VA Merger Sub 1</w:t>
              </w:r>
            </w:hyperlink>
          </w:p>
        </w:tc>
        <w:tc>
          <w:tcPr>
            <w:tcW w:w="140" w:type="dxa"/>
            <w:vAlign w:val="bottom"/>
            <w:tcBorders>
              <w:top w:val="single" w:sz="8" w:color="auto"/>
            </w:tcBorders>
            <w:gridSpan w:val="5"/>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85"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Inc., VA Merger Sub 2 Inc., Avidea Technologies Inc., and Benjamin Eisler, as the Securityholder Agent (Incorporated by</w:t>
              </w:r>
            </w:hyperlink>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40" w:type="dxa"/>
            <w:vAlign w:val="bottom"/>
            <w:tcBorders>
              <w:top w:val="single" w:sz="8" w:color="0000EE"/>
            </w:tcBorders>
            <w:gridSpan w:val="10"/>
          </w:tcPr>
          <w:p>
            <w:pPr>
              <w:spacing w:after="0" w:line="185"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reference to Exhibit 2.1 to our Periodic Report on Form 8-K (File No. 001-40367) filed on December 14, 2021).</w:t>
              </w:r>
            </w:hyperlink>
          </w:p>
        </w:tc>
        <w:tc>
          <w:tcPr>
            <w:tcW w:w="420" w:type="dxa"/>
            <w:vAlign w:val="bottom"/>
            <w:gridSpan w:val="10"/>
          </w:tcPr>
          <w:p>
            <w:pPr>
              <w:spacing w:after="0"/>
              <w:rPr>
                <w:sz w:val="16"/>
                <w:szCs w:val="16"/>
                <w:color w:val="auto"/>
              </w:rPr>
            </w:pPr>
          </w:p>
        </w:tc>
      </w:tr>
      <w:tr>
        <w:trPr>
          <w:trHeight w:val="20"/>
        </w:trPr>
        <w:tc>
          <w:tcPr>
            <w:tcW w:w="116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2.2*†</w:t>
            </w:r>
          </w:p>
        </w:tc>
        <w:tc>
          <w:tcPr>
            <w:tcW w:w="87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Amendment No. 1 to Agreement and Plan of Merger and Reorganization, dated March 11, 2022, by and between Vaccitech plc</w:t>
              </w:r>
            </w:hyperlink>
          </w:p>
        </w:tc>
        <w:tc>
          <w:tcPr>
            <w:tcW w:w="60" w:type="dxa"/>
            <w:vAlign w:val="bottom"/>
            <w:gridSpan w:val="2"/>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85"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and Benjamin Eisler, as Securityholder Agent (Incorporated by reference to Exhibit 2.2 to our Annual Report on Form 10-K</w:t>
              </w:r>
            </w:hyperlink>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tcBorders>
              <w:top w:val="single" w:sz="8" w:color="0000EE"/>
            </w:tcBorders>
            <w:gridSpan w:val="12"/>
          </w:tcPr>
          <w:p>
            <w:pPr>
              <w:spacing w:after="0" w:line="185"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(File No. 001-40367) filed on March 25, 2022).</w:t>
              </w:r>
            </w:hyperlink>
          </w:p>
        </w:tc>
        <w:tc>
          <w:tcPr>
            <w:tcW w:w="260" w:type="dxa"/>
            <w:vAlign w:val="bottom"/>
            <w:gridSpan w:val="8"/>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Amendment No. 2 to Agreement and Plan of Merger and Reorganization, dated May 9, 2022, by and between Vaccitech plc</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00" w:type="dxa"/>
            <w:vAlign w:val="bottom"/>
            <w:tcBorders>
              <w:bottom w:val="single" w:sz="8" w:color="0000EE"/>
            </w:tcBorders>
            <w:gridSpan w:val="18"/>
          </w:tcPr>
          <w:p>
            <w:pPr>
              <w:spacing w:after="0" w:line="185"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and Benjamin Eisler, as the Securityholder Agent (Incorporated herein by reference to Exhibit 2.1 to the Registrant’s Quarterly</w:t>
              </w:r>
            </w:hyperlink>
          </w:p>
        </w:tc>
        <w:tc>
          <w:tcPr>
            <w:tcW w:w="60" w:type="dxa"/>
            <w:vAlign w:val="bottom"/>
            <w:gridSpan w:val="2"/>
          </w:tcPr>
          <w:p>
            <w:pPr>
              <w:spacing w:after="0"/>
              <w:rPr>
                <w:sz w:val="16"/>
                <w:szCs w:val="16"/>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40" w:type="dxa"/>
            <w:vAlign w:val="bottom"/>
            <w:tcBorders>
              <w:bottom w:val="single" w:sz="8" w:color="0000EE"/>
            </w:tcBorders>
            <w:gridSpan w:val="9"/>
          </w:tcPr>
          <w:p>
            <w:pPr>
              <w:spacing w:after="0" w:line="185"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Report on Form 10-Q (File No. 001-40367), filed with the Securities and Exchange Commission on August 9, 2022).</w:t>
              </w:r>
            </w:hyperlink>
          </w:p>
        </w:tc>
        <w:tc>
          <w:tcPr>
            <w:tcW w:w="720" w:type="dxa"/>
            <w:vAlign w:val="bottom"/>
            <w:gridSpan w:val="11"/>
          </w:tcPr>
          <w:p>
            <w:pPr>
              <w:spacing w:after="0"/>
              <w:rPr>
                <w:sz w:val="16"/>
                <w:szCs w:val="16"/>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Articles of Association of the Registrant (Incorporated by reference to Exhibit 3.1 to our Form 8-K (File No. 001-40367) filed</w:t>
              </w:r>
            </w:hyperlink>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40" w:type="dxa"/>
            <w:vAlign w:val="bottom"/>
            <w:tcBorders>
              <w:top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on May 10, 2021)).</w:t>
              </w:r>
            </w:hyperlink>
          </w:p>
        </w:tc>
        <w:tc>
          <w:tcPr>
            <w:tcW w:w="120" w:type="dxa"/>
            <w:vAlign w:val="bottom"/>
            <w:gridSpan w:val="4"/>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Form of Deposit Agreement (Incorporated by reference to Exhibit 4.1 to our Registration Statement on Form S-1/A (File No.</w:t>
              </w:r>
            </w:hyperlink>
          </w:p>
        </w:tc>
        <w:tc>
          <w:tcPr>
            <w:tcW w:w="180" w:type="dxa"/>
            <w:vAlign w:val="bottom"/>
            <w:gridSpan w:val="6"/>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tcBorders>
              <w:bottom w:val="single" w:sz="8" w:color="0000EE"/>
            </w:tcBorders>
            <w:gridSpan w:val="3"/>
          </w:tcPr>
          <w:p>
            <w:pPr>
              <w:spacing w:after="0" w:line="185"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333-255158) filed on April 27, 2021).</w:t>
              </w:r>
            </w:hyperlink>
          </w:p>
        </w:tc>
        <w:tc>
          <w:tcPr>
            <w:tcW w:w="6140" w:type="dxa"/>
            <w:vAlign w:val="bottom"/>
            <w:gridSpan w:val="17"/>
          </w:tcPr>
          <w:p>
            <w:pPr>
              <w:spacing w:after="0"/>
              <w:rPr>
                <w:sz w:val="16"/>
                <w:szCs w:val="16"/>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Form of American Depositary Receipt (included in Exhibit 4.1).</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Description of Registrant’s Securities (Incorporated by reference to Exhibit 4.3 to our Annual Report on Form 10-K (File No.</w:t>
              </w:r>
            </w:hyperlink>
          </w:p>
        </w:tc>
        <w:tc>
          <w:tcPr>
            <w:tcW w:w="160" w:type="dxa"/>
            <w:vAlign w:val="bottom"/>
            <w:gridSpan w:val="5"/>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85"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001-40367) filed on March 25, 2022).</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w:t>
            </w:r>
          </w:p>
        </w:tc>
        <w:tc>
          <w:tcPr>
            <w:tcW w:w="24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EMI Option Scheme and form of award agreement thereunder (Incorporated by reference to Exhibit 10.1 to our Registration</w:t>
              </w:r>
            </w:hyperlink>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80" w:type="dxa"/>
            <w:vAlign w:val="bottom"/>
            <w:tcBorders>
              <w:top w:val="single" w:sz="8" w:color="0000EE"/>
              <w:bottom w:val="single" w:sz="8" w:color="0000EE"/>
            </w:tcBorders>
            <w:gridSpan w:val="6"/>
          </w:tcPr>
          <w:p>
            <w:pPr>
              <w:spacing w:after="0" w:line="185"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Statement on Form S-1/A (File No. 333-255158) filed on April 27, 2021).</w:t>
              </w:r>
            </w:hyperlink>
          </w:p>
        </w:tc>
        <w:tc>
          <w:tcPr>
            <w:tcW w:w="3440" w:type="dxa"/>
            <w:vAlign w:val="bottom"/>
            <w:tcBorders>
              <w:top w:val="single" w:sz="8" w:color="0000EE"/>
            </w:tcBorders>
            <w:gridSpan w:val="7"/>
          </w:tcPr>
          <w:p>
            <w:pPr>
              <w:spacing w:after="0"/>
              <w:rPr>
                <w:sz w:val="16"/>
                <w:szCs w:val="16"/>
                <w:color w:val="auto"/>
              </w:rPr>
            </w:pPr>
          </w:p>
        </w:tc>
        <w:tc>
          <w:tcPr>
            <w:tcW w:w="240" w:type="dxa"/>
            <w:vAlign w:val="bottom"/>
            <w:gridSpan w:val="7"/>
          </w:tcPr>
          <w:p>
            <w:pPr>
              <w:spacing w:after="0"/>
              <w:rPr>
                <w:sz w:val="16"/>
                <w:szCs w:val="16"/>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tcPr>
          <w:p>
            <w:pPr>
              <w:spacing w:after="0"/>
              <w:rPr>
                <w:sz w:val="24"/>
                <w:szCs w:val="24"/>
                <w:color w:val="auto"/>
              </w:rPr>
            </w:pPr>
          </w:p>
        </w:tc>
        <w:tc>
          <w:tcPr>
            <w:tcW w:w="87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2021 Stock Option and Incentive Plan and forms of award agreements thereunder (Incorporated by reference to Exhibit 10.2 to</w:t>
              </w:r>
            </w:hyperlink>
          </w:p>
        </w:tc>
        <w:tc>
          <w:tcPr>
            <w:tcW w:w="60" w:type="dxa"/>
            <w:vAlign w:val="bottom"/>
            <w:gridSpan w:val="2"/>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85"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our Registration Statement on Form S-1/A (File No. 333-255158) filed on April 27, 2021).</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91"/>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10.3#</w:t>
            </w:r>
          </w:p>
        </w:tc>
        <w:tc>
          <w:tcPr>
            <w:tcW w:w="240" w:type="dxa"/>
            <w:vAlign w:val="bottom"/>
          </w:tcPr>
          <w:p>
            <w:pPr>
              <w:spacing w:after="0"/>
              <w:rPr>
                <w:sz w:val="24"/>
                <w:szCs w:val="24"/>
                <w:color w:val="auto"/>
              </w:rPr>
            </w:pPr>
          </w:p>
        </w:tc>
        <w:tc>
          <w:tcPr>
            <w:tcW w:w="86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2021 Employee Share Purchase Plan (Incorporated by reference to Exhibit 10.17 to our Registration Statement on Form S-1/A</w:t>
              </w:r>
            </w:hyperlink>
          </w:p>
        </w:tc>
        <w:tc>
          <w:tcPr>
            <w:tcW w:w="80" w:type="dxa"/>
            <w:vAlign w:val="bottom"/>
            <w:gridSpan w:val="3"/>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85"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(File No. 333-255158) filed on April 27, 2021).</w:t>
              </w:r>
            </w:hyperlink>
          </w:p>
        </w:tc>
      </w:tr>
      <w:tr>
        <w:trPr>
          <w:trHeight w:val="84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tcBorders>
              <w:top w:val="single" w:sz="8" w:color="0000EE"/>
            </w:tcBorders>
            <w:gridSpan w:val="4"/>
          </w:tcPr>
          <w:p>
            <w:pPr>
              <w:spacing w:after="0"/>
              <w:rPr>
                <w:sz w:val="24"/>
                <w:szCs w:val="24"/>
                <w:color w:val="auto"/>
              </w:rPr>
            </w:pP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145</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10.4†</w:t>
            </w:r>
          </w:p>
        </w:tc>
        <w:tc>
          <w:tcPr>
            <w:tcW w:w="85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License of Technology by and between the Registrant and Oxford University Innovation Limited, dated as of March 4, 2016,</w:t>
              </w:r>
            </w:hyperlink>
          </w:p>
        </w:tc>
        <w:tc>
          <w:tcPr>
            <w:tcW w:w="180" w:type="dxa"/>
            <w:vAlign w:val="bottom"/>
            <w:gridSpan w:val="5"/>
          </w:tcPr>
          <w:p>
            <w:pPr>
              <w:spacing w:after="0"/>
              <w:rPr>
                <w:sz w:val="17"/>
                <w:szCs w:val="17"/>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as amended on January 14, 2019 and as further amended April 29, 2020 (Incorporated by reference to Exhibit 10.3 to our</w:t>
              </w:r>
            </w:hyperlink>
          </w:p>
        </w:tc>
      </w:tr>
      <w:tr>
        <w:trPr>
          <w:trHeight w:val="186"/>
        </w:trPr>
        <w:tc>
          <w:tcPr>
            <w:tcW w:w="1160" w:type="dxa"/>
            <w:vAlign w:val="bottom"/>
          </w:tcPr>
          <w:p>
            <w:pPr>
              <w:spacing w:after="0"/>
              <w:rPr>
                <w:sz w:val="16"/>
                <w:szCs w:val="16"/>
                <w:color w:val="auto"/>
              </w:rPr>
            </w:pPr>
          </w:p>
        </w:tc>
        <w:tc>
          <w:tcPr>
            <w:tcW w:w="5960" w:type="dxa"/>
            <w:vAlign w:val="bottom"/>
            <w:tcBorders>
              <w:top w:val="single" w:sz="8" w:color="0000EE"/>
              <w:bottom w:val="single" w:sz="8" w:color="0000EE"/>
            </w:tcBorders>
            <w:gridSpan w:val="5"/>
          </w:tcPr>
          <w:p>
            <w:pPr>
              <w:spacing w:after="0" w:line="185"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Registration Statement on Form S-1/A (File No. 333-255158) filed on April 27, 2021).</w:t>
              </w:r>
            </w:hyperlink>
          </w:p>
        </w:tc>
        <w:tc>
          <w:tcPr>
            <w:tcW w:w="2340" w:type="dxa"/>
            <w:vAlign w:val="bottom"/>
            <w:tcBorders>
              <w:top w:val="single" w:sz="8" w:color="0000EE"/>
            </w:tcBorders>
            <w:gridSpan w:val="9"/>
          </w:tcPr>
          <w:p>
            <w:pPr>
              <w:spacing w:after="0"/>
              <w:rPr>
                <w:sz w:val="16"/>
                <w:szCs w:val="16"/>
                <w:color w:val="auto"/>
              </w:rPr>
            </w:pPr>
          </w:p>
        </w:tc>
        <w:tc>
          <w:tcPr>
            <w:tcW w:w="460" w:type="dxa"/>
            <w:vAlign w:val="bottom"/>
            <w:gridSpan w:val="12"/>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10.5†</w:t>
            </w:r>
          </w:p>
        </w:tc>
        <w:tc>
          <w:tcPr>
            <w:tcW w:w="85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License Agreement by and between the Registrant and Oxford University Innovation Limited, dated as of September 8, 2017</w:t>
              </w:r>
            </w:hyperlink>
          </w:p>
        </w:tc>
        <w:tc>
          <w:tcPr>
            <w:tcW w:w="180" w:type="dxa"/>
            <w:vAlign w:val="bottom"/>
            <w:gridSpan w:val="5"/>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(Incorporated by reference to Exhibit 10.4 to our Registration Statement on Form S-1/A (File No. 333-255158) filed on April</w:t>
              </w:r>
            </w:hyperlink>
          </w:p>
        </w:tc>
      </w:tr>
      <w:tr>
        <w:trPr>
          <w:trHeight w:val="186"/>
        </w:trPr>
        <w:tc>
          <w:tcPr>
            <w:tcW w:w="1160" w:type="dxa"/>
            <w:vAlign w:val="bottom"/>
          </w:tcPr>
          <w:p>
            <w:pPr>
              <w:spacing w:after="0"/>
              <w:rPr>
                <w:sz w:val="16"/>
                <w:szCs w:val="16"/>
                <w:color w:val="auto"/>
              </w:rPr>
            </w:pPr>
          </w:p>
        </w:tc>
        <w:tc>
          <w:tcPr>
            <w:tcW w:w="700" w:type="dxa"/>
            <w:vAlign w:val="bottom"/>
            <w:tcBorders>
              <w:top w:val="single" w:sz="8" w:color="0000EE"/>
              <w:bottom w:val="single" w:sz="8" w:color="0000EE"/>
            </w:tcBorders>
          </w:tcPr>
          <w:p>
            <w:pPr>
              <w:spacing w:after="0" w:line="185" w:lineRule="exact"/>
              <w:rPr>
                <w:rFonts w:ascii="Times New Roman" w:cs="Times New Roman" w:eastAsia="Times New Roman" w:hAnsi="Times New Roman"/>
                <w:sz w:val="17"/>
                <w:szCs w:val="17"/>
                <w:color w:val="0000EE"/>
                <w:w w:val="97"/>
              </w:rPr>
            </w:pPr>
            <w:hyperlink r:id="rId172">
              <w:r>
                <w:rPr>
                  <w:rFonts w:ascii="Times New Roman" w:cs="Times New Roman" w:eastAsia="Times New Roman" w:hAnsi="Times New Roman"/>
                  <w:sz w:val="17"/>
                  <w:szCs w:val="17"/>
                  <w:color w:val="0000EE"/>
                  <w:w w:val="97"/>
                </w:rPr>
                <w:t>27, 2021).</w:t>
              </w:r>
            </w:hyperlink>
          </w:p>
        </w:tc>
        <w:tc>
          <w:tcPr>
            <w:tcW w:w="9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10.6†</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Master Collaboration Agreement by and between the Registrant and CanSino Biologics, Inc., dated as of September 4, 2018</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(Incorporated by reference to Exhibit 10.5 to our Registration Statement on Form S-1/A (File No. 333-255158) filed on April</w:t>
              </w:r>
            </w:hyperlink>
          </w:p>
        </w:tc>
      </w:tr>
      <w:tr>
        <w:trPr>
          <w:trHeight w:val="186"/>
        </w:trPr>
        <w:tc>
          <w:tcPr>
            <w:tcW w:w="1160" w:type="dxa"/>
            <w:vAlign w:val="bottom"/>
          </w:tcPr>
          <w:p>
            <w:pPr>
              <w:spacing w:after="0"/>
              <w:rPr>
                <w:sz w:val="16"/>
                <w:szCs w:val="16"/>
                <w:color w:val="auto"/>
              </w:rPr>
            </w:pPr>
          </w:p>
        </w:tc>
        <w:tc>
          <w:tcPr>
            <w:tcW w:w="700" w:type="dxa"/>
            <w:vAlign w:val="bottom"/>
            <w:tcBorders>
              <w:top w:val="single" w:sz="8" w:color="0000EE"/>
              <w:bottom w:val="single" w:sz="8" w:color="0000EE"/>
            </w:tcBorders>
          </w:tcPr>
          <w:p>
            <w:pPr>
              <w:spacing w:after="0" w:line="185" w:lineRule="exact"/>
              <w:rPr>
                <w:rFonts w:ascii="Times New Roman" w:cs="Times New Roman" w:eastAsia="Times New Roman" w:hAnsi="Times New Roman"/>
                <w:sz w:val="17"/>
                <w:szCs w:val="17"/>
                <w:color w:val="0000EE"/>
                <w:w w:val="97"/>
              </w:rPr>
            </w:pPr>
            <w:hyperlink r:id="rId173">
              <w:r>
                <w:rPr>
                  <w:rFonts w:ascii="Times New Roman" w:cs="Times New Roman" w:eastAsia="Times New Roman" w:hAnsi="Times New Roman"/>
                  <w:sz w:val="17"/>
                  <w:szCs w:val="17"/>
                  <w:color w:val="0000EE"/>
                  <w:w w:val="97"/>
                </w:rPr>
                <w:t>27, 2021).</w:t>
              </w:r>
            </w:hyperlink>
          </w:p>
        </w:tc>
        <w:tc>
          <w:tcPr>
            <w:tcW w:w="9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10.7†</w:t>
            </w:r>
          </w:p>
        </w:tc>
        <w:tc>
          <w:tcPr>
            <w:tcW w:w="826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License Agreement by and among the Registrant, The Chancellor, Masters and Scholars of the University of Oxford and</w:t>
              </w:r>
            </w:hyperlink>
          </w:p>
        </w:tc>
        <w:tc>
          <w:tcPr>
            <w:tcW w:w="500" w:type="dxa"/>
            <w:vAlign w:val="bottom"/>
            <w:gridSpan w:val="13"/>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260" w:type="dxa"/>
            <w:vAlign w:val="bottom"/>
            <w:tcBorders>
              <w:bottom w:val="single" w:sz="8" w:color="0000EE"/>
            </w:tcBorders>
            <w:gridSpan w:val="13"/>
          </w:tcPr>
          <w:p>
            <w:pPr>
              <w:spacing w:after="0" w:line="185"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Oxford University Innovation Limited, dated as of September 27, 2018 (Incorporated by reference to Exhibit 10.6 to our</w:t>
              </w:r>
            </w:hyperlink>
          </w:p>
        </w:tc>
        <w:tc>
          <w:tcPr>
            <w:tcW w:w="500" w:type="dxa"/>
            <w:vAlign w:val="bottom"/>
            <w:gridSpan w:val="13"/>
          </w:tcPr>
          <w:p>
            <w:pPr>
              <w:spacing w:after="0"/>
              <w:rPr>
                <w:sz w:val="16"/>
                <w:szCs w:val="16"/>
                <w:color w:val="auto"/>
              </w:rPr>
            </w:pPr>
          </w:p>
        </w:tc>
      </w:tr>
      <w:tr>
        <w:trPr>
          <w:trHeight w:val="186"/>
        </w:trPr>
        <w:tc>
          <w:tcPr>
            <w:tcW w:w="1160" w:type="dxa"/>
            <w:vAlign w:val="bottom"/>
          </w:tcPr>
          <w:p>
            <w:pPr>
              <w:spacing w:after="0"/>
              <w:rPr>
                <w:sz w:val="16"/>
                <w:szCs w:val="16"/>
                <w:color w:val="auto"/>
              </w:rPr>
            </w:pPr>
          </w:p>
        </w:tc>
        <w:tc>
          <w:tcPr>
            <w:tcW w:w="5960" w:type="dxa"/>
            <w:vAlign w:val="bottom"/>
            <w:tcBorders>
              <w:bottom w:val="single" w:sz="8" w:color="0000EE"/>
            </w:tcBorders>
            <w:gridSpan w:val="5"/>
          </w:tcPr>
          <w:p>
            <w:pPr>
              <w:spacing w:after="0" w:line="185"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Registration Statement on Form S-1/A (File No. 333-255158) filed on April 27, 2021).</w:t>
              </w:r>
            </w:hyperlink>
          </w:p>
        </w:tc>
        <w:tc>
          <w:tcPr>
            <w:tcW w:w="2800" w:type="dxa"/>
            <w:vAlign w:val="bottom"/>
            <w:gridSpan w:val="21"/>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10.8†</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License Agreement by and between the Registrant and Vaccitech Oncology Limited, dated as of November 14, 2018</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(Incorporated by reference to Exhibit 10.7 to our Registration Statement on Form S-1/A (File No. 333-255158) filed on April</w:t>
              </w:r>
            </w:hyperlink>
          </w:p>
        </w:tc>
      </w:tr>
      <w:tr>
        <w:trPr>
          <w:trHeight w:val="186"/>
        </w:trPr>
        <w:tc>
          <w:tcPr>
            <w:tcW w:w="1160" w:type="dxa"/>
            <w:vAlign w:val="bottom"/>
          </w:tcPr>
          <w:p>
            <w:pPr>
              <w:spacing w:after="0"/>
              <w:rPr>
                <w:sz w:val="16"/>
                <w:szCs w:val="16"/>
                <w:color w:val="auto"/>
              </w:rPr>
            </w:pPr>
          </w:p>
        </w:tc>
        <w:tc>
          <w:tcPr>
            <w:tcW w:w="700" w:type="dxa"/>
            <w:vAlign w:val="bottom"/>
            <w:tcBorders>
              <w:top w:val="single" w:sz="8" w:color="0000EE"/>
              <w:bottom w:val="single" w:sz="8" w:color="0000EE"/>
            </w:tcBorders>
          </w:tcPr>
          <w:p>
            <w:pPr>
              <w:spacing w:after="0" w:line="185" w:lineRule="exact"/>
              <w:rPr>
                <w:rFonts w:ascii="Times New Roman" w:cs="Times New Roman" w:eastAsia="Times New Roman" w:hAnsi="Times New Roman"/>
                <w:sz w:val="17"/>
                <w:szCs w:val="17"/>
                <w:color w:val="0000EE"/>
                <w:w w:val="97"/>
              </w:rPr>
            </w:pPr>
            <w:hyperlink r:id="rId175">
              <w:r>
                <w:rPr>
                  <w:rFonts w:ascii="Times New Roman" w:cs="Times New Roman" w:eastAsia="Times New Roman" w:hAnsi="Times New Roman"/>
                  <w:sz w:val="17"/>
                  <w:szCs w:val="17"/>
                  <w:color w:val="0000EE"/>
                  <w:w w:val="97"/>
                </w:rPr>
                <w:t>27, 2021).</w:t>
              </w:r>
            </w:hyperlink>
          </w:p>
        </w:tc>
        <w:tc>
          <w:tcPr>
            <w:tcW w:w="9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10.9†</w:t>
            </w:r>
          </w:p>
        </w:tc>
        <w:tc>
          <w:tcPr>
            <w:tcW w:w="856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Clinical Trial and Option Agreement by and among Vaccitech Oncology Limited, Cancer Research Technology Limited, and</w:t>
              </w:r>
            </w:hyperlink>
          </w:p>
        </w:tc>
        <w:tc>
          <w:tcPr>
            <w:tcW w:w="200" w:type="dxa"/>
            <w:vAlign w:val="bottom"/>
            <w:gridSpan w:val="6"/>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Cancer Research UK, dated as of December 16, 2019 (Incorporated by reference to Exhibit 10.8 to our Registration Statement</w:t>
              </w:r>
            </w:hyperlink>
          </w:p>
        </w:tc>
      </w:tr>
      <w:tr>
        <w:trPr>
          <w:trHeight w:val="186"/>
        </w:trPr>
        <w:tc>
          <w:tcPr>
            <w:tcW w:w="1160" w:type="dxa"/>
            <w:vAlign w:val="bottom"/>
          </w:tcPr>
          <w:p>
            <w:pPr>
              <w:spacing w:after="0"/>
              <w:rPr>
                <w:sz w:val="16"/>
                <w:szCs w:val="16"/>
                <w:color w:val="auto"/>
              </w:rPr>
            </w:pPr>
          </w:p>
        </w:tc>
        <w:tc>
          <w:tcPr>
            <w:tcW w:w="8640" w:type="dxa"/>
            <w:vAlign w:val="bottom"/>
            <w:tcBorders>
              <w:top w:val="single" w:sz="8" w:color="0000EE"/>
            </w:tcBorders>
            <w:gridSpan w:val="24"/>
          </w:tcPr>
          <w:p>
            <w:pPr>
              <w:spacing w:after="0" w:line="185"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on Form S-1/A (File No. 333-255158) filed on April 27, 2021).</w:t>
              </w:r>
            </w:hyperlink>
          </w:p>
        </w:tc>
        <w:tc>
          <w:tcPr>
            <w:tcW w:w="120" w:type="dxa"/>
            <w:vAlign w:val="bottom"/>
            <w:gridSpan w:val="2"/>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10.10#</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Form of Deed of Indemnity between the Registrant and each of its directors and officers (Incorporated by reference to Exhibit</w:t>
              </w:r>
            </w:hyperlink>
          </w:p>
        </w:tc>
      </w:tr>
      <w:tr>
        <w:trPr>
          <w:trHeight w:val="186"/>
        </w:trPr>
        <w:tc>
          <w:tcPr>
            <w:tcW w:w="1160" w:type="dxa"/>
            <w:vAlign w:val="bottom"/>
          </w:tcPr>
          <w:p>
            <w:pPr>
              <w:spacing w:after="0"/>
              <w:rPr>
                <w:sz w:val="16"/>
                <w:szCs w:val="16"/>
                <w:color w:val="auto"/>
              </w:rPr>
            </w:pPr>
          </w:p>
        </w:tc>
        <w:tc>
          <w:tcPr>
            <w:tcW w:w="6740" w:type="dxa"/>
            <w:vAlign w:val="bottom"/>
            <w:tcBorders>
              <w:top w:val="single" w:sz="8" w:color="0000EE"/>
              <w:bottom w:val="single" w:sz="8" w:color="0000EE"/>
            </w:tcBorders>
            <w:gridSpan w:val="7"/>
          </w:tcPr>
          <w:p>
            <w:pPr>
              <w:spacing w:after="0" w:line="185"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9</w:t>
              </w:r>
              <w:r>
                <w:rPr>
                  <w:rFonts w:ascii="Times New Roman" w:cs="Times New Roman" w:eastAsia="Times New Roman" w:hAnsi="Times New Roman"/>
                  <w:sz w:val="17"/>
                  <w:szCs w:val="17"/>
                  <w:color w:val="0000EE"/>
                </w:rPr>
                <w:t xml:space="preserve"> to our Registration Statement on Form S-1/A (File No. 333-255158) filed on April 27, 2021).</w:t>
              </w:r>
            </w:hyperlink>
          </w:p>
        </w:tc>
        <w:tc>
          <w:tcPr>
            <w:tcW w:w="1880" w:type="dxa"/>
            <w:vAlign w:val="bottom"/>
            <w:tcBorders>
              <w:top w:val="single" w:sz="8" w:color="0000EE"/>
            </w:tcBorders>
            <w:gridSpan w:val="16"/>
          </w:tcPr>
          <w:p>
            <w:pPr>
              <w:spacing w:after="0"/>
              <w:rPr>
                <w:sz w:val="16"/>
                <w:szCs w:val="16"/>
                <w:color w:val="auto"/>
              </w:rPr>
            </w:pPr>
          </w:p>
        </w:tc>
        <w:tc>
          <w:tcPr>
            <w:tcW w:w="140" w:type="dxa"/>
            <w:vAlign w:val="bottom"/>
            <w:gridSpan w:val="3"/>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10.11#**</w:t>
            </w:r>
          </w:p>
        </w:tc>
        <w:tc>
          <w:tcPr>
            <w:tcW w:w="854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Employment Agreement between the Registrant and William Enright (Incorporated by reference to Exhibit 10.10 to</w:t>
              </w:r>
            </w:hyperlink>
          </w:p>
        </w:tc>
        <w:tc>
          <w:tcPr>
            <w:tcW w:w="220" w:type="dxa"/>
            <w:vAlign w:val="bottom"/>
            <w:gridSpan w:val="7"/>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our Registration 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10.12#**</w:t>
            </w:r>
          </w:p>
        </w:tc>
        <w:tc>
          <w:tcPr>
            <w:tcW w:w="85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Form of Employment Agreement between the Registrant and Georgy Egorov (Incorporated by reference to Exhibit 10.11 to</w:t>
              </w:r>
            </w:hyperlink>
          </w:p>
        </w:tc>
        <w:tc>
          <w:tcPr>
            <w:tcW w:w="260" w:type="dxa"/>
            <w:vAlign w:val="bottom"/>
            <w:gridSpan w:val="8"/>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our Registration Statement on Form S-1/A (File No. 333-255158) filed on April 27, 2021).</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10.13#**</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Form of Employment Agreement between the Registrant and Thomas G. Evans, MD (Incorporated by reference to Exhibit</w:t>
              </w:r>
            </w:hyperlink>
          </w:p>
        </w:tc>
      </w:tr>
      <w:tr>
        <w:trPr>
          <w:trHeight w:val="186"/>
        </w:trPr>
        <w:tc>
          <w:tcPr>
            <w:tcW w:w="1160" w:type="dxa"/>
            <w:vAlign w:val="bottom"/>
          </w:tcPr>
          <w:p>
            <w:pPr>
              <w:spacing w:after="0"/>
              <w:rPr>
                <w:sz w:val="16"/>
                <w:szCs w:val="16"/>
                <w:color w:val="auto"/>
              </w:rPr>
            </w:pPr>
          </w:p>
        </w:tc>
        <w:tc>
          <w:tcPr>
            <w:tcW w:w="8400" w:type="dxa"/>
            <w:vAlign w:val="bottom"/>
            <w:tcBorders>
              <w:top w:val="single" w:sz="8" w:color="0000EE"/>
            </w:tcBorders>
            <w:gridSpan w:val="15"/>
          </w:tcPr>
          <w:p>
            <w:pPr>
              <w:spacing w:after="0" w:line="185"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0000EE"/>
                </w:rPr>
                <w:t xml:space="preserve"> to our Registration Statement on Form S-1/A (File No. 333-255158) filed on April 27, 2021).</w:t>
              </w:r>
            </w:hyperlink>
          </w:p>
        </w:tc>
        <w:tc>
          <w:tcPr>
            <w:tcW w:w="360" w:type="dxa"/>
            <w:vAlign w:val="bottom"/>
            <w:gridSpan w:val="11"/>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10.14#**</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Form of Employment Agreement between the Registrant and Margaret Marshall, MD (Incorporated by reference to Exhibit</w:t>
              </w:r>
            </w:hyperlink>
          </w:p>
        </w:tc>
      </w:tr>
      <w:tr>
        <w:trPr>
          <w:trHeight w:val="186"/>
        </w:trPr>
        <w:tc>
          <w:tcPr>
            <w:tcW w:w="1160" w:type="dxa"/>
            <w:vAlign w:val="bottom"/>
          </w:tcPr>
          <w:p>
            <w:pPr>
              <w:spacing w:after="0"/>
              <w:rPr>
                <w:sz w:val="16"/>
                <w:szCs w:val="16"/>
                <w:color w:val="auto"/>
              </w:rPr>
            </w:pPr>
          </w:p>
        </w:tc>
        <w:tc>
          <w:tcPr>
            <w:tcW w:w="8460" w:type="dxa"/>
            <w:vAlign w:val="bottom"/>
            <w:tcBorders>
              <w:top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w:t>
              </w:r>
              <w:r>
                <w:rPr>
                  <w:rFonts w:ascii="Times New Roman" w:cs="Times New Roman" w:eastAsia="Times New Roman" w:hAnsi="Times New Roman"/>
                  <w:sz w:val="17"/>
                  <w:szCs w:val="17"/>
                  <w:color w:val="0000EE"/>
                </w:rPr>
                <w:t xml:space="preserve"> to our Registration Statement on Form S-1/A (File No. 333-255158) filed on April 27, 2021).</w:t>
              </w:r>
            </w:hyperlink>
          </w:p>
        </w:tc>
        <w:tc>
          <w:tcPr>
            <w:tcW w:w="300" w:type="dxa"/>
            <w:vAlign w:val="bottom"/>
            <w:gridSpan w:val="9"/>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10.15#**</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Form of Employment Agreement between the Registrant and Chris Ellis (Incorporated by reference to Exhibit 10.14 to our</w:t>
              </w:r>
            </w:hyperlink>
          </w:p>
        </w:tc>
      </w:tr>
      <w:tr>
        <w:trPr>
          <w:trHeight w:val="186"/>
        </w:trPr>
        <w:tc>
          <w:tcPr>
            <w:tcW w:w="1160" w:type="dxa"/>
            <w:vAlign w:val="bottom"/>
          </w:tcPr>
          <w:p>
            <w:pPr>
              <w:spacing w:after="0"/>
              <w:rPr>
                <w:sz w:val="16"/>
                <w:szCs w:val="16"/>
                <w:color w:val="auto"/>
              </w:rPr>
            </w:pPr>
          </w:p>
        </w:tc>
        <w:tc>
          <w:tcPr>
            <w:tcW w:w="5960" w:type="dxa"/>
            <w:vAlign w:val="bottom"/>
            <w:tcBorders>
              <w:top w:val="single" w:sz="8" w:color="0000EE"/>
              <w:bottom w:val="single" w:sz="8" w:color="0000EE"/>
            </w:tcBorders>
            <w:gridSpan w:val="5"/>
          </w:tcPr>
          <w:p>
            <w:pPr>
              <w:spacing w:after="0" w:line="185"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Registration Statement on Form S-1/A (File No. 333-255158) filed on April 27, 2021).</w:t>
              </w:r>
            </w:hyperlink>
          </w:p>
        </w:tc>
        <w:tc>
          <w:tcPr>
            <w:tcW w:w="2460" w:type="dxa"/>
            <w:vAlign w:val="bottom"/>
            <w:tcBorders>
              <w:top w:val="single" w:sz="8" w:color="0000EE"/>
            </w:tcBorders>
            <w:gridSpan w:val="11"/>
          </w:tcPr>
          <w:p>
            <w:pPr>
              <w:spacing w:after="0"/>
              <w:rPr>
                <w:sz w:val="16"/>
                <w:szCs w:val="16"/>
                <w:color w:val="auto"/>
              </w:rPr>
            </w:pPr>
          </w:p>
        </w:tc>
        <w:tc>
          <w:tcPr>
            <w:tcW w:w="340" w:type="dxa"/>
            <w:vAlign w:val="bottom"/>
            <w:gridSpan w:val="10"/>
          </w:tcPr>
          <w:p>
            <w:pPr>
              <w:spacing w:after="0"/>
              <w:rPr>
                <w:sz w:val="16"/>
                <w:szCs w:val="16"/>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10.16#**</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Form of Employment Agreement between the Registrant and Graham Griffiths (Incorporated by reference to Exhibit 10.15 to</w:t>
              </w:r>
            </w:hyperlink>
          </w:p>
        </w:tc>
      </w:tr>
      <w:tr>
        <w:trPr>
          <w:trHeight w:val="186"/>
        </w:trPr>
        <w:tc>
          <w:tcPr>
            <w:tcW w:w="1160" w:type="dxa"/>
            <w:vAlign w:val="bottom"/>
          </w:tcPr>
          <w:p>
            <w:pPr>
              <w:spacing w:after="0"/>
              <w:rPr>
                <w:sz w:val="16"/>
                <w:szCs w:val="16"/>
                <w:color w:val="auto"/>
              </w:rPr>
            </w:pPr>
          </w:p>
        </w:tc>
        <w:tc>
          <w:tcPr>
            <w:tcW w:w="8600" w:type="dxa"/>
            <w:vAlign w:val="bottom"/>
            <w:tcBorders>
              <w:top w:val="single" w:sz="8" w:color="0000EE"/>
            </w:tcBorders>
            <w:gridSpan w:val="22"/>
          </w:tcPr>
          <w:p>
            <w:pPr>
              <w:spacing w:after="0" w:line="185"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our Registration Statement on Form S-1/A (File No. 333-255158) filed on April 27, 2021).</w:t>
              </w:r>
            </w:hyperlink>
          </w:p>
        </w:tc>
        <w:tc>
          <w:tcPr>
            <w:tcW w:w="160" w:type="dxa"/>
            <w:vAlign w:val="bottom"/>
            <w:gridSpan w:val="4"/>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10.17</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Registration Rights Agreement, dated March 28, 2022, by and among the Registrant and Benjamin Eisler, as the</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Securityholder Agent (Incorporated by reference to Exhibit 10.1 to our Quarterly Report on Form 10-Q (File No. 001-40367)</w:t>
              </w:r>
            </w:hyperlink>
          </w:p>
        </w:tc>
      </w:tr>
      <w:tr>
        <w:trPr>
          <w:trHeight w:val="186"/>
        </w:trPr>
        <w:tc>
          <w:tcPr>
            <w:tcW w:w="1160" w:type="dxa"/>
            <w:vAlign w:val="bottom"/>
          </w:tcPr>
          <w:p>
            <w:pPr>
              <w:spacing w:after="0"/>
              <w:rPr>
                <w:sz w:val="16"/>
                <w:szCs w:val="16"/>
                <w:color w:val="auto"/>
              </w:rPr>
            </w:pPr>
          </w:p>
        </w:tc>
        <w:tc>
          <w:tcPr>
            <w:tcW w:w="8580" w:type="dxa"/>
            <w:vAlign w:val="bottom"/>
            <w:tcBorders>
              <w:top w:val="single" w:sz="8" w:color="0000EE"/>
            </w:tcBorders>
            <w:gridSpan w:val="21"/>
          </w:tcPr>
          <w:p>
            <w:pPr>
              <w:spacing w:after="0" w:line="185"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filed on May 11, 2022).</w:t>
              </w:r>
            </w:hyperlink>
          </w:p>
        </w:tc>
        <w:tc>
          <w:tcPr>
            <w:tcW w:w="180" w:type="dxa"/>
            <w:vAlign w:val="bottom"/>
            <w:gridSpan w:val="5"/>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10.18</w:t>
            </w:r>
          </w:p>
        </w:tc>
        <w:tc>
          <w:tcPr>
            <w:tcW w:w="82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Service Agreement with Gemma Brown, effective September 15, 2022 (Incorporated by reference to Exhibit 10.1 to our</w:t>
              </w:r>
            </w:hyperlink>
          </w:p>
        </w:tc>
        <w:tc>
          <w:tcPr>
            <w:tcW w:w="520" w:type="dxa"/>
            <w:vAlign w:val="bottom"/>
            <w:gridSpan w:val="14"/>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8760" w:type="dxa"/>
            <w:vAlign w:val="bottom"/>
            <w:gridSpan w:val="26"/>
          </w:tcPr>
          <w:p>
            <w:pPr>
              <w:spacing w:after="0" w:line="185"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Quarterly Report on Form 10-Q (File No. 001-40367) filed on November 10, 2022).</w:t>
              </w:r>
            </w:hyperlink>
          </w:p>
        </w:tc>
      </w:tr>
      <w:tr>
        <w:trPr>
          <w:trHeight w:val="20"/>
        </w:trPr>
        <w:tc>
          <w:tcPr>
            <w:tcW w:w="1160" w:type="dxa"/>
            <w:vAlign w:val="bottom"/>
          </w:tcPr>
          <w:p>
            <w:pPr>
              <w:spacing w:after="0" w:line="20" w:lineRule="exact"/>
              <w:rPr>
                <w:sz w:val="1"/>
                <w:szCs w:val="1"/>
                <w:color w:val="auto"/>
              </w:rPr>
            </w:pPr>
          </w:p>
        </w:tc>
        <w:tc>
          <w:tcPr>
            <w:tcW w:w="5760" w:type="dxa"/>
            <w:vAlign w:val="bottom"/>
            <w:gridSpan w:val="4"/>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5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10.19</w:t>
            </w:r>
          </w:p>
        </w:tc>
        <w:tc>
          <w:tcPr>
            <w:tcW w:w="8760" w:type="dxa"/>
            <w:vAlign w:val="bottom"/>
            <w:gridSpan w:val="26"/>
          </w:tcPr>
          <w:p>
            <w:pPr>
              <w:spacing w:after="0"/>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Form of Indemnification Agreement between the Registrant and each of its directors and officers (Incorporated by reference to</w:t>
              </w:r>
            </w:hyperlink>
          </w:p>
        </w:tc>
      </w:tr>
      <w:tr>
        <w:trPr>
          <w:trHeight w:val="186"/>
        </w:trPr>
        <w:tc>
          <w:tcPr>
            <w:tcW w:w="1160" w:type="dxa"/>
            <w:vAlign w:val="bottom"/>
          </w:tcPr>
          <w:p>
            <w:pPr>
              <w:spacing w:after="0"/>
              <w:rPr>
                <w:sz w:val="16"/>
                <w:szCs w:val="16"/>
                <w:color w:val="auto"/>
              </w:rPr>
            </w:pPr>
          </w:p>
        </w:tc>
        <w:tc>
          <w:tcPr>
            <w:tcW w:w="8680" w:type="dxa"/>
            <w:vAlign w:val="bottom"/>
            <w:tcBorders>
              <w:top w:val="single" w:sz="8" w:color="0000EE"/>
            </w:tcBorders>
            <w:gridSpan w:val="25"/>
          </w:tcPr>
          <w:p>
            <w:pPr>
              <w:spacing w:after="0" w:line="185"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Exhibit 10.2 to our Quarterly Report on Form 10-Q (File No. 001-40367) filed on November 10, 2022).</w:t>
              </w:r>
            </w:hyperlink>
          </w:p>
        </w:tc>
        <w:tc>
          <w:tcPr>
            <w:tcW w:w="80" w:type="dxa"/>
            <w:vAlign w:val="bottom"/>
          </w:tcPr>
          <w:p>
            <w:pPr>
              <w:spacing w:after="0"/>
              <w:rPr>
                <w:sz w:val="16"/>
                <w:szCs w:val="16"/>
                <w:color w:val="auto"/>
              </w:rPr>
            </w:pPr>
          </w:p>
        </w:tc>
      </w:tr>
      <w:tr>
        <w:trPr>
          <w:trHeight w:val="841"/>
        </w:trPr>
        <w:tc>
          <w:tcPr>
            <w:tcW w:w="1160" w:type="dxa"/>
            <w:vAlign w:val="bottom"/>
          </w:tcPr>
          <w:p>
            <w:pPr>
              <w:spacing w:after="0"/>
              <w:rPr>
                <w:sz w:val="24"/>
                <w:szCs w:val="24"/>
                <w:color w:val="auto"/>
              </w:rPr>
            </w:pPr>
          </w:p>
        </w:tc>
        <w:tc>
          <w:tcPr>
            <w:tcW w:w="4340" w:type="dxa"/>
            <w:vAlign w:val="bottom"/>
            <w:tcBorders>
              <w:top w:val="single" w:sz="8" w:color="0000EE"/>
            </w:tcBorders>
            <w:gridSpan w:val="3"/>
          </w:tcPr>
          <w:p>
            <w:pPr>
              <w:ind w:left="3680"/>
              <w:spacing w:after="0"/>
              <w:rPr>
                <w:sz w:val="20"/>
                <w:szCs w:val="20"/>
                <w:color w:val="auto"/>
              </w:rPr>
            </w:pPr>
            <w:r>
              <w:rPr>
                <w:rFonts w:ascii="Times New Roman" w:cs="Times New Roman" w:eastAsia="Times New Roman" w:hAnsi="Times New Roman"/>
                <w:sz w:val="17"/>
                <w:szCs w:val="17"/>
                <w:color w:val="auto"/>
              </w:rPr>
              <w:t>146</w:t>
            </w:r>
          </w:p>
        </w:tc>
        <w:tc>
          <w:tcPr>
            <w:tcW w:w="1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9"/>
        </w:trPr>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8560" w:type="dxa"/>
            <w:vAlign w:val="bottom"/>
            <w:gridSpan w:val="13"/>
          </w:tcPr>
          <w:p>
            <w:pPr>
              <w:spacing w:after="0"/>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Lease Agreement dated September 3, 2021 by and among The Harwell Science and Innovation Campus General Partner</w:t>
              </w:r>
            </w:hyperlink>
          </w:p>
        </w:tc>
      </w:tr>
      <w:tr>
        <w:trPr>
          <w:trHeight w:val="186"/>
        </w:trPr>
        <w:tc>
          <w:tcPr>
            <w:tcW w:w="1060" w:type="dxa"/>
            <w:vAlign w:val="bottom"/>
          </w:tcPr>
          <w:p>
            <w:pPr>
              <w:spacing w:after="0"/>
              <w:rPr>
                <w:sz w:val="16"/>
                <w:szCs w:val="16"/>
                <w:color w:val="auto"/>
              </w:rPr>
            </w:pPr>
          </w:p>
        </w:tc>
        <w:tc>
          <w:tcPr>
            <w:tcW w:w="8200" w:type="dxa"/>
            <w:vAlign w:val="bottom"/>
            <w:tcBorders>
              <w:top w:val="single" w:sz="8" w:color="0000EE"/>
              <w:bottom w:val="single" w:sz="8" w:color="0000EE"/>
            </w:tcBorders>
            <w:gridSpan w:val="8"/>
          </w:tcPr>
          <w:p>
            <w:pPr>
              <w:spacing w:after="0" w:line="185"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Limited, The Harwell Science and Innovation Campus Nominee Limited, The Harwell Science and Innovation Campus</w:t>
              </w:r>
            </w:hyperlink>
          </w:p>
        </w:tc>
        <w:tc>
          <w:tcPr>
            <w:tcW w:w="40" w:type="dxa"/>
            <w:vAlign w:val="bottom"/>
            <w:tcBorders>
              <w:top w:val="single" w:sz="8" w:color="0000EE"/>
            </w:tcBorders>
          </w:tcPr>
          <w:p>
            <w:pPr>
              <w:spacing w:after="0"/>
              <w:rPr>
                <w:sz w:val="16"/>
                <w:szCs w:val="16"/>
                <w:color w:val="auto"/>
              </w:rPr>
            </w:pPr>
          </w:p>
        </w:tc>
        <w:tc>
          <w:tcPr>
            <w:tcW w:w="320" w:type="dxa"/>
            <w:vAlign w:val="bottom"/>
            <w:gridSpan w:val="4"/>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8560" w:type="dxa"/>
            <w:vAlign w:val="bottom"/>
            <w:tcBorders>
              <w:bottom w:val="single" w:sz="8" w:color="0000EE"/>
            </w:tcBorders>
            <w:gridSpan w:val="13"/>
          </w:tcPr>
          <w:p>
            <w:pPr>
              <w:spacing w:after="0" w:line="185"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Limited Partnership and Vaccitech (UK) Limited (Incorporated by reference to Exhibit 10.1 to our Quarterly Report on Form</w:t>
              </w:r>
            </w:hyperlink>
          </w:p>
        </w:tc>
      </w:tr>
      <w:tr>
        <w:trPr>
          <w:trHeight w:val="186"/>
        </w:trPr>
        <w:tc>
          <w:tcPr>
            <w:tcW w:w="1060" w:type="dxa"/>
            <w:vAlign w:val="bottom"/>
          </w:tcPr>
          <w:p>
            <w:pPr>
              <w:spacing w:after="0"/>
              <w:rPr>
                <w:sz w:val="16"/>
                <w:szCs w:val="16"/>
                <w:color w:val="auto"/>
              </w:rPr>
            </w:pPr>
          </w:p>
        </w:tc>
        <w:tc>
          <w:tcPr>
            <w:tcW w:w="3940" w:type="dxa"/>
            <w:vAlign w:val="bottom"/>
            <w:tcBorders>
              <w:bottom w:val="single" w:sz="8" w:color="0000EE"/>
            </w:tcBorders>
            <w:gridSpan w:val="2"/>
          </w:tcPr>
          <w:p>
            <w:pPr>
              <w:spacing w:after="0" w:line="185"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10-Q (File No. 001-40367) filed on November 12, 2021).</w:t>
              </w:r>
            </w:hyperlink>
          </w:p>
        </w:tc>
        <w:tc>
          <w:tcPr>
            <w:tcW w:w="4620" w:type="dxa"/>
            <w:vAlign w:val="bottom"/>
            <w:gridSpan w:val="11"/>
          </w:tcPr>
          <w:p>
            <w:pPr>
              <w:spacing w:after="0"/>
              <w:rPr>
                <w:sz w:val="16"/>
                <w:szCs w:val="16"/>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Subsidiaries of the Registrant.</w:t>
            </w: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 firm.</w:t>
            </w: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61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Consent of BDO LLP, independent registered public accounting firm.</w:t>
            </w:r>
          </w:p>
        </w:tc>
        <w:tc>
          <w:tcPr>
            <w:tcW w:w="2460" w:type="dxa"/>
            <w:vAlign w:val="bottom"/>
            <w:gridSpan w:val="6"/>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4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 to this Annual Report).</w:t>
            </w:r>
          </w:p>
        </w:tc>
        <w:tc>
          <w:tcPr>
            <w:tcW w:w="3720" w:type="dxa"/>
            <w:vAlign w:val="bottom"/>
            <w:gridSpan w:val="8"/>
          </w:tcPr>
          <w:p>
            <w:pPr>
              <w:spacing w:after="0"/>
              <w:rPr>
                <w:sz w:val="24"/>
                <w:szCs w:val="24"/>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Pursuant to Rules 13a-14(a) and 15d-14(a) under the Securities Exchange Act of</w:t>
            </w:r>
          </w:p>
        </w:tc>
        <w:tc>
          <w:tcPr>
            <w:tcW w:w="20" w:type="dxa"/>
            <w:vAlign w:val="bottom"/>
          </w:tcPr>
          <w:p>
            <w:pPr>
              <w:spacing w:after="0"/>
              <w:rPr>
                <w:sz w:val="24"/>
                <w:szCs w:val="24"/>
                <w:color w:val="auto"/>
              </w:rPr>
            </w:pPr>
          </w:p>
        </w:tc>
      </w:tr>
      <w:tr>
        <w:trPr>
          <w:trHeight w:val="186"/>
        </w:trPr>
        <w:tc>
          <w:tcPr>
            <w:tcW w:w="1060" w:type="dxa"/>
            <w:vAlign w:val="bottom"/>
          </w:tcPr>
          <w:p>
            <w:pPr>
              <w:spacing w:after="0"/>
              <w:rPr>
                <w:sz w:val="16"/>
                <w:szCs w:val="16"/>
                <w:color w:val="auto"/>
              </w:rPr>
            </w:pPr>
          </w:p>
        </w:tc>
        <w:tc>
          <w:tcPr>
            <w:tcW w:w="536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rPr>
              <w:t>1934, as Adopted Pursuant to Section 302 of the Sarbanes-Oxley Act of 2002.</w:t>
            </w:r>
          </w:p>
        </w:tc>
        <w:tc>
          <w:tcPr>
            <w:tcW w:w="3200" w:type="dxa"/>
            <w:vAlign w:val="bottom"/>
            <w:gridSpan w:val="7"/>
          </w:tcPr>
          <w:p>
            <w:pPr>
              <w:spacing w:after="0"/>
              <w:rPr>
                <w:sz w:val="16"/>
                <w:szCs w:val="16"/>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8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Certification of Principal Financial Officer Pursuant to Rules 13a-14(a) and 15d-14(a) under the Securities Exchange Act of</w:t>
            </w:r>
          </w:p>
        </w:tc>
        <w:tc>
          <w:tcPr>
            <w:tcW w:w="60" w:type="dxa"/>
            <w:vAlign w:val="bottom"/>
            <w:gridSpan w:val="2"/>
          </w:tcPr>
          <w:p>
            <w:pPr>
              <w:spacing w:after="0"/>
              <w:rPr>
                <w:sz w:val="24"/>
                <w:szCs w:val="24"/>
                <w:color w:val="auto"/>
              </w:rPr>
            </w:pPr>
          </w:p>
        </w:tc>
      </w:tr>
      <w:tr>
        <w:trPr>
          <w:trHeight w:val="186"/>
        </w:trPr>
        <w:tc>
          <w:tcPr>
            <w:tcW w:w="1060" w:type="dxa"/>
            <w:vAlign w:val="bottom"/>
          </w:tcPr>
          <w:p>
            <w:pPr>
              <w:spacing w:after="0"/>
              <w:rPr>
                <w:sz w:val="16"/>
                <w:szCs w:val="16"/>
                <w:color w:val="auto"/>
              </w:rPr>
            </w:pPr>
          </w:p>
        </w:tc>
        <w:tc>
          <w:tcPr>
            <w:tcW w:w="536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rPr>
              <w:t>1934, as Adopted Pursuant to Section 302 of the Sarbanes-Oxley Act of 2002.</w:t>
            </w:r>
          </w:p>
        </w:tc>
        <w:tc>
          <w:tcPr>
            <w:tcW w:w="3200" w:type="dxa"/>
            <w:vAlign w:val="bottom"/>
            <w:gridSpan w:val="7"/>
          </w:tcPr>
          <w:p>
            <w:pPr>
              <w:spacing w:after="0"/>
              <w:rPr>
                <w:sz w:val="16"/>
                <w:szCs w:val="16"/>
                <w:color w:val="auto"/>
              </w:rPr>
            </w:pPr>
          </w:p>
        </w:tc>
      </w:tr>
      <w:tr>
        <w:trPr>
          <w:trHeight w:val="39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8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and Principal Financial Officer Pursuant to 18 U.S.C. Section 1350, as Adopted</w:t>
            </w:r>
          </w:p>
        </w:tc>
        <w:tc>
          <w:tcPr>
            <w:tcW w:w="80" w:type="dxa"/>
            <w:vAlign w:val="bottom"/>
            <w:gridSpan w:val="3"/>
          </w:tcPr>
          <w:p>
            <w:pPr>
              <w:spacing w:after="0"/>
              <w:rPr>
                <w:sz w:val="24"/>
                <w:szCs w:val="24"/>
                <w:color w:val="auto"/>
              </w:rPr>
            </w:pPr>
          </w:p>
        </w:tc>
      </w:tr>
      <w:tr>
        <w:trPr>
          <w:trHeight w:val="186"/>
        </w:trPr>
        <w:tc>
          <w:tcPr>
            <w:tcW w:w="1060" w:type="dxa"/>
            <w:vAlign w:val="bottom"/>
          </w:tcPr>
          <w:p>
            <w:pPr>
              <w:spacing w:after="0"/>
              <w:rPr>
                <w:sz w:val="16"/>
                <w:szCs w:val="16"/>
                <w:color w:val="auto"/>
              </w:rPr>
            </w:pPr>
          </w:p>
        </w:tc>
        <w:tc>
          <w:tcPr>
            <w:tcW w:w="8560" w:type="dxa"/>
            <w:vAlign w:val="bottom"/>
            <w:gridSpan w:val="13"/>
          </w:tcPr>
          <w:p>
            <w:pPr>
              <w:spacing w:after="0" w:line="185" w:lineRule="exact"/>
              <w:rPr>
                <w:sz w:val="20"/>
                <w:szCs w:val="20"/>
                <w:color w:val="auto"/>
              </w:rPr>
            </w:pPr>
            <w:r>
              <w:rPr>
                <w:rFonts w:ascii="Times New Roman" w:cs="Times New Roman" w:eastAsia="Times New Roman" w:hAnsi="Times New Roman"/>
                <w:sz w:val="17"/>
                <w:szCs w:val="17"/>
                <w:color w:val="0000EE"/>
              </w:rPr>
              <w:t>Pursuant to Section 906 of the Sarbanes-Oxley Act of 2002.</w:t>
            </w:r>
          </w:p>
        </w:tc>
      </w:tr>
      <w:tr>
        <w:trPr>
          <w:trHeight w:val="430"/>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101.INS*</w:t>
            </w:r>
          </w:p>
        </w:tc>
        <w:tc>
          <w:tcPr>
            <w:tcW w:w="4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4460" w:type="dxa"/>
            <w:vAlign w:val="bottom"/>
            <w:gridSpan w:val="10"/>
          </w:tcPr>
          <w:p>
            <w:pPr>
              <w:spacing w:after="0"/>
              <w:rPr>
                <w:sz w:val="24"/>
                <w:szCs w:val="24"/>
                <w:color w:val="auto"/>
              </w:rPr>
            </w:pP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101.SCH*</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w w:val="99"/>
              </w:rPr>
              <w:t>101.CAL*</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101.DEF*</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w w:val="99"/>
              </w:rPr>
              <w:t>101.LAB*</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w w:val="97"/>
              </w:rPr>
              <w:t>101.PRE*</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411"/>
        </w:trPr>
        <w:tc>
          <w:tcPr>
            <w:tcW w:w="106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104*</w:t>
            </w: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(the cover page XBRL tags are embedded within the iXBRL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1574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69" w:lineRule="exact"/>
        <w:rPr>
          <w:sz w:val="20"/>
          <w:szCs w:val="20"/>
          <w:color w:val="auto"/>
        </w:rPr>
      </w:pPr>
    </w:p>
    <w:p>
      <w:pPr>
        <w:ind w:left="320" w:hanging="316"/>
        <w:spacing w:after="0"/>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or furnished herewith.</w:t>
      </w:r>
    </w:p>
    <w:p>
      <w:pPr>
        <w:spacing w:after="0" w:line="27" w:lineRule="exact"/>
        <w:rPr>
          <w:sz w:val="20"/>
          <w:szCs w:val="20"/>
          <w:color w:val="auto"/>
        </w:rPr>
      </w:pPr>
    </w:p>
    <w:p>
      <w:pPr>
        <w:ind w:left="320" w:right="440" w:hanging="316"/>
        <w:spacing w:after="0" w:line="252" w:lineRule="auto"/>
        <w:tabs>
          <w:tab w:leader="none" w:pos="3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omitted because they are not material and the Registrant customarily and actually treats that information as private or confidential.</w:t>
      </w:r>
    </w:p>
    <w:p>
      <w:pPr>
        <w:spacing w:after="0" w:line="1" w:lineRule="exact"/>
        <w:rPr>
          <w:sz w:val="20"/>
          <w:szCs w:val="20"/>
          <w:color w:val="auto"/>
        </w:rPr>
      </w:pPr>
    </w:p>
    <w:p>
      <w:pPr>
        <w:ind w:left="320" w:hanging="316"/>
        <w:spacing w:after="0"/>
        <w:tabs>
          <w:tab w:leader="none" w:pos="3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w:t>
      </w:r>
    </w:p>
    <w:p>
      <w:pPr>
        <w:spacing w:after="0" w:line="10" w:lineRule="exact"/>
        <w:rPr>
          <w:sz w:val="20"/>
          <w:szCs w:val="20"/>
          <w:color w:val="auto"/>
        </w:rPr>
      </w:pPr>
    </w:p>
    <w:p>
      <w:pPr>
        <w:ind w:left="320" w:hanging="316"/>
        <w:spacing w:after="0" w:line="252" w:lineRule="auto"/>
        <w:tabs>
          <w:tab w:leader="none" w:pos="3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to these agreements have been omitted pursuant to Item 601(b)(2) of Regulation S-K. The Registrant will furnish copies of any of the exhibits and schedules to the Securities and Exchange Commission upon request.</w:t>
      </w:r>
    </w:p>
    <w:p>
      <w:pPr>
        <w:spacing w:after="0" w:line="1" w:lineRule="exact"/>
        <w:rPr>
          <w:sz w:val="20"/>
          <w:szCs w:val="20"/>
          <w:color w:val="auto"/>
        </w:rPr>
      </w:pPr>
    </w:p>
    <w:p>
      <w:pPr>
        <w:jc w:val="both"/>
        <w:ind w:firstLine="4"/>
        <w:spacing w:after="0" w:line="258" w:lineRule="auto"/>
        <w:tabs>
          <w:tab w:leader="none" w:pos="14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Exhibits 32.1 and 32.2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7"/>
          <w:szCs w:val="17"/>
          <w:color w:val="auto"/>
        </w:rPr>
        <w:t>March 24, 2023</w:t>
      </w:r>
      <w:r>
        <w:rPr>
          <w:sz w:val="20"/>
          <w:szCs w:val="20"/>
          <w:color w:val="auto"/>
        </w:rPr>
        <w:tab/>
      </w:r>
      <w:r>
        <w:rPr>
          <w:rFonts w:ascii="Times New Roman" w:cs="Times New Roman" w:eastAsia="Times New Roman" w:hAnsi="Times New Roman"/>
          <w:sz w:val="16"/>
          <w:szCs w:val="16"/>
          <w:color w:val="auto"/>
        </w:rPr>
        <w:t>VACCITECH PLC</w:t>
      </w:r>
    </w:p>
    <w:p>
      <w:pPr>
        <w:spacing w:after="0" w:line="216" w:lineRule="exact"/>
        <w:rPr>
          <w:sz w:val="20"/>
          <w:szCs w:val="20"/>
          <w:color w:val="auto"/>
        </w:rPr>
      </w:pPr>
    </w:p>
    <w:p>
      <w:pPr>
        <w:ind w:left="4660"/>
        <w:spacing w:after="0"/>
        <w:tabs>
          <w:tab w:leader="none" w:pos="6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17145</wp:posOffset>
            </wp:positionV>
            <wp:extent cx="31654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9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7"/>
          <w:szCs w:val="17"/>
          <w:color w:val="auto"/>
        </w:rPr>
        <w:t>William Enright</w:t>
      </w:r>
    </w:p>
    <w:p>
      <w:pPr>
        <w:spacing w:after="0" w:line="27"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William Enright and Gemma Brown,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Signature</w:t>
            </w:r>
          </w:p>
        </w:tc>
        <w:tc>
          <w:tcPr>
            <w:tcW w:w="180" w:type="dxa"/>
            <w:vAlign w:val="bottom"/>
          </w:tcPr>
          <w:p>
            <w:pPr>
              <w:spacing w:after="0"/>
              <w:rPr>
                <w:sz w:val="19"/>
                <w:szCs w:val="19"/>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Title</w:t>
            </w:r>
          </w:p>
        </w:tc>
        <w:tc>
          <w:tcPr>
            <w:tcW w:w="180" w:type="dxa"/>
            <w:vAlign w:val="bottom"/>
          </w:tcPr>
          <w:p>
            <w:pPr>
              <w:spacing w:after="0"/>
              <w:rPr>
                <w:sz w:val="19"/>
                <w:szCs w:val="19"/>
                <w:color w:val="auto"/>
              </w:rPr>
            </w:pPr>
          </w:p>
        </w:tc>
        <w:tc>
          <w:tcPr>
            <w:tcW w:w="26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Date</w:t>
            </w:r>
          </w:p>
        </w:tc>
      </w:tr>
      <w:tr>
        <w:trPr>
          <w:trHeight w:val="40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WILLIAM ENRIGHT</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William Enright</w:t>
            </w:r>
          </w:p>
        </w:tc>
        <w:tc>
          <w:tcPr>
            <w:tcW w:w="18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(Principal Executive Officer)</w:t>
            </w: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GEMMA BROWN</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Gemma Brown</w:t>
            </w:r>
          </w:p>
        </w:tc>
        <w:tc>
          <w:tcPr>
            <w:tcW w:w="18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ROBIN WRIGHT</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Chairman and 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Robin Wright</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ALEX HAMMACHER</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Alex Hammacher</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PIERRE A. MORGON</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Pierre A. Morgon</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ANNE M. PHILLIPS</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Anne M. Phillips</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KAREN T. DAWES</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Karen T. Dawes</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4"/>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JOSEPH C. F. SCHEEREN</w:t>
            </w: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24, 2023</w:t>
            </w:r>
          </w:p>
        </w:tc>
      </w:tr>
      <w:tr>
        <w:trPr>
          <w:trHeight w:val="215"/>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Joseph C. F. Scheeren</w:t>
            </w: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5"/>
        </w:trPr>
        <w:tc>
          <w:tcPr>
            <w:tcW w:w="93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00" w:type="dxa"/>
            <w:vAlign w:val="bottom"/>
          </w:tcPr>
          <w:p>
            <w:pPr>
              <w:spacing w:after="0"/>
              <w:rPr>
                <w:sz w:val="17"/>
                <w:szCs w:val="17"/>
                <w:color w:val="auto"/>
              </w:rPr>
            </w:pPr>
          </w:p>
        </w:tc>
      </w:tr>
      <w:tr>
        <w:trPr>
          <w:trHeight w:val="739"/>
        </w:trPr>
        <w:tc>
          <w:tcPr>
            <w:tcW w:w="12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600" w:type="dxa"/>
            <w:vAlign w:val="bottom"/>
          </w:tcPr>
          <w:p>
            <w:pPr>
              <w:spacing w:after="0"/>
              <w:rPr>
                <w:sz w:val="24"/>
                <w:szCs w:val="24"/>
                <w:color w:val="auto"/>
              </w:rPr>
            </w:pPr>
          </w:p>
        </w:tc>
      </w:tr>
      <w:tr>
        <w:trPr>
          <w:trHeight w:val="622"/>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67"/>
        </w:trPr>
        <w:tc>
          <w:tcPr>
            <w:tcW w:w="9320" w:type="dxa"/>
            <w:vAlign w:val="bottom"/>
            <w:gridSpan w:val="9"/>
          </w:tcPr>
          <w:p>
            <w:pPr>
              <w:spacing w:after="0" w:line="167"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PricewaterhouseCoopers LLP </w:t>
            </w:r>
            <w:r>
              <w:rPr>
                <w:rFonts w:ascii="Times New Roman" w:cs="Times New Roman" w:eastAsia="Times New Roman" w:hAnsi="Times New Roman"/>
                <w:sz w:val="17"/>
                <w:szCs w:val="17"/>
                <w:color w:val="000000"/>
              </w:rPr>
              <w:t>(PCAOB ID 876)</w:t>
            </w:r>
          </w:p>
        </w:tc>
        <w:tc>
          <w:tcPr>
            <w:tcW w:w="600" w:type="dxa"/>
            <w:vAlign w:val="bottom"/>
          </w:tcPr>
          <w:p>
            <w:pPr>
              <w:spacing w:after="0"/>
              <w:rPr>
                <w:sz w:val="14"/>
                <w:szCs w:val="14"/>
                <w:color w:val="auto"/>
              </w:rPr>
            </w:pPr>
          </w:p>
        </w:tc>
      </w:tr>
      <w:tr>
        <w:trPr>
          <w:trHeight w:val="20"/>
        </w:trPr>
        <w:tc>
          <w:tcPr>
            <w:tcW w:w="20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93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(BDO LLP: London, United Kingdom: PCAOB ID # 1295)</w:t>
            </w:r>
          </w:p>
        </w:tc>
        <w:tc>
          <w:tcPr>
            <w:tcW w:w="600" w:type="dxa"/>
            <w:vAlign w:val="bottom"/>
          </w:tcPr>
          <w:p>
            <w:pPr>
              <w:spacing w:after="0"/>
              <w:rPr>
                <w:sz w:val="17"/>
                <w:szCs w:val="17"/>
                <w:color w:val="auto"/>
              </w:rPr>
            </w:pPr>
          </w:p>
        </w:tc>
      </w:tr>
      <w:tr>
        <w:trPr>
          <w:trHeight w:val="198"/>
        </w:trPr>
        <w:tc>
          <w:tcPr>
            <w:tcW w:w="20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Consolidated Balance Sheets</w:t>
            </w:r>
          </w:p>
        </w:tc>
        <w:tc>
          <w:tcPr>
            <w:tcW w:w="2020" w:type="dxa"/>
            <w:vAlign w:val="bottom"/>
            <w:tcBorders>
              <w:top w:val="single" w:sz="8" w:color="0000EE"/>
            </w:tcBorders>
            <w:gridSpan w:val="3"/>
          </w:tcPr>
          <w:p>
            <w:pPr>
              <w:spacing w:after="0"/>
              <w:rPr>
                <w:sz w:val="17"/>
                <w:szCs w:val="17"/>
                <w:color w:val="auto"/>
              </w:rPr>
            </w:pPr>
          </w:p>
        </w:tc>
        <w:tc>
          <w:tcPr>
            <w:tcW w:w="5300" w:type="dxa"/>
            <w:vAlign w:val="bottom"/>
            <w:gridSpan w:val="4"/>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r>
      <w:tr>
        <w:trPr>
          <w:trHeight w:val="198"/>
        </w:trPr>
        <w:tc>
          <w:tcPr>
            <w:tcW w:w="4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Consolidated Statements of Operations and Comprehensive Loss</w:t>
            </w:r>
          </w:p>
        </w:tc>
        <w:tc>
          <w:tcPr>
            <w:tcW w:w="4860" w:type="dxa"/>
            <w:vAlign w:val="bottom"/>
            <w:gridSpan w:val="3"/>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r>
      <w:tr>
        <w:trPr>
          <w:trHeight w:val="198"/>
        </w:trPr>
        <w:tc>
          <w:tcPr>
            <w:tcW w:w="7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Consolidated Statements of Changes in Redeemable Convertible Preferred Shares and Shareholders’ Equity</w:t>
            </w:r>
          </w:p>
        </w:tc>
        <w:tc>
          <w:tcPr>
            <w:tcW w:w="19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F-3</w:t>
            </w:r>
          </w:p>
        </w:tc>
      </w:tr>
      <w:tr>
        <w:trPr>
          <w:trHeight w:val="198"/>
        </w:trPr>
        <w:tc>
          <w:tcPr>
            <w:tcW w:w="2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6580" w:type="dxa"/>
            <w:vAlign w:val="bottom"/>
            <w:gridSpan w:val="6"/>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w:t>
            </w:r>
          </w:p>
        </w:tc>
      </w:tr>
      <w:tr>
        <w:trPr>
          <w:trHeight w:val="198"/>
        </w:trPr>
        <w:tc>
          <w:tcPr>
            <w:tcW w:w="93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r>
      <w:tr>
        <w:trPr>
          <w:trHeight w:val="1181"/>
        </w:trPr>
        <w:tc>
          <w:tcPr>
            <w:tcW w:w="122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4"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Vaccitech plc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Vaccitech plc and its subsidiaries (the “Company’) as of December 31, 2022, and the related consolidated statement of operations and comprehensive loss, of changes in redeemable convertible preferred shares and shareholders’ equity,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Reading, United Kingdom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734695</wp:posOffset>
            </wp:positionV>
            <wp:extent cx="630682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Vaccitech plc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Oxford, United Kingdom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Vaccitech plc (the “Company”) as of December 31, 2021, the related consolidated statements of operations and comprehensive loss, changes in redeemable convertible preferred shares and shareholders’ equity (deficit), and cash flows for the year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ended December 31, 2021,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BDO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from 2017 through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734695</wp:posOffset>
            </wp:positionV>
            <wp:extent cx="630682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194,385</w:t>
            </w:r>
          </w:p>
        </w:tc>
        <w:tc>
          <w:tcPr>
            <w:tcW w:w="34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Accounts receivable – related parties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Research and development incentives receivable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8,268</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6,462</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213,041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226,765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28,269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 of use assets, net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270,205</w:t>
            </w:r>
          </w:p>
        </w:tc>
        <w:tc>
          <w:tcPr>
            <w:tcW w:w="2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280,715</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3,748</w:t>
            </w:r>
          </w:p>
        </w:tc>
        <w:tc>
          <w:tcPr>
            <w:tcW w:w="34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Deferred revenue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Operating lease liability - current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Debt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Deferred tax liability, net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3,746</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27,004</w:t>
            </w:r>
          </w:p>
        </w:tc>
        <w:tc>
          <w:tcPr>
            <w:tcW w:w="22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Commitments and contingencies (Note 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Ordinary shares, £0.000025 nominal value; 37,683,531 shares authorized, issued and outstanding (December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31, 2021: authorized, issued and outstanding: 37,188,730)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Deferred A shares, £1 nominal value; 63,443 shares authorized, issued and outstanding (December 31, 2021: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authorized, issued and outstanding: 63,443)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Deferred B shares, £0.01 nominal value; 570,987 shares authorized, issued and outstanding (December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2021: authorized, issued and outstanding: 570,987)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Deferred C shares, £0.000007 nominal value, 27,828,231 shares authorized, issued and outstanding</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(December 31, 2021: authorized, issued and outstanding: 27,828,231)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379,504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369,103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Accumulated deficit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(103,243)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Accumulated other comprehensive loss – foreign currency translation adjustments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(33,460)</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(8,488)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shareholders’ equity attributable to Vaccitech plc shareholders’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242,896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Noncontrolling interest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243,201</w:t>
            </w:r>
          </w:p>
        </w:tc>
        <w:tc>
          <w:tcPr>
            <w:tcW w:w="22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252,562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270,205</w:t>
            </w:r>
          </w:p>
        </w:tc>
        <w:tc>
          <w:tcPr>
            <w:tcW w:w="220" w:type="dxa"/>
            <w:vAlign w:val="bottom"/>
            <w:gridSpan w:val="2"/>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280,715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6"/>
        <w:spacing w:after="0" w:line="237" w:lineRule="auto"/>
        <w:tabs>
          <w:tab w:leader="none" w:pos="12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Indicates amount less than one thousand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both"/>
        <w:ind w:left="1780" w:right="1720" w:hanging="60"/>
        <w:spacing w:after="0" w:line="264" w:lineRule="auto"/>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 (IN THOUSANDS, EXCEPT NUMBER OF SHARES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 xml:space="preserve">License revenue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grants and contracts</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7"/>
                <w:szCs w:val="17"/>
                <w:color w:val="auto"/>
              </w:rPr>
              <w:t>Total revenue</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44,703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48,744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Change in fair value of derivatives embedded in convertible loan notes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Unrealized foreign exchange gain on convertible loan notes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Loss on extinguishment of convertible loan notes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Interest income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expense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income, net</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other income/(expense)</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Profit/(loss) before income tax</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Tax benefit</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income/(loss)</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income/(loss) attributable to Vaccitech plc shareholders</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ordinary shares outstanding, basic</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37,248,126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25,894,375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Weighted-average ordinary shares outstanding, diluted</w:t>
            </w: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38,169,307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25,894,375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income/(loss) per share attributable to ordinary shareholders, basic</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Net income/(loss) per share attributable to ordinary shareholders, diluted</w:t>
            </w:r>
          </w:p>
        </w:tc>
        <w:tc>
          <w:tcPr>
            <w:tcW w:w="1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0.14</w:t>
            </w:r>
          </w:p>
        </w:tc>
        <w:tc>
          <w:tcPr>
            <w:tcW w:w="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income/(loss)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 foreign currency translation adjustments</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198"/>
        </w:trPr>
        <w:tc>
          <w:tcPr>
            <w:tcW w:w="6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 loss attributable to Vaccitech plc shareholders</w:t>
            </w:r>
          </w:p>
        </w:tc>
        <w:tc>
          <w:tcPr>
            <w:tcW w:w="1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(19,630)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980" w:right="640" w:hanging="1976"/>
        <w:spacing w:after="0" w:line="411" w:lineRule="auto"/>
        <w:tabs>
          <w:tab w:leader="none" w:pos="118"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license revenue from related parties for the year ended December 31, 2022 totaling $43.7 million (December 31, 2021: $nil). The accompanying notes are an integral part of these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4" w:name="page155"/>
    <w:bookmarkEnd w:id="154"/>
    <w:p>
      <w:pPr>
        <w:ind w:left="6"/>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SHARES</w:t>
      </w:r>
    </w:p>
    <w:p>
      <w:pPr>
        <w:spacing w:after="0" w:line="10" w:lineRule="exact"/>
        <w:rPr>
          <w:sz w:val="20"/>
          <w:szCs w:val="20"/>
          <w:color w:val="auto"/>
        </w:rPr>
      </w:pPr>
    </w:p>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AND SHAREHOLDERS’ EQUITY</w:t>
      </w:r>
    </w:p>
    <w:p>
      <w:pPr>
        <w:spacing w:after="0" w:line="10" w:lineRule="exact"/>
        <w:rPr>
          <w:sz w:val="20"/>
          <w:szCs w:val="20"/>
          <w:color w:val="auto"/>
        </w:rPr>
      </w:pPr>
    </w:p>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w:t>
      </w:r>
    </w:p>
    <w:p>
      <w:pPr>
        <w:spacing w:after="0" w:line="163" w:lineRule="exact"/>
        <w:rPr>
          <w:sz w:val="20"/>
          <w:szCs w:val="20"/>
          <w:color w:val="auto"/>
        </w:rPr>
      </w:pPr>
    </w:p>
    <w:tbl>
      <w:tblPr>
        <w:tblLayout w:type="fixed"/>
        <w:tblInd w:w="6" w:type="dxa"/>
        <w:tblCellMar>
          <w:top w:w="0" w:type="dxa"/>
          <w:left w:w="0" w:type="dxa"/>
          <w:bottom w:w="0" w:type="dxa"/>
          <w:right w:w="0" w:type="dxa"/>
        </w:tblCellMar>
      </w:tblPr>
      <w:tr>
        <w:trPr>
          <w:trHeight w:val="129"/>
        </w:trPr>
        <w:tc>
          <w:tcPr>
            <w:tcW w:w="2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w w:val="98"/>
              </w:rPr>
              <w:t>Deferred A Shares</w:t>
            </w:r>
          </w:p>
        </w:tc>
        <w:tc>
          <w:tcPr>
            <w:tcW w:w="100" w:type="dxa"/>
            <w:vAlign w:val="bottom"/>
          </w:tcPr>
          <w:p>
            <w:pPr>
              <w:spacing w:after="0"/>
              <w:rPr>
                <w:sz w:val="11"/>
                <w:szCs w:val="11"/>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Deferred B Shares</w:t>
            </w:r>
          </w:p>
        </w:tc>
        <w:tc>
          <w:tcPr>
            <w:tcW w:w="120" w:type="dxa"/>
            <w:vAlign w:val="bottom"/>
          </w:tcPr>
          <w:p>
            <w:pPr>
              <w:spacing w:after="0"/>
              <w:rPr>
                <w:sz w:val="11"/>
                <w:szCs w:val="11"/>
                <w:color w:val="auto"/>
              </w:rPr>
            </w:pPr>
          </w:p>
        </w:tc>
        <w:tc>
          <w:tcPr>
            <w:tcW w:w="9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Deferred C 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w w:val="97"/>
              </w:rPr>
              <w:t>Total Shareholders</w:t>
            </w:r>
          </w:p>
        </w:tc>
      </w:tr>
      <w:tr>
        <w:trPr>
          <w:trHeight w:val="108"/>
        </w:trPr>
        <w:tc>
          <w:tcPr>
            <w:tcW w:w="25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ind w:right="49"/>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3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3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38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20" w:type="dxa"/>
            <w:vAlign w:val="bottom"/>
          </w:tcPr>
          <w:p>
            <w:pPr>
              <w:spacing w:after="0"/>
              <w:rPr>
                <w:sz w:val="9"/>
                <w:szCs w:val="9"/>
                <w:color w:val="auto"/>
              </w:rPr>
            </w:pPr>
          </w:p>
        </w:tc>
        <w:tc>
          <w:tcPr>
            <w:tcW w:w="500" w:type="dxa"/>
            <w:vAlign w:val="bottom"/>
          </w:tcPr>
          <w:p>
            <w:pPr>
              <w:jc w:val="right"/>
              <w:ind w:right="69"/>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3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80" w:type="dxa"/>
            <w:vAlign w:val="bottom"/>
          </w:tcPr>
          <w:p>
            <w:pPr>
              <w:spacing w:after="0"/>
              <w:rPr>
                <w:sz w:val="9"/>
                <w:szCs w:val="9"/>
                <w:color w:val="auto"/>
              </w:rPr>
            </w:pPr>
          </w:p>
        </w:tc>
        <w:tc>
          <w:tcPr>
            <w:tcW w:w="720" w:type="dxa"/>
            <w:vAlign w:val="bottom"/>
            <w:gridSpan w:val="4"/>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rPr>
              <w:t>Paid-in-capital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109"/>
              <w:spacing w:after="0" w:line="109"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9"/>
                <w:szCs w:val="9"/>
                <w:color w:val="auto"/>
              </w:rPr>
            </w:pPr>
          </w:p>
        </w:tc>
        <w:tc>
          <w:tcPr>
            <w:tcW w:w="9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129"/>
              <w:spacing w:after="0" w:line="109"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09"/>
              <w:spacing w:after="0" w:line="109" w:lineRule="exact"/>
              <w:rPr>
                <w:sz w:val="20"/>
                <w:szCs w:val="20"/>
                <w:color w:val="auto"/>
              </w:rPr>
            </w:pPr>
            <w:r>
              <w:rPr>
                <w:rFonts w:ascii="Times New Roman" w:cs="Times New Roman" w:eastAsia="Times New Roman" w:hAnsi="Times New Roman"/>
                <w:sz w:val="10"/>
                <w:szCs w:val="10"/>
                <w:b w:val="1"/>
                <w:bCs w:val="1"/>
                <w:color w:val="auto"/>
              </w:rPr>
              <w:t>Equity</w:t>
            </w:r>
          </w:p>
        </w:tc>
      </w:tr>
      <w:tr>
        <w:trPr>
          <w:trHeight w:val="108"/>
        </w:trPr>
        <w:tc>
          <w:tcPr>
            <w:tcW w:w="2660" w:type="dxa"/>
            <w:vAlign w:val="bottom"/>
            <w:tcBorders>
              <w:top w:val="single" w:sz="8" w:color="CCEEFF"/>
              <w:right w:val="single" w:sz="8" w:color="auto"/>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Balance, January 1, 2022</w:t>
            </w: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7"/>
              </w:rPr>
              <w:t>37,188,730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1</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4"/>
              </w:rPr>
              <w:t>63,443</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86</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8"/>
              </w:rPr>
              <w:t>570,987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8</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7"/>
              </w:rPr>
              <w:t>27,828,231</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369,103</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(108,585)</w:t>
            </w: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ind w:right="209"/>
              <w:spacing w:after="0" w:line="10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(8,488)</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0"/>
                <w:szCs w:val="10"/>
                <w:b w:val="1"/>
                <w:bCs w:val="1"/>
                <w:color w:val="auto"/>
              </w:rPr>
              <w:t>437</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252,562</w:t>
            </w:r>
          </w:p>
        </w:tc>
      </w:tr>
      <w:tr>
        <w:trPr>
          <w:trHeight w:val="116"/>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Share based compensation</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9,877</w:t>
            </w:r>
          </w:p>
        </w:tc>
      </w:tr>
      <w:tr>
        <w:trPr>
          <w:trHeight w:val="116"/>
        </w:trPr>
        <w:tc>
          <w:tcPr>
            <w:tcW w:w="26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Issue of ordinary shares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494,801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color w:val="auto"/>
                <w:w w:val="78"/>
              </w:rPr>
              <w:t>1</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w:t>
            </w:r>
          </w:p>
        </w:tc>
      </w:tr>
      <w:tr>
        <w:trPr>
          <w:trHeight w:val="116"/>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(24,972)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(25,083</w:t>
            </w:r>
          </w:p>
        </w:tc>
      </w:tr>
      <w:tr>
        <w:trPr>
          <w:trHeight w:val="116"/>
        </w:trPr>
        <w:tc>
          <w:tcPr>
            <w:tcW w:w="26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Measurement period and contingent consideration adjustments</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r>
      <w:tr>
        <w:trPr>
          <w:trHeight w:val="116"/>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Net income/(loss)</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5,342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5,321</w:t>
            </w:r>
          </w:p>
        </w:tc>
      </w:tr>
      <w:tr>
        <w:trPr>
          <w:trHeight w:val="108"/>
        </w:trPr>
        <w:tc>
          <w:tcPr>
            <w:tcW w:w="2660" w:type="dxa"/>
            <w:vAlign w:val="bottom"/>
            <w:tcBorders>
              <w:top w:val="single" w:sz="8" w:color="CCEEFF"/>
              <w:bottom w:val="single" w:sz="8" w:color="CCEEFF"/>
              <w:right w:val="single" w:sz="8" w:color="auto"/>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Balance, December 31, 2022</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7"/>
              </w:rPr>
              <w:t>37,683,531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1</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4"/>
              </w:rPr>
              <w:t>63,443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86</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8"/>
              </w:rPr>
              <w:t>570,987</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7"/>
              </w:rPr>
              <w:t>27,828,231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379,504</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(103,243)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jc w:val="right"/>
              <w:ind w:right="209"/>
              <w:spacing w:after="0" w:line="10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(33,460)</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top w:val="single" w:sz="8" w:color="auto"/>
              <w:bottom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0"/>
                <w:szCs w:val="10"/>
                <w:b w:val="1"/>
                <w:bCs w:val="1"/>
                <w:color w:val="auto"/>
              </w:rPr>
              <w:t>305</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243,201</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1"/>
        </w:trPr>
        <w:tc>
          <w:tcPr>
            <w:tcW w:w="2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r>
    </w:tbl>
    <w:p>
      <w:pPr>
        <w:ind w:left="106" w:hanging="106"/>
        <w:spacing w:after="0" w:line="237" w:lineRule="auto"/>
        <w:tabs>
          <w:tab w:leader="none" w:pos="106"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Indicates amount less than one thousand</w:t>
      </w:r>
    </w:p>
    <w:p>
      <w:pPr>
        <w:spacing w:after="0" w:line="138" w:lineRule="exact"/>
        <w:rPr>
          <w:sz w:val="20"/>
          <w:szCs w:val="20"/>
          <w:color w:val="auto"/>
        </w:rPr>
      </w:pPr>
    </w:p>
    <w:p>
      <w:pPr>
        <w:ind w:left="2126"/>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ind w:left="4986"/>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342900</wp:posOffset>
            </wp:positionV>
            <wp:extent cx="648652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486525" cy="16510"/>
                    </a:xfrm>
                    <a:prstGeom prst="rect">
                      <a:avLst/>
                    </a:prstGeom>
                    <a:noFill/>
                  </pic:spPr>
                </pic:pic>
              </a:graphicData>
            </a:graphic>
          </wp:anchor>
        </w:drawing>
      </w:r>
    </w:p>
    <w:p>
      <w:pPr>
        <w:sectPr>
          <w:pgSz w:w="11900" w:h="16838" w:orient="portrait"/>
          <w:cols w:equalWidth="0" w:num="1">
            <w:col w:w="10826"/>
          </w:cols>
          <w:pgMar w:left="834" w:top="496" w:right="239" w:bottom="1440" w:gutter="0" w:footer="0" w:header="0"/>
        </w:sectPr>
      </w:pPr>
    </w:p>
    <w:bookmarkStart w:id="155" w:name="page156"/>
    <w:bookmarkEnd w:id="15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SHARES</w:t>
      </w:r>
    </w:p>
    <w:p>
      <w:pPr>
        <w:spacing w:after="0" w:line="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AND SHAREHOLDERS’ EQUITY</w:t>
      </w:r>
    </w:p>
    <w:p>
      <w:pPr>
        <w:spacing w:after="0" w:line="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 2021</w:t>
            </w: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gridSpan w:val="5"/>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 Redeemable</w:t>
            </w:r>
          </w:p>
        </w:tc>
        <w:tc>
          <w:tcPr>
            <w:tcW w:w="1040" w:type="dxa"/>
            <w:vAlign w:val="bottom"/>
            <w:tcBorders>
              <w:right w:val="single" w:sz="8" w:color="auto"/>
            </w:tcBorders>
            <w:gridSpan w:val="6"/>
          </w:tcPr>
          <w:p>
            <w:pPr>
              <w:jc w:val="right"/>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Series B Redeemable</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1040" w:type="dxa"/>
            <w:vAlign w:val="bottom"/>
            <w:tcBorders>
              <w:right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Preferred Shares</w:t>
            </w:r>
          </w:p>
        </w:tc>
        <w:tc>
          <w:tcPr>
            <w:tcW w:w="1040" w:type="dxa"/>
            <w:vAlign w:val="bottom"/>
            <w:tcBorders>
              <w:right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Preferred Shares</w:t>
            </w:r>
          </w:p>
        </w:tc>
        <w:tc>
          <w:tcPr>
            <w:tcW w:w="100" w:type="dxa"/>
            <w:vAlign w:val="bottom"/>
          </w:tcPr>
          <w:p>
            <w:pPr>
              <w:spacing w:after="0"/>
              <w:rPr>
                <w:sz w:val="11"/>
                <w:szCs w:val="11"/>
                <w:color w:val="auto"/>
              </w:rPr>
            </w:pPr>
          </w:p>
        </w:tc>
        <w:tc>
          <w:tcPr>
            <w:tcW w:w="1020" w:type="dxa"/>
            <w:vAlign w:val="bottom"/>
            <w:gridSpan w:val="4"/>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100" w:type="dxa"/>
            <w:vAlign w:val="bottom"/>
          </w:tcPr>
          <w:p>
            <w:pPr>
              <w:spacing w:after="0"/>
              <w:rPr>
                <w:sz w:val="11"/>
                <w:szCs w:val="11"/>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Deferred A Shares</w:t>
            </w:r>
          </w:p>
        </w:tc>
        <w:tc>
          <w:tcPr>
            <w:tcW w:w="100" w:type="dxa"/>
            <w:vAlign w:val="bottom"/>
          </w:tcPr>
          <w:p>
            <w:pPr>
              <w:spacing w:after="0"/>
              <w:rPr>
                <w:sz w:val="11"/>
                <w:szCs w:val="1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rPr>
              <w:t>Deferred B Shares</w:t>
            </w:r>
          </w:p>
        </w:tc>
        <w:tc>
          <w:tcPr>
            <w:tcW w:w="102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Deferred C 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Paid-in-   Accumulated</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9"/>
              </w:rPr>
              <w:t>Shareholders’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top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9"/>
                <w:szCs w:val="9"/>
                <w:color w:val="auto"/>
              </w:rPr>
            </w:pPr>
          </w:p>
        </w:tc>
        <w:tc>
          <w:tcPr>
            <w:tcW w:w="460" w:type="dxa"/>
            <w:vAlign w:val="bottom"/>
            <w:tcBorders>
              <w:top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gridSpan w:val="2"/>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9"/>
                <w:szCs w:val="9"/>
                <w:color w:val="auto"/>
              </w:rPr>
            </w:pPr>
          </w:p>
        </w:tc>
        <w:tc>
          <w:tcPr>
            <w:tcW w:w="44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9"/>
                <w:szCs w:val="9"/>
                <w:color w:val="auto"/>
              </w:rPr>
            </w:pPr>
          </w:p>
        </w:tc>
        <w:tc>
          <w:tcPr>
            <w:tcW w:w="480" w:type="dxa"/>
            <w:vAlign w:val="bottom"/>
            <w:tcBorders>
              <w:top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9"/>
                <w:szCs w:val="9"/>
                <w:color w:val="auto"/>
              </w:rPr>
            </w:pPr>
          </w:p>
        </w:tc>
        <w:tc>
          <w:tcPr>
            <w:tcW w:w="600" w:type="dxa"/>
            <w:vAlign w:val="bottom"/>
            <w:tcBorders>
              <w:top w:val="single" w:sz="8" w:color="auto"/>
            </w:tcBorders>
            <w:gridSpan w:val="2"/>
          </w:tcPr>
          <w:p>
            <w:pPr>
              <w:ind w:left="120"/>
              <w:spacing w:after="0" w:line="10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9"/>
                <w:szCs w:val="9"/>
                <w:color w:val="auto"/>
              </w:rPr>
            </w:pPr>
          </w:p>
        </w:tc>
        <w:tc>
          <w:tcPr>
            <w:tcW w:w="6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0"/>
                <w:szCs w:val="10"/>
                <w:b w:val="1"/>
                <w:bCs w:val="1"/>
                <w:color w:val="auto"/>
              </w:rPr>
              <w:t>Loss</w:t>
            </w:r>
          </w:p>
        </w:tc>
        <w:tc>
          <w:tcPr>
            <w:tcW w:w="120" w:type="dxa"/>
            <w:vAlign w:val="bottom"/>
          </w:tcPr>
          <w:p>
            <w:pPr>
              <w:spacing w:after="0"/>
              <w:rPr>
                <w:sz w:val="9"/>
                <w:szCs w:val="9"/>
                <w:color w:val="auto"/>
              </w:rPr>
            </w:pPr>
          </w:p>
        </w:tc>
        <w:tc>
          <w:tcPr>
            <w:tcW w:w="64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120" w:type="dxa"/>
            <w:vAlign w:val="bottom"/>
          </w:tcPr>
          <w:p>
            <w:pPr>
              <w:spacing w:after="0"/>
              <w:rPr>
                <w:sz w:val="9"/>
                <w:szCs w:val="9"/>
                <w:color w:val="auto"/>
              </w:rPr>
            </w:pPr>
          </w:p>
        </w:tc>
        <w:tc>
          <w:tcPr>
            <w:tcW w:w="500" w:type="dxa"/>
            <w:vAlign w:val="bottom"/>
          </w:tcPr>
          <w:p>
            <w:pPr>
              <w:jc w:val="right"/>
              <w:ind w:right="109"/>
              <w:spacing w:after="0" w:line="109"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82"/>
        </w:trPr>
        <w:tc>
          <w:tcPr>
            <w:tcW w:w="680" w:type="dxa"/>
            <w:vAlign w:val="bottom"/>
            <w:tcBorders>
              <w:top w:val="single" w:sz="8" w:color="CCEEFF"/>
            </w:tcBorders>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Balance,</w:t>
            </w: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5"/>
                <w:szCs w:val="5"/>
                <w:b w:val="1"/>
                <w:bCs w:val="1"/>
                <w:color w:val="auto"/>
                <w:w w:val="78"/>
              </w:rPr>
              <w:t>1</w:t>
            </w:r>
          </w:p>
        </w:tc>
        <w:tc>
          <w:tcPr>
            <w:tcW w:w="3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jc w:val="right"/>
              <w:ind w:right="18"/>
              <w:spacing w:after="0" w:line="81" w:lineRule="exact"/>
              <w:rPr>
                <w:sz w:val="20"/>
                <w:szCs w:val="20"/>
                <w:color w:val="auto"/>
              </w:rPr>
            </w:pPr>
            <w:r>
              <w:rPr>
                <w:rFonts w:ascii="Times New Roman" w:cs="Times New Roman" w:eastAsia="Times New Roman" w:hAnsi="Times New Roman"/>
                <w:sz w:val="8"/>
                <w:szCs w:val="8"/>
                <w:b w:val="1"/>
                <w:bCs w:val="1"/>
                <w:color w:val="auto"/>
                <w:w w:val="98"/>
              </w:rPr>
              <w:t>1</w:t>
            </w:r>
          </w:p>
        </w:tc>
        <w:tc>
          <w:tcPr>
            <w:tcW w:w="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January 1,</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22,065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33,765</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7,960,458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7,960,458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21,660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(57,720)</w:t>
            </w:r>
          </w:p>
        </w:tc>
        <w:tc>
          <w:tcPr>
            <w:tcW w:w="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(1,243)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(36,912)</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Share based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16,487</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Issue of</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B</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 net 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costs</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28,957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121,837</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Series B</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issued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conversion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notes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53,721</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Issue of</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A</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(29)</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63,443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86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Issue of</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jc w:val="right"/>
              <w:ind w:right="28"/>
              <w:spacing w:after="0"/>
              <w:rPr>
                <w:sz w:val="20"/>
                <w:szCs w:val="20"/>
                <w:color w:val="auto"/>
              </w:rPr>
            </w:pPr>
            <w:r>
              <w:rPr>
                <w:rFonts w:ascii="Times New Roman" w:cs="Times New Roman" w:eastAsia="Times New Roman" w:hAnsi="Times New Roman"/>
                <w:sz w:val="5"/>
                <w:szCs w:val="5"/>
                <w:color w:val="auto"/>
                <w:w w:val="78"/>
              </w:rPr>
              <w:t>1</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1</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ordinary and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Deferred 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960,691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263,886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Initial public</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5"/>
                <w:szCs w:val="5"/>
                <w:color w:val="auto"/>
                <w:w w:val="78"/>
              </w:rPr>
              <w:t>1</w:t>
            </w: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offering, net</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underwriting</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discounts</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102,765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102,765</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Offering</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Costs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(2,165)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Conversion</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5"/>
                <w:szCs w:val="5"/>
                <w:color w:val="auto"/>
                <w:w w:val="78"/>
              </w:rPr>
              <w:t>1</w:t>
            </w: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1</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of Series A</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(22,065)</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(33,736)</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6,818,085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198,585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6,818,085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33,736</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Conversion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jc w:val="right"/>
              <w:ind w:right="28"/>
              <w:spacing w:after="0"/>
              <w:rPr>
                <w:sz w:val="20"/>
                <w:szCs w:val="20"/>
                <w:color w:val="auto"/>
              </w:rPr>
            </w:pPr>
            <w:r>
              <w:rPr>
                <w:rFonts w:ascii="Times New Roman" w:cs="Times New Roman" w:eastAsia="Times New Roman" w:hAnsi="Times New Roman"/>
                <w:sz w:val="5"/>
                <w:szCs w:val="5"/>
                <w:color w:val="auto"/>
                <w:w w:val="78"/>
              </w:rPr>
              <w:t>1</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1</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of Series B</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(41,378)</w:t>
            </w:r>
          </w:p>
        </w:tc>
        <w:tc>
          <w:tcPr>
            <w:tcW w:w="60" w:type="dxa"/>
            <w:vAlign w:val="bottom"/>
          </w:tcPr>
          <w:p>
            <w:pPr>
              <w:spacing w:after="0"/>
              <w:rPr>
                <w:sz w:val="11"/>
                <w:szCs w:val="11"/>
                <w:color w:val="auto"/>
              </w:rPr>
            </w:pPr>
          </w:p>
        </w:tc>
        <w:tc>
          <w:tcPr>
            <w:tcW w:w="5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color w:val="auto"/>
                <w:w w:val="96"/>
              </w:rPr>
              <w:t>(175,501)</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12,785,802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372,402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12,785,802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175,496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175,501</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Issue of</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 to</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Non-</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104"/>
        </w:trPr>
        <w:tc>
          <w:tcPr>
            <w:tcW w:w="6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Issue of</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jc w:val="right"/>
              <w:ind w:right="28"/>
              <w:spacing w:after="0"/>
              <w:rPr>
                <w:sz w:val="20"/>
                <w:szCs w:val="20"/>
                <w:color w:val="auto"/>
              </w:rPr>
            </w:pPr>
            <w:r>
              <w:rPr>
                <w:rFonts w:ascii="Times New Roman" w:cs="Times New Roman" w:eastAsia="Times New Roman" w:hAnsi="Times New Roman"/>
                <w:sz w:val="5"/>
                <w:szCs w:val="5"/>
                <w:color w:val="auto"/>
                <w:w w:val="78"/>
              </w:rPr>
              <w:t>1</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acquisition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subsidiary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2,163,694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21,118</w:t>
            </w:r>
          </w:p>
        </w:tc>
        <w:tc>
          <w:tcPr>
            <w:tcW w:w="0" w:type="dxa"/>
            <w:vAlign w:val="bottom"/>
          </w:tcPr>
          <w:p>
            <w:pPr>
              <w:spacing w:after="0"/>
              <w:rPr>
                <w:sz w:val="1"/>
                <w:szCs w:val="1"/>
                <w:color w:val="auto"/>
              </w:rPr>
            </w:pPr>
          </w:p>
        </w:tc>
      </w:tr>
      <w:tr>
        <w:trPr>
          <w:trHeight w:val="104"/>
        </w:trPr>
        <w:tc>
          <w:tcPr>
            <w:tcW w:w="68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Foreign</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currency</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translation</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(7,245)</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(7,248)</w:t>
            </w:r>
          </w:p>
        </w:tc>
        <w:tc>
          <w:tcPr>
            <w:tcW w:w="0" w:type="dxa"/>
            <w:vAlign w:val="bottom"/>
          </w:tcPr>
          <w:p>
            <w:pPr>
              <w:spacing w:after="0"/>
              <w:rPr>
                <w:sz w:val="1"/>
                <w:szCs w:val="1"/>
                <w:color w:val="auto"/>
              </w:rPr>
            </w:pPr>
          </w:p>
        </w:tc>
      </w:tr>
      <w:tr>
        <w:trPr>
          <w:trHeight w:val="116"/>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(50,865)</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(247)</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(51,112)</w:t>
            </w:r>
          </w:p>
        </w:tc>
        <w:tc>
          <w:tcPr>
            <w:tcW w:w="0" w:type="dxa"/>
            <w:vAlign w:val="bottom"/>
          </w:tcPr>
          <w:p>
            <w:pPr>
              <w:spacing w:after="0"/>
              <w:rPr>
                <w:sz w:val="1"/>
                <w:szCs w:val="1"/>
                <w:color w:val="auto"/>
              </w:rPr>
            </w:pPr>
          </w:p>
        </w:tc>
      </w:tr>
      <w:tr>
        <w:trPr>
          <w:trHeight w:val="82"/>
        </w:trPr>
        <w:tc>
          <w:tcPr>
            <w:tcW w:w="680" w:type="dxa"/>
            <w:vAlign w:val="bottom"/>
            <w:tcBorders>
              <w:top w:val="single" w:sz="8" w:color="CCEEFF"/>
            </w:tcBorders>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Balance,</w:t>
            </w: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jc w:val="right"/>
              <w:ind w:right="18"/>
              <w:spacing w:after="0" w:line="81" w:lineRule="exact"/>
              <w:rPr>
                <w:sz w:val="20"/>
                <w:szCs w:val="20"/>
                <w:color w:val="auto"/>
              </w:rPr>
            </w:pPr>
            <w:r>
              <w:rPr>
                <w:rFonts w:ascii="Times New Roman" w:cs="Times New Roman" w:eastAsia="Times New Roman" w:hAnsi="Times New Roman"/>
                <w:sz w:val="8"/>
                <w:szCs w:val="8"/>
                <w:b w:val="1"/>
                <w:bCs w:val="1"/>
                <w:color w:val="auto"/>
                <w:w w:val="98"/>
              </w:rPr>
              <w:t>1</w:t>
            </w:r>
          </w:p>
        </w:tc>
        <w:tc>
          <w:tcPr>
            <w:tcW w:w="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December</w:t>
            </w: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right w:val="single" w:sz="8" w:color="auto"/>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37,188,730</w:t>
            </w:r>
          </w:p>
        </w:tc>
        <w:tc>
          <w:tcPr>
            <w:tcW w:w="1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63,443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86</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570,987</w:t>
            </w:r>
          </w:p>
        </w:tc>
        <w:tc>
          <w:tcPr>
            <w:tcW w:w="1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27,828,231</w:t>
            </w:r>
          </w:p>
        </w:tc>
        <w:tc>
          <w:tcPr>
            <w:tcW w:w="1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369,103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(108,585)</w:t>
            </w:r>
          </w:p>
        </w:tc>
        <w:tc>
          <w:tcPr>
            <w:tcW w:w="1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(8,488)</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437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252,562</w:t>
            </w:r>
          </w:p>
        </w:tc>
        <w:tc>
          <w:tcPr>
            <w:tcW w:w="0" w:type="dxa"/>
            <w:vAlign w:val="bottom"/>
          </w:tcPr>
          <w:p>
            <w:pPr>
              <w:spacing w:after="0"/>
              <w:rPr>
                <w:sz w:val="1"/>
                <w:szCs w:val="1"/>
                <w:color w:val="auto"/>
              </w:rPr>
            </w:pPr>
          </w:p>
        </w:tc>
      </w:tr>
      <w:tr>
        <w:trPr>
          <w:trHeight w:val="116"/>
        </w:trPr>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31, 2021</w:t>
            </w:r>
          </w:p>
        </w:tc>
        <w:tc>
          <w:tcPr>
            <w:tcW w:w="460" w:type="dxa"/>
            <w:vAlign w:val="bottom"/>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20" w:type="dxa"/>
            <w:vAlign w:val="bottom"/>
            <w:tcBorders>
              <w:right w:val="single" w:sz="8" w:color="auto"/>
            </w:tcBorders>
            <w:gridSpan w:val="3"/>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06"/>
        <w:spacing w:after="0" w:line="237" w:lineRule="auto"/>
        <w:tabs>
          <w:tab w:leader="none" w:pos="120"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Indicates amount less than one thousand</w:t>
      </w:r>
    </w:p>
    <w:p>
      <w:pPr>
        <w:spacing w:after="0" w:line="1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342900</wp:posOffset>
            </wp:positionV>
            <wp:extent cx="648652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6486525" cy="16510"/>
                    </a:xfrm>
                    <a:prstGeom prst="rect">
                      <a:avLst/>
                    </a:prstGeom>
                    <a:noFill/>
                  </pic:spPr>
                </pic:pic>
              </a:graphicData>
            </a:graphic>
          </wp:anchor>
        </w:drawing>
      </w:r>
    </w:p>
    <w:p>
      <w:pPr>
        <w:sectPr>
          <w:pgSz w:w="11900" w:h="16838" w:orient="portrait"/>
          <w:cols w:equalWidth="0" w:num="1">
            <w:col w:w="10440"/>
          </w:cols>
          <w:pgMar w:left="820" w:top="496" w:right="6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20"/>
              <w:spacing w:after="0" w:line="12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9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Net income/ (loss)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5,321</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(51,112)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Share based compensation</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9,877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16,487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602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Non-cash lease expenses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Change in fair value of derivatives embedded in convertible loan notes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(5,994)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Unrealized foreign exchange gain on convertible loan notes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Non-cash gain on foreign currency remeasurement and other non-cash adjustments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(24,905)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Change in contingent consideration</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Non cash interest expense</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813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Loss on extinguishment of convertible loan notes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13,789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Deferred tax expense</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Profit on sale of property and equipment</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2"/>
                <w:szCs w:val="12"/>
                <w:color w:val="auto"/>
              </w:rPr>
              <w:t>Accounts receivable (including related parties)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30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(2,170)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(4,221)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2"/>
                <w:szCs w:val="12"/>
                <w:color w:val="auto"/>
              </w:rPr>
              <w:t>Research and development incentives receivable</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1,158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(3,607)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30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(3,528)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4,417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30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300"/>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15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(735)</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tcBorders>
              <w:bottom w:val="single" w:sz="8" w:color="CCEEFF"/>
            </w:tcBorders>
          </w:tcPr>
          <w:p>
            <w:pPr>
              <w:ind w:left="80"/>
              <w:spacing w:after="0" w:line="122"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15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(14,431)</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(32,583)</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Acquisition of subsidiary, net of cash acquired</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(11,766)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Proceeds from sale of property and equipment</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15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(6,138)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(1,146)</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5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(5,750)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(12,912)</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shares from the exercise of stock options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Contributions from noncontrolling interest</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Repayment of debt</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Transaction costs for Series B shares</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(3,402)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Proceeds from issue of Series B shares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125,239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Initial public offering cost</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(2,165)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Proceeds from initial public offering</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102,765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2"/>
                <w:szCs w:val="12"/>
                <w:color w:val="auto"/>
              </w:rPr>
              <w:t>Proceeds from issue of ordinary shares</w:t>
            </w:r>
          </w:p>
        </w:tc>
        <w:tc>
          <w:tcPr>
            <w:tcW w:w="15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484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15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325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222,742</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2"/>
                <w:szCs w:val="12"/>
                <w:color w:val="auto"/>
              </w:rPr>
              <w:t>EFFECT OF EXCHANGE RATES ON CASH AND CASH EQUIVALENTS</w:t>
            </w:r>
          </w:p>
        </w:tc>
        <w:tc>
          <w:tcPr>
            <w:tcW w:w="15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187</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(6,459)</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1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(19,669)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170,788</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Cash and cash equivalents, beginning of the year</w:t>
            </w:r>
          </w:p>
        </w:tc>
        <w:tc>
          <w:tcPr>
            <w:tcW w:w="15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214,054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43,266</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Cash and cash equivalents, end of the year</w:t>
            </w:r>
          </w:p>
        </w:tc>
        <w:tc>
          <w:tcPr>
            <w:tcW w:w="15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194,385</w:t>
            </w: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214,054</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Supplemental cash flow disclosures:</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94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Cash paid for interest</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1</w:t>
            </w: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1,844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Cash paid for income taxes</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1</w:t>
            </w: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Non-Cash investing and financing activities</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ordinary shares</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1</w:t>
            </w: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21,118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deferred A shares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deferred B shares</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deferred C shares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w w:val="87"/>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Issue of Series B shares</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53,721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Conversion of Series A and B to ordinary shares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209,229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Cash consideration on acquisition of subsidiary payable</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 included in accounts payable and accrued liabilities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559</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ROU assets obtained in exchange for operating lease liabilities</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2,400</w:t>
            </w:r>
          </w:p>
        </w:tc>
        <w:tc>
          <w:tcPr>
            <w:tcW w:w="120" w:type="dxa"/>
            <w:vAlign w:val="bottom"/>
          </w:tcPr>
          <w:p>
            <w:pPr>
              <w:spacing w:after="0"/>
              <w:rPr>
                <w:sz w:val="11"/>
                <w:szCs w:val="11"/>
                <w:color w:val="auto"/>
              </w:rPr>
            </w:pP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6,819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Asset retirement obligation</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999</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ind w:left="80"/>
              <w:spacing w:after="0" w:line="129" w:lineRule="exact"/>
              <w:rPr>
                <w:sz w:val="20"/>
                <w:szCs w:val="20"/>
                <w:color w:val="auto"/>
              </w:rPr>
            </w:pPr>
            <w:r>
              <w:rPr>
                <w:rFonts w:ascii="Times New Roman" w:cs="Times New Roman" w:eastAsia="Times New Roman" w:hAnsi="Times New Roman"/>
                <w:sz w:val="12"/>
                <w:szCs w:val="12"/>
                <w:color w:val="auto"/>
              </w:rPr>
              <w:t>Changes to right-of-use asset resulting from lease reassessment event</w:t>
            </w:r>
          </w:p>
        </w:tc>
        <w:tc>
          <w:tcPr>
            <w:tcW w:w="164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(207)</w:t>
            </w:r>
          </w:p>
        </w:tc>
        <w:tc>
          <w:tcPr>
            <w:tcW w:w="120" w:type="dxa"/>
            <w:vAlign w:val="bottom"/>
          </w:tcPr>
          <w:p>
            <w:pPr>
              <w:spacing w:after="0"/>
              <w:rPr>
                <w:sz w:val="11"/>
                <w:szCs w:val="11"/>
                <w:color w:val="auto"/>
              </w:rPr>
            </w:pPr>
          </w:p>
        </w:tc>
        <w:tc>
          <w:tcPr>
            <w:tcW w:w="200" w:type="dxa"/>
            <w:vAlign w:val="bottom"/>
            <w:gridSpan w:val="2"/>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Measurement period adjustments</w:t>
            </w:r>
          </w:p>
        </w:tc>
        <w:tc>
          <w:tcPr>
            <w:tcW w:w="164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29"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settled in equity</w:t>
            </w:r>
          </w:p>
        </w:tc>
        <w:tc>
          <w:tcPr>
            <w:tcW w:w="1640" w:type="dxa"/>
            <w:vAlign w:val="bottom"/>
            <w:gridSpan w:val="2"/>
          </w:tcPr>
          <w:p>
            <w:pPr>
              <w:jc w:val="right"/>
              <w:ind w:right="3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20" w:type="dxa"/>
            <w:vAlign w:val="bottom"/>
          </w:tcPr>
          <w:p>
            <w:pPr>
              <w:spacing w:after="0"/>
              <w:rPr>
                <w:sz w:val="13"/>
                <w:szCs w:val="13"/>
                <w:color w:val="auto"/>
              </w:rPr>
            </w:pPr>
          </w:p>
        </w:tc>
        <w:tc>
          <w:tcPr>
            <w:tcW w:w="200" w:type="dxa"/>
            <w:vAlign w:val="bottom"/>
            <w:gridSpan w:val="2"/>
          </w:tcPr>
          <w:p>
            <w:pPr>
              <w:jc w:val="right"/>
              <w:ind w:right="3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157480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1574800" cy="16510"/>
                    </a:xfrm>
                    <a:prstGeom prst="rect">
                      <a:avLst/>
                    </a:prstGeom>
                    <a:noFill/>
                  </pic:spPr>
                </pic:pic>
              </a:graphicData>
            </a:graphic>
          </wp:anchor>
        </w:drawing>
      </w:r>
    </w:p>
    <w:p>
      <w:pPr>
        <w:spacing w:after="0" w:line="66" w:lineRule="exact"/>
        <w:rPr>
          <w:sz w:val="20"/>
          <w:szCs w:val="20"/>
          <w:color w:val="auto"/>
        </w:rPr>
      </w:pPr>
    </w:p>
    <w:p>
      <w:pPr>
        <w:ind w:left="100" w:hanging="96"/>
        <w:spacing w:after="0"/>
        <w:tabs>
          <w:tab w:leader="none" w:pos="100"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Indicates amount less than one thousand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Business and Basis of Presentation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Nature of business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cancer and immune tolerance. Vaccitech is headquartered in Harwell, Oxfordshire, United Kingdom. Vaccitech and its direct and indirect subsidiaries, Vaccitech (UK) Limited, Vaccitech Australia Pty Limited, Vaccitech Oncology Limited (“VOLT”), Vaccitech North America, Inc. and Vaccitech Italia S.R.L, are collectively referred to as the “Company”.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Limited).The group reorganization under common control constituted a change in reporting entity and has been given retrospective effect reflecting the net assets of Vaccitech (UK) Limited and its subsidiaries and Vaccitech plc at their historical carrying amounts. As a result of the reorganization these consolidated financial statements have been presented for all periods as if Vaccitech plc was the holding company of the group. In addition, on April 4, 2022, a merger was effected between subsidiary Vaccitech USA, Inc. and Vaccitech North America, Inc., with Vaccitech North America, Inc. being the surviving entity.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further generate revenue or achieve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accounting principles generally accepted in the United States of America (“GAAP”) and pursuant to the rules and regulations of the Securities and Exchange Commission for annual financial reporting. The Company’s reporting currency is the U.S. dollar.</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consolidated financial statements and notes thereto have been retroactively adjusted, where applicable, to reflect the stock split.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December 31, 2022, the Company had cash and cash equivalents of $194.4 million and an accumulated deficit of $103.2 million. Although the Company has recorded net income for the year ended December 31, 2022, the Company expects to incur losses for the foreseeable future. The Company expects that its cash and cash equivalents will be sufficient to fund current operations for at least the next twelve months from the issuance of the financial statements. The Company expects to seek additional funding through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permitted under the laws of England and Wales, the Company indemnifies its officers, directors, consultants and employees for certain events or occurrences that happen by reason of the relationship with, or position held at, the Company. Through the years ended December 31, 2022 and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 costs and expenses during the reporting period. On an ongoing basis, management evaluates its estimates, including those related to revenue, expenses, leases, accruals and prepayments for external manufacturing of clinical trial material as well as clinical study conduct, fair value of contingent consideration, impairment of goodwill and intangible assets, and the fair value of ordinary shares and share-based compensation.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COVID-19 continues to have an impact, both directly and indirectly, on our business and operations, including continuing disruption to our clinical trial activities and pre-clinical development timelines for the Company’s clinical and pre-clinical programs. Estimates and assumptions about future events and their effects cannot be determined with certainty and therefore require the exercise of judgment. In respect of the international situation in Ukraine, we have assessed the impact on the Company as minimal. We have no operations or suppliers based in Ukraine, Belarus, or Russia, and there consequently no additional risk or negative impact on the consolidated financial statements. We have no operations or suppliers based in Turkey, and therefore the Company is not impacted by the potential hyperinflationary environment in that country. 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Vaccitech and those entities in which it has a controlling interest. Intercompany amounts are eliminated on consolidation. Amounts attributable to the noncontrolling interest are presented as a separate element of equity in the accompanying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2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Comprehensive loss for all periods presented is comprised primarily of net income (loss) and other comprehensive loss, which solely relates to foreign currency translation adjustments.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reporting currency is the United States dollar. The functional currency of the parent and each subsidiary is the currency of the country and economic environment in which it is located. Assets and liabilities of each legal entity denominated or measured in a currency other than British Pounds are first translated into British pounds and consolidated. The consolidated balances are then converted into United States dollars at period-end exchange rates. Revenues and expenses are translated into British pounds, then into U.S. dollars at average exchange rates for each reporting period. Translation adjustments are reflected as accumulated other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comprehensive loss within shareholders’ equity. Gains and losses on foreign currency transactions are included in the consolidated statements of operations and comprehensive loss. The aggregate net foreign exchange gain or loss included in determining net loss was a gain of $26.4 million and gain of $0.3 million for the years ended December 31, 2022 and 2021,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immunotherapies and vaccines.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Vaccitech established VOLT with a related party. As of December 31, 2021, Vaccitech contributed cash and intellectual property with an aggregate value of $11.9 million for a 76% controlling interest. The related party contributed cash and intellectual property with an aggregate value of $3.8 million for a 24% noncontrolling interest. There were no further contributions in the year ended December 31, 2022. The contributed intellectual properties were initially recorded at investment date fair value by VOLT and immediately expensed as research and development costs. The Company accounts for the noncontrolling interest in the accompanying consolidated financial statements initially at fair value with the subsequent carrying value adjusted for the noncontrolling share of VOLT’s comprehensive 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accounts for business combinations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 Transaction costs are expensed as incurred in general and administrative expenses. Results of operations and cash flows of acquired companies are included in the Company’s operating results from the date of acquisition.</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remaining maturities of three months or less on the purchase date to be cash and cash equivalents. Cash and cash equivalents include bank demand deposits and money market funds that are actively traded (a Level 1 input). As of December 31, 2022, and 2021 there were no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entity expects to receive in exchange for those goods or services.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has entered into collaboration and license agreements, which are within the scope of Financial Accounting Standards Board (“FASB”) Accounting Standards Codification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to discover, develop, manufacture and commercialize product candidates. The terms of these agreements typically contain multiple promises or obligations, which may include licenses, or options to obtain licenses, to product candidates or future product candidates. The Company also derives revenue from government grants.</w:t>
      </w:r>
    </w:p>
    <w:p>
      <w:pPr>
        <w:spacing w:after="0" w:line="3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recognized as revenue, but not yet received or invoiced are generally recognized as accounts receivable.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revenue</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arrangements may provide the collaboration partner with the right to select a target for licensing either at the inception of the arrangement or in the future. Under these arrangements, fees may be due to the Company (i) at the inception of the arrangement as an upfront fee or payment, (ii) upon the exercise of an option to acquire a license or (iii) upon extending the selection period as an extension fee or payment.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arrangements that include sales-based milestones and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services</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recognizes revenue allocated to such performance obligations based on an appropriate measure of progress. The Company utilizes judgment to determine the appropriate method of measuring progress for purposes of recognizing revenue, which may include input measure such as costs incurred during the reporting period or ratably over the service period.Reimbursements from the partner are evaluated as to whether the Company acts as a principal or an agent in such relationships. The Company evaluates whether control over the underlying goods or services were obtained prior to transferring these goods or services to the collaboration partner. Where the Company does not control the goods or services prior to transferring these goods or services to the collaboration partner, such reimbursements are presented net of costs.At the inception of each arrangement that includes development milestone payments in respect of development efforts,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development milestone in making this assessment. There is judgment involved in determining whether it is probable that a significant revenue reversal would not occur.At the end of each reporting period, the Company reevaluates the probability of achievement of all development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To date, the Company has not recognized any development milestone revenue resulting from any of its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grants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receives certain government grants which support its research efforts in defined projects and include contributions towards the research and development costs. When there is reasonable assurance that the Company will comply with the conditions attached to a received grant, and when there is reasonable assurance that the grant will be received, government grants are recognized as revenue on a gross basis in the consolidated statements of operations and comprehensive loss on a systematic basis over the periods in which the Company recognizes expenses for the related costs for which the grants are intended to compensate. Government grant revenue may be subject to review by a government authority in periods subsequent to its recognition and may result in the reversal of grant revenue previously recognized. Payments received in advance of incurring reimbursable expenses are recorded as deferred revenue.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 of credit risk consist primarily of cash and cash equivalents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in these deposits. The Company’s standard payment terms are 30 days’.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recognizes revenue earned in connection with the license and services provided to customers and grantors. The Company provides credit to the grantors in the normal course of providing such services based on evaluations of their financial condition and generally does not require collateral. To manage accounts receivable credit risk, the Company monitors the creditworthiness of its grantors. Historically, the Company has not experienced any credit losses related to accounts receivable and does not maintain allowances for uncollectible amounts.</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Licensees and grantors that represented 10% of more of the Company’s revenue and accounted for 10% or more of accounts receivable are presented below:</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60" w:type="dxa"/>
            <w:vAlign w:val="bottom"/>
            <w:gridSpan w:val="2"/>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0" w:type="dxa"/>
            <w:vAlign w:val="bottom"/>
          </w:tcPr>
          <w:p>
            <w:pPr>
              <w:spacing w:after="0"/>
              <w:rPr>
                <w:sz w:val="1"/>
                <w:szCs w:val="1"/>
                <w:color w:val="auto"/>
              </w:rPr>
            </w:pPr>
          </w:p>
        </w:tc>
      </w:tr>
      <w:tr>
        <w:trPr>
          <w:trHeight w:val="141"/>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1120" w:type="dxa"/>
            <w:vAlign w:val="bottom"/>
            <w:gridSpan w:val="2"/>
          </w:tcPr>
          <w:p>
            <w:pPr>
              <w:jc w:val="center"/>
              <w:ind w:right="19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60" w:type="dxa"/>
            <w:vAlign w:val="bottom"/>
            <w:gridSpan w:val="2"/>
          </w:tcPr>
          <w:p>
            <w:pPr>
              <w:jc w:val="center"/>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50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Oxford University Innovation</w:t>
            </w: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U.K.</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U.S. Biomedical Advanced Research and Development Authority</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(“BARDA”)</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U.S.</w:t>
            </w:r>
          </w:p>
        </w:tc>
        <w:tc>
          <w:tcPr>
            <w:tcW w:w="11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Enara Bio</w:t>
            </w: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U.K.</w:t>
            </w:r>
          </w:p>
        </w:tc>
        <w:tc>
          <w:tcPr>
            <w:tcW w:w="11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335"/>
        </w:trPr>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gridSpan w:val="2"/>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1"/>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1120" w:type="dxa"/>
            <w:vAlign w:val="bottom"/>
            <w:gridSpan w:val="2"/>
          </w:tcPr>
          <w:p>
            <w:pPr>
              <w:jc w:val="center"/>
              <w:ind w:right="19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60" w:type="dxa"/>
            <w:vAlign w:val="bottom"/>
            <w:gridSpan w:val="2"/>
          </w:tcPr>
          <w:p>
            <w:pPr>
              <w:jc w:val="center"/>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50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Scancell</w:t>
            </w: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U.K.</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Oxford University Innovation</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U.K.</w:t>
            </w:r>
          </w:p>
        </w:tc>
        <w:tc>
          <w:tcPr>
            <w:tcW w:w="11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94 %</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evaluates its cash equivalents and accounts receivable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 With respect to cash equivalents and accounts receivable, given consideration of their short maturity, historical losses and the current market environment, the Company concluded there are no expected credit losses for these financial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Property and equipment are stated at cost, net of accumulated depreciation. Expenditures for maintenance and repairs are charged to operating expenses as incurred, whereas major betterments are capitalized as additions to property and equipment. Depreciation is recorded using the straight-line method over the estimated useful lives of the assets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580" w:type="dxa"/>
            <w:vAlign w:val="bottom"/>
          </w:tcPr>
          <w:p>
            <w:pPr>
              <w:spacing w:after="0"/>
              <w:rPr>
                <w:sz w:val="14"/>
                <w:szCs w:val="14"/>
                <w:color w:val="auto"/>
              </w:rPr>
            </w:pPr>
          </w:p>
        </w:tc>
        <w:tc>
          <w:tcPr>
            <w:tcW w:w="23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Estimated Useful Life</w:t>
            </w:r>
          </w:p>
        </w:tc>
      </w:tr>
      <w:tr>
        <w:trPr>
          <w:trHeight w:val="198"/>
        </w:trPr>
        <w:tc>
          <w:tcPr>
            <w:tcW w:w="100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35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years</w:t>
            </w:r>
          </w:p>
        </w:tc>
        <w:tc>
          <w:tcPr>
            <w:tcW w:w="1000" w:type="dxa"/>
            <w:vAlign w:val="bottom"/>
          </w:tcPr>
          <w:p>
            <w:pPr>
              <w:spacing w:after="0"/>
              <w:rPr>
                <w:sz w:val="17"/>
                <w:szCs w:val="17"/>
                <w:color w:val="auto"/>
              </w:rPr>
            </w:pPr>
          </w:p>
        </w:tc>
      </w:tr>
      <w:tr>
        <w:trPr>
          <w:trHeight w:val="206"/>
        </w:trPr>
        <w:tc>
          <w:tcPr>
            <w:tcW w:w="100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35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 years</w:t>
            </w:r>
          </w:p>
        </w:tc>
        <w:tc>
          <w:tcPr>
            <w:tcW w:w="1000" w:type="dxa"/>
            <w:vAlign w:val="bottom"/>
          </w:tcPr>
          <w:p>
            <w:pPr>
              <w:spacing w:after="0"/>
              <w:rPr>
                <w:sz w:val="17"/>
                <w:szCs w:val="17"/>
                <w:color w:val="auto"/>
              </w:rPr>
            </w:pPr>
          </w:p>
        </w:tc>
      </w:tr>
      <w:tr>
        <w:trPr>
          <w:trHeight w:val="189"/>
        </w:trPr>
        <w:tc>
          <w:tcPr>
            <w:tcW w:w="1000" w:type="dxa"/>
            <w:vAlign w:val="bottom"/>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Lesser of lease term</w:t>
            </w:r>
          </w:p>
        </w:tc>
        <w:tc>
          <w:tcPr>
            <w:tcW w:w="1000" w:type="dxa"/>
            <w:vAlign w:val="bottom"/>
          </w:tcPr>
          <w:p>
            <w:pPr>
              <w:spacing w:after="0"/>
              <w:rPr>
                <w:sz w:val="16"/>
                <w:szCs w:val="16"/>
                <w:color w:val="auto"/>
              </w:rPr>
            </w:pPr>
          </w:p>
        </w:tc>
      </w:tr>
      <w:tr>
        <w:trPr>
          <w:trHeight w:val="206"/>
        </w:trPr>
        <w:tc>
          <w:tcPr>
            <w:tcW w:w="100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or estimated useful</w:t>
            </w: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5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lives</w:t>
            </w:r>
          </w:p>
        </w:tc>
        <w:tc>
          <w:tcPr>
            <w:tcW w:w="1000" w:type="dxa"/>
            <w:vAlign w:val="bottom"/>
          </w:tcPr>
          <w:p>
            <w:pPr>
              <w:spacing w:after="0"/>
              <w:rPr>
                <w:sz w:val="19"/>
                <w:szCs w:val="19"/>
                <w:color w:val="auto"/>
              </w:rPr>
            </w:pPr>
          </w:p>
        </w:tc>
      </w:tr>
      <w:tr>
        <w:trPr>
          <w:trHeight w:val="82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96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auto"/>
              </w:rPr>
              <w:t>F-10</w:t>
            </w:r>
          </w:p>
        </w:tc>
      </w:tr>
      <w:tr>
        <w:trPr>
          <w:trHeight w:val="519"/>
        </w:trPr>
        <w:tc>
          <w:tcPr>
            <w:tcW w:w="10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acquired through business combinations</w:t>
      </w:r>
    </w:p>
    <w:p>
      <w:pPr>
        <w:spacing w:after="0" w:line="2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Intangible assets consist of acquired developed technology. Intangible assets are stated at cost less accumulated amortization. Amortization is computed using the straight-line method over the estimated useful lives of the respective assets, which is 10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reviews long-lived assets to be held and used, including property and equipment ,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No such impairments were recorded during the year ended December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Goodwill represents the excess of cost over the fair value of the net tangible and intangible assets of businesses acquired in a business combination. Goodwill is not amortized but rather is tested for impairment at least annually, or more frequently if events or changes in circumstances indicate that the carrying amount of goodwill may not be recoverable. The Company has elected to first assess the qualitative factors to determine whether it is more likely than not that the fair value of a reporting unit is less than its carrying amount as a basis of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a reporting unit with its carrying amount. If the fair value exceeds the carrying amount, no further analysis is required; otherwise, any excess of the goodwill carrying amount over the implied fair value is recognized as an impairment loss, and the carrying value of goodwill is written down to fair value. For the years ended December 31, 2022 and 2021, goodwill has been tested and there is no impairments.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financial instruments consist of cash, accounts receivable, accounts payable, certain accrued expenses, contingent consideration and short-term debt. The carrying amounts of cash, cash equivalents, accounts receivable, security deposit, accounts payable, accrued expenses and short-term debt approximate their fair value due to the short-term nature of those financial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4" w:lineRule="exact"/>
        <w:rPr>
          <w:sz w:val="20"/>
          <w:szCs w:val="20"/>
          <w:color w:val="auto"/>
        </w:rPr>
      </w:pPr>
    </w:p>
    <w:p>
      <w:pPr>
        <w:ind w:left="620" w:hanging="308"/>
        <w:spacing w:after="0" w:line="255"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Level 1 </w:t>
      </w:r>
      <w:r>
        <w:rPr>
          <w:rFonts w:ascii="Courier New" w:cs="Courier New" w:eastAsia="Courier New" w:hAnsi="Courier New"/>
          <w:sz w:val="17"/>
          <w:szCs w:val="17"/>
          <w:color w:val="auto"/>
        </w:rPr>
        <w:t>–</w:t>
      </w:r>
      <w:r>
        <w:rPr>
          <w:rFonts w:ascii="Times New Roman" w:cs="Times New Roman" w:eastAsia="Times New Roman" w:hAnsi="Times New Roman"/>
          <w:sz w:val="17"/>
          <w:szCs w:val="17"/>
          <w:color w:val="auto"/>
        </w:rPr>
        <w:t xml:space="preserve"> Inputs are quoted prices (unadjusted) in active markets for identical assets or liabilities that the reporting entity has the ability to access at the measurement date.</w:t>
      </w:r>
    </w:p>
    <w:p>
      <w:pPr>
        <w:spacing w:after="0" w:line="1" w:lineRule="exact"/>
        <w:rPr>
          <w:rFonts w:ascii="Times New Roman" w:cs="Times New Roman" w:eastAsia="Times New Roman" w:hAnsi="Times New Roman"/>
          <w:sz w:val="17"/>
          <w:szCs w:val="17"/>
          <w:color w:val="auto"/>
        </w:rPr>
      </w:pPr>
    </w:p>
    <w:p>
      <w:pPr>
        <w:ind w:left="620" w:hanging="308"/>
        <w:spacing w:after="0" w:line="243"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Level 2 </w:t>
      </w:r>
      <w:r>
        <w:rPr>
          <w:rFonts w:ascii="Courier New" w:cs="Courier New" w:eastAsia="Courier New" w:hAnsi="Courier New"/>
          <w:sz w:val="17"/>
          <w:szCs w:val="17"/>
          <w:color w:val="auto"/>
        </w:rPr>
        <w:t>–</w:t>
      </w:r>
      <w:r>
        <w:rPr>
          <w:rFonts w:ascii="Times New Roman" w:cs="Times New Roman" w:eastAsia="Times New Roman" w:hAnsi="Times New Roman"/>
          <w:sz w:val="17"/>
          <w:szCs w:val="17"/>
          <w:color w:val="auto"/>
        </w:rPr>
        <w:t xml:space="preserve"> Valuations based on quoted prices in markets that are not active or for which all significant inputs are observable, either directly or indirectly.</w:t>
      </w:r>
    </w:p>
    <w:p>
      <w:pPr>
        <w:ind w:left="620" w:hanging="308"/>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Level 3 </w:t>
      </w:r>
      <w:r>
        <w:rPr>
          <w:rFonts w:ascii="Courier New" w:cs="Courier New" w:eastAsia="Courier New" w:hAnsi="Courier New"/>
          <w:sz w:val="17"/>
          <w:szCs w:val="17"/>
          <w:color w:val="auto"/>
        </w:rPr>
        <w:t>–</w:t>
      </w:r>
      <w:r>
        <w:rPr>
          <w:rFonts w:ascii="Times New Roman" w:cs="Times New Roman" w:eastAsia="Times New Roman" w:hAnsi="Times New Roman"/>
          <w:sz w:val="17"/>
          <w:szCs w:val="17"/>
          <w:color w:val="auto"/>
        </w:rPr>
        <w:t xml:space="preserve"> Prices or valuations that require inputs that are both significant to the fair value measurement and unobservable.</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2022 and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Leases are accounted for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resulting in the recognition of lease liabilities and right-of-use assets. The Company only has operating leases. The Company has elected the practical expedient allowed under ASC 842 to account for each lease component (e.g., the right to use office space) and the associated non-lease components (e.g., maintenance services) as a single lease component. The Company also elected the short-term lease accounting policy for all asset classes; therefore, the Company is not recognizing a lease liability or right-of-use asset for any lease that, at the commencement date, has a lease term of 12 months or less and does not include an option to purchase the underlying asset that the Company is reasonably certain to exercise.</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Variable lease payments such as the Company’s share of real estate taxes, utilities, and common area maintenance, are reported as non-lease operating expenses.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Right-of-use assets also include the effect of any lease payments made and exclude lease incentives. The lease terms may include options to extend or terminate the lease when it is reasonably certain that the Company will exercise that option. Operating lease expense is recognized as part of total operating expenses on a straight-line basis over the lease term. The difference between the value of the right of use asset and lease liability is due to the reclassification of prepaid rent and unamortized lease incentives.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Research and development costs are expensed as incurred on an accruals basis. Research and development costs include payroll and personnel expense (including share-based compensation), consulting costs, external contract research and development expenses, raw materials, drug product manufacturing costs, and allocated overheads including depreciation and amortization, facility costs, and utilities. Research and development costs that are paid in advance of performance are capitalized as a prepaid expense and amortized over the service period as the services are provided.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 costs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and licensing costs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and licensing costs are expensed as incurred because their realization is uncertain.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Embedded derivatives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reviews the terms of convertible loan notes and other financing arrangements to determine whether there are embedded derivative instruments, including embedded conversion options that are required to be bifurcated and accounted for separately as a derivative financial instrument.</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Derivative financial instruments are initially measured at fair value, and then re-valued at each reporting date, with changes in the fair value reported as charges or credits to consolidated statements of operations and comprehensive loss. To the extent that the initial fair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values of the freestanding and/or bifurcated derivative instrument exceed the total proceeds received an immediate charge to the consolidated statements of operations and comprehensive loss is recognized to initially record the derivative instrument at fair value.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to consolidated statements of operations and comprehensive loss, using the effective interest method.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Embedded derivatives bifurcated are presented along with the host contract on the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are classified in shareholders’ equity and represent issued share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paid-in capital</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 paid-in capital is classified in shareholders’ equity deficit and represents the share premium account, where the difference between the price paid per share and the nominal value is recognized. The equity element of share based compensation is also recognized in additional paid in capital.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based compensation</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grants options over ordinary shares and restricted shares units to employees or Non-Executive Directors and accounts for share based compensation using the grant date fair value. Share based compensation awards are classified in the accompanying statements of operations based on the function to which the related services are provided.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Assumptions used in the option pricing model include the following:</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The Company lacks sufficient company-specific historical and implied volatility information for its ordinary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Therefore, it estimates its expected share volatility based on the available historical volatility of the Company since IPO, and publicly traded peer companies. The Company expects to transition to its own volatility when it has adequate historical data of its own traded share price.</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the Company’s share options has been determined utilizing the “simplified” method for awards that qualify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“plain-vanilla” options. The “simplified” method was determined to be appropriate as the Company does not have sufficient historical exercise data to provide a reasonable basis upon which to estimate expected term due to the limited period of time its equity shares have been publicly traded.</w:t>
      </w:r>
    </w:p>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is determined by reference to the U.S. Treasury yield curve in effect at the time of grant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for time periods that are approximately equal to the expected term of the award.</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Expected dividend. </w:t>
      </w:r>
      <w:r>
        <w:rPr>
          <w:rFonts w:ascii="Times New Roman" w:cs="Times New Roman" w:eastAsia="Times New Roman" w:hAnsi="Times New Roman"/>
          <w:sz w:val="17"/>
          <w:szCs w:val="17"/>
          <w:color w:val="auto"/>
        </w:rPr>
        <w:t>Expected dividend yield of zero is based on the fact that the Company has never paid cash dividends on ordinary shares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does not expect to pay any cash dividends in the foreseeable future.</w:t>
      </w:r>
    </w:p>
    <w:p>
      <w:pPr>
        <w:spacing w:after="0" w:line="1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has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financial statements reflect provisions for income taxes in the United Kingdom and foreign jurisdictions.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nor has it recorded any unrecognized tax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incentives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the United Kingdom, the Company is entitled to a research and development tax relief for small and medium-sized enterprises which allows for an enhanced deduction rate of 230% on qualifying research and development expenditure (the tax relief). If the Company incurs tax losses, the Company is entitled to surrender the lesser of unrelieved tax loss sustained and the tax relief. As the realization of the tax relief does not depend on our generation of future taxable income or the Company’s ongoing tax status or tax position, the Company does not consider the tax relief as an element of income tax accounting under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and records the tax relief as a form of government grant or assistance. For the years ended December 31, 2022 and 2021, the Company recognized research and development incentives of $1.2 million and $4.0 million respectively. For the year ended December 31, 2022, the recognized research and development incentives was restricted by the available tax losses in the UK for the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Basic net income/ (loss) per share is computed by dividing the net income/(loss) attributable to ordinary shareholders by the weighted-average number of ordinary shares outstanding for the reporting period without consideration for potentially dilutive securities. Net income/ (loss) attributable to ordinary shareholders is computed as if all net income/ (loss)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computes diluted net income/ (loss) per ordinary share after giving consideration to all potentially dilutive ordinary equivalents, including stock options outstanding during the period, except where the effect of such non-participating securities would be antidilutive.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Diluted net income/ (loss) per share is computed by dividing the net income/ (loss) attributable to ordinary shareholders by the weighted-average number of ordinary shares and dilutive ordinary share equivalents outstanding for the period, determined using the treasury-stock and if-converted methods.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provision for contingent liabilities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The Company is a party to certain litigation and disputes arising in the normal course of business. As of December 31, 2022, the Company does not expect that such matters will have a material adverse effect on the Company’s business, financial position, results of operations, or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which means that when a standard is issued or revised and it has different applications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December 2019, the FASB issued ASU No. 2019-12, Income Taxes (Topic 740)—Simplifying the Accounting for Income Taxes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2022, the Company adopted ASU 2019-12 on a prospective basis, with no material impact on its consolidated financial statements and related disclosures.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2021, the FASB issued ASU No. 2021-10, Government Assistance (Topic 832) — Disclosures by Business Entities about Government Assistance (“ASU 2021-10”), which increases the transparency of government assistance including the disclosure of the types of assistance, an entity’s accounting for assistance, and the effect of the assistance on an entity’s financial statements. The adoption of ASU 2021-10 on January 1, 2022 did not have a material impact on the Company’s consolidated financial position, results of operations, cash flows, or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have reviewed all recently issued standards and have determined that such standards will not have a material impact on our consolidated financial statements or do not otherwise apply to our current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Business Combination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December 9, 2021, the Company executed an Agreement and Plan of Merger and Reorganization (the “Agreement”) by and among the Company, VA Merger Sub 1 Inc., a Delaware corporation and a wholly owned subsidiary of the Company (“Merger Sub 1”), VA Merger Sub 2, a Delaware corporation and wholly owned subsidiary of the Company (“Merger Sub 2”), Avidea Technologies, Inc., a Delaware corporation (“Avidea”), and Benjamin Eisler, solely in his capacity as security holder representative, pursuant to which the Company acquired 100% of the fully diluted equity of Avidea. On December 10, 2021, the parties closed the transactions contemplated by the Agreement. Merger Sub 1 merged with and into Avidea, with Avidea surviving as a wholly owned subsidiary of the Company, the (“First Merger”). Promptly following the First Merger, and as part of the same overall transaction, Avidea merged with and into Merger Sub 2, with Merger Sub 2 surviving as a wholly owned direct subsidiary of the Company, the “Second Merger”, and together with the First Merger, (the “Mergers”).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fourth quarter of 2022, the Company completed the accounting for the acquisition and recorded measurement period adjustments of $0.44 million attributable to working capital that existed as of the acquisition date by adjusting the consideration transferred. The effect of these measurement period adjustments resulted in a decrease of goodwill by $0.42 million and other current assets by $0.02 million. The adjustment to general and administrative expense relating to the income effects that would have been recognized in 2021 if the adjustment to provisional amounts was recognized as of the acquisition date was not material.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changes in goodwill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7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8"/>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Additions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12,630</w:t>
            </w:r>
          </w:p>
        </w:tc>
      </w:tr>
      <w:tr>
        <w:trPr>
          <w:trHeight w:val="206"/>
        </w:trPr>
        <w:tc>
          <w:tcPr>
            <w:tcW w:w="20" w:type="dxa"/>
            <w:vAlign w:val="bottom"/>
          </w:tcPr>
          <w:p>
            <w:pPr>
              <w:spacing w:after="0"/>
              <w:rPr>
                <w:sz w:val="17"/>
                <w:szCs w:val="17"/>
                <w:color w:val="auto"/>
              </w:rPr>
            </w:pPr>
          </w:p>
        </w:tc>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7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12,630</w:t>
            </w: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Pursuant to the terms of the Agreement, the Company acquired Avidea for an up-front amount of $32.8 million (after working capital adjustments), of which $11.8 million was payable in cash and $21.0 million in 2,151,831 of the Company’s American Depositary Shares, each representing one ordinary share of the Company (the “ADSs”). In addition, Avidea’s stockholders may be entitled to receive an aggregate of up to $40.0 million in additional payments payable in a combination of cash and ADSs upon the achievement of certain milestones (the “Milestones”). The consideration payable pursuant to each Milestone is referred to herein as the “Contingent Consideration”.</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summarizes the estimated purchase consideration of $35.2 million (after measurement period adjustments), which consisted of: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consideration</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6"/>
        </w:trPr>
        <w:tc>
          <w:tcPr>
            <w:tcW w:w="1000" w:type="dxa"/>
            <w:vAlign w:val="bottom"/>
          </w:tcPr>
          <w:p>
            <w:pPr>
              <w:spacing w:after="0"/>
              <w:rPr>
                <w:sz w:val="17"/>
                <w:szCs w:val="17"/>
                <w:color w:val="auto"/>
              </w:rPr>
            </w:pPr>
          </w:p>
        </w:tc>
        <w:tc>
          <w:tcPr>
            <w:tcW w:w="696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Equity consideration</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06"/>
        </w:trPr>
        <w:tc>
          <w:tcPr>
            <w:tcW w:w="100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Estimated fair value of Contingent Consideration</w:t>
            </w:r>
          </w:p>
        </w:tc>
        <w:tc>
          <w:tcPr>
            <w:tcW w:w="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98"/>
        </w:trPr>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1"/>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4" w:lineRule="exact"/>
        <w:rPr>
          <w:sz w:val="20"/>
          <w:szCs w:val="20"/>
          <w:color w:val="auto"/>
        </w:rPr>
      </w:pPr>
    </w:p>
    <w:p>
      <w:pPr>
        <w:ind w:right="20" w:firstLine="4"/>
        <w:spacing w:after="0" w:line="227" w:lineRule="auto"/>
        <w:tabs>
          <w:tab w:leader="none" w:pos="96"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Represents the fair value of equity consideration issued to Avidea shareholders, consisting of 2,163,694 ADSs, at $9.76 per ADS the closing price of the Company’s ADS on December 10, 2021 adjusted by the return of 11,863 ADSs at $3.20 per ADS, the closing price of the Company’s ADS on the date of determination of the working capital shortfall. The shares were not returned to the Company, but utilized in part, to settle the milestone liability that arose on the signing of the Scancell agreement discussed below.</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Contingent Consideration represents additional payments that the Company may be required to make in the future, which totals up to $40.0 million of which $15.0 million is dependent upon the earlier of either: i) availability of patient data showing that ChAdOx used in combination with SNAPvax results in non-inferior T cell responses as compared with ChAdOx used in combination with MVA in at least 8 patients, or ii) upon initiation of the first Phase 2b clinical study for any SNAPvax product candidate. $ 25.0 million is dependent on a license or sale of any Avidea technology or product candidates i) developed wholly or in part by an Avidea employee or ii) covered by a claim of an issued patent or a patent application owned or controlled by Avidea at the time of closing. The fair value of Contingent Consideration is considered a Level 3 fair value measurement and was determined using a probability weighted model based on the probability of pursuit, the probability of success of the achievement of the milestone, and the expected date of milestone achievement. The liability for Contingent Consideration is remeasured at each reporting period until the contingency is resolved. Changes to the inputs described above could have a material impact on the Company’s financial position and results of operations in any given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changes in the fair value of Contingent Consideration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4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8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4780" w:type="dxa"/>
            <w:vAlign w:val="bottom"/>
          </w:tcPr>
          <w:p>
            <w:pPr>
              <w:spacing w:after="0"/>
              <w:rPr>
                <w:sz w:val="14"/>
                <w:szCs w:val="14"/>
                <w:color w:val="auto"/>
              </w:rPr>
            </w:pPr>
          </w:p>
        </w:tc>
        <w:tc>
          <w:tcPr>
            <w:tcW w:w="3660" w:type="dxa"/>
            <w:vAlign w:val="bottom"/>
            <w:gridSpan w:val="2"/>
          </w:tcPr>
          <w:p>
            <w:pPr>
              <w:jc w:val="center"/>
              <w:ind w:left="23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8"/>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4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40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w:t>
            </w:r>
          </w:p>
        </w:tc>
      </w:tr>
      <w:tr>
        <w:trPr>
          <w:trHeight w:val="20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recognized in net income/(loss)</w:t>
            </w:r>
          </w:p>
        </w:tc>
        <w:tc>
          <w:tcPr>
            <w:tcW w:w="3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6"/>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Settlement of contingency</w:t>
            </w:r>
          </w:p>
        </w:tc>
        <w:tc>
          <w:tcPr>
            <w:tcW w:w="38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(325)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translation recognized in other comprehensive loss</w:t>
            </w:r>
          </w:p>
        </w:tc>
        <w:tc>
          <w:tcPr>
            <w:tcW w:w="3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198"/>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4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w:t>
            </w:r>
          </w:p>
        </w:tc>
      </w:tr>
      <w:tr>
        <w:trPr>
          <w:trHeight w:val="20"/>
        </w:trPr>
        <w:tc>
          <w:tcPr>
            <w:tcW w:w="4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01"/>
        </w:trPr>
        <w:tc>
          <w:tcPr>
            <w:tcW w:w="4780" w:type="dxa"/>
            <w:vAlign w:val="bottom"/>
          </w:tcPr>
          <w:p>
            <w:pPr>
              <w:spacing w:after="0"/>
              <w:rPr>
                <w:sz w:val="24"/>
                <w:szCs w:val="24"/>
                <w:color w:val="auto"/>
              </w:rPr>
            </w:pPr>
          </w:p>
        </w:tc>
        <w:tc>
          <w:tcPr>
            <w:tcW w:w="3880" w:type="dxa"/>
            <w:vAlign w:val="bottom"/>
            <w:gridSpan w:val="3"/>
          </w:tcPr>
          <w:p>
            <w:pPr>
              <w:jc w:val="right"/>
              <w:ind w:right="3540"/>
              <w:spacing w:after="0"/>
              <w:rPr>
                <w:sz w:val="20"/>
                <w:szCs w:val="20"/>
                <w:color w:val="auto"/>
              </w:rPr>
            </w:pPr>
            <w:r>
              <w:rPr>
                <w:rFonts w:ascii="Times New Roman" w:cs="Times New Roman" w:eastAsia="Times New Roman" w:hAnsi="Times New Roman"/>
                <w:sz w:val="17"/>
                <w:szCs w:val="17"/>
                <w:color w:val="auto"/>
                <w:w w:val="99"/>
              </w:rPr>
              <w:t>F-16</w:t>
            </w:r>
          </w:p>
        </w:tc>
        <w:tc>
          <w:tcPr>
            <w:tcW w:w="1260" w:type="dxa"/>
            <w:vAlign w:val="bottom"/>
          </w:tcPr>
          <w:p>
            <w:pPr>
              <w:spacing w:after="0"/>
              <w:rPr>
                <w:sz w:val="24"/>
                <w:szCs w:val="24"/>
                <w:color w:val="auto"/>
              </w:rPr>
            </w:pPr>
          </w:p>
        </w:tc>
      </w:tr>
      <w:tr>
        <w:trPr>
          <w:trHeight w:val="519"/>
        </w:trPr>
        <w:tc>
          <w:tcPr>
            <w:tcW w:w="4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November 2, 2022, the Company entered into an agreement with Scancell to out-license the SNAPvax which resulted in additional amount $0.3 million becoming payable in connection with the acquisition of Avidea. The Company settled the liability in February 2023 by issuing a further 28,618 ADSs at $2.74 per ADS with the balance of $0.1 million paid in cash. The shares issuable as of December 31, 2022, are included in outstanding shares in the calculation of basic earnings per share beginning on the date the contingency was resolved.</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incurred approximately $0.9 million in transaction costs related to the Avidea acquisition. The transaction costs are included in general and administrative expenses in the consolidated statements of operations and comprehensive loss.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estimate of fair value as of the acquisition date required the use of significant assumptions and estimates. Critical estimates included, but were not limited to developer margins, mark up on costs, opportunity costs and the applicable discount rates. These estimates were based on assumptions that the Company believes to be reasonable, however, actual results may differ from these estimates.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allocation of purchase price to the identifiable assets acquired and liabilities assumed was as follows: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Recognized identifiable assets acquired and liabilities assumed (in thousands):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receivable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other current assets and non-current assets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Developed technology</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 accrued expenses, other current liabilities, and debt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7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assets acquired</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Goodwill</w:t>
            </w:r>
          </w:p>
        </w:tc>
        <w:tc>
          <w:tcPr>
            <w:tcW w:w="7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Estimated total purchase consideration</w:t>
            </w: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purchase consideration was allocated to the net tangible and intangible assets and liabilities based on their estimated fair values as of the acquisition date, with the excess recorded as goodwill. The recognized goodwill is attributable to the assembled workforce of Avidea and the anticipated synergies. None of the goodwill resulting from the acquisition is deductible for tax purposes. The acquisition of Avidea did not result in any changes to the Company’s operating or reportable segment structure and the Company continues to operate as one operating segment.</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Developed technology was valued using the cost approach, which involved significant inputs not observable in the market and thus represents a Level 3 measurement within the fair value hierarchy. The assumptions used in developing the valuation included the estimated market rate for salary, bonus and benefits for staff involved in the development of technology, a developer’s margin which reflects the profit margin a third party would earn on development activities and an opportunity cost which represents the foregone cashflows during the period of development. The fair value of developed technology is amortized over a useful life of 10 years.</w:t>
      </w:r>
    </w:p>
    <w:p>
      <w:pPr>
        <w:spacing w:after="0" w:line="175"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7"/>
          <w:szCs w:val="17"/>
          <w:color w:val="auto"/>
        </w:rPr>
        <w:t>For the year ended December 31, 2021, Avidea contributed a net loss from operations of $0.3 million. No revenue was earned during the year ended December 31, 2021, from the acquisition of Avidea.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Pro Forma Information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following supplemental unaudited pro forma financial information presents the combined results of operations for each of the periods presented, as if the Avidea acquisition occurred on January 1, 2020. The pro forma financial information is presented for illustrative purposes only, based on currently available information and certain estimates and assumptions we believe are reasonable under the circumstances, and is not necessarily indicative of future results of operations or the results that would have been reported if the Avidea Acquisition had been completed on January 1, 2020. These results are adjusted to present (1) acquisition related cost as if they were incurred as of January 1, 2020 and (2) the amortization of developed technology and the unwinding of the discount on the consideration as if the fair value adjustment and the contingent consideration was recognized as January 1, 2020. These results do not include any anticipated synergies or other expected benefits of the acquisition.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8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198"/>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Foreign Currency Translation in General and Administrative Expenses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aggregate, net foreign exchange gain or loss included in determining net income/ (loss) recognized in general and administrative expenses for the year ended December 31, 2022, and 2021, was a gain of $26.4 million and a gain of $0.3 million,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Net Income/(Loss) Per Share</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(loss) per share for the years ended December 31, 2022 and 2021 (in thousands, except number of shares and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Numerator:</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income/ (loss)</w:t>
            </w: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income/ (loss) attributable to Vaccitech shareholders</w:t>
            </w:r>
          </w:p>
        </w:tc>
        <w:tc>
          <w:tcPr>
            <w:tcW w:w="10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(50,865)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8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Weighted-average ordinary shares outstanding, basic</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37,248,126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25,894,375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Effect of dilutive stock options</w:t>
            </w:r>
          </w:p>
        </w:tc>
        <w:tc>
          <w:tcPr>
            <w:tcW w:w="1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921,181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Weighted-average ordinary shares outstanding, diluted</w:t>
            </w:r>
          </w:p>
        </w:tc>
        <w:tc>
          <w:tcPr>
            <w:tcW w:w="10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38,169,307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25,894,375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Net income/ (loss) per share attributable to ordinary shareholders, basic</w:t>
            </w:r>
          </w:p>
        </w:tc>
        <w:tc>
          <w:tcPr>
            <w:tcW w:w="10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0.14</w:t>
            </w:r>
          </w:p>
        </w:tc>
        <w:tc>
          <w:tcPr>
            <w:tcW w:w="2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Borders>
              <w:bottom w:val="single" w:sz="8" w:color="CCEEFF"/>
            </w:tcBorders>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Net income/ (loss) per share attributable to ordinary shareholders, diluted</w:t>
            </w: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0.14</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Potential ordinary shares issuable for stock options that are excluded from the computation of diluted weighted-average shares outstanding because such securities would have an antidilutive impact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2,912,756</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2,604,969</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198"/>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at cost</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w:t>
            </w: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198"/>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7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1,829</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for the year ended December 31, 2022 was $1.1 million (December 31, 2021: $0.4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Intangible assets, net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gross amount of amortizable intangible assets, consisting of developed technology, was $31.6 million as of December 31, 2022 and 2021, respectively, and accumulated amortization was $3.3 million and $0.2 million as of December 31, 2022 and 2021, respectively. The amortization expense for the year ended December 31, 2022 was $3.2 million (December 31, 2021: $0.2 million). The estimated annual amortization expense is $3.1 million for the years 2023 through to 2031.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Prepaid and other current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accrued income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Value Added Tax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retention and payroll tax credit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Lease incentives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8,268</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6,462</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9.  Accrued Expenses and Other Current Liabilities</w:t>
            </w: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7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manufacturing and clinical expenses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Accrued board of director compensation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bonus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 and employee benefits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professional fees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other</w:t>
            </w: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4780"/>
              <w:spacing w:after="0"/>
              <w:rPr>
                <w:sz w:val="20"/>
                <w:szCs w:val="20"/>
                <w:color w:val="auto"/>
              </w:rPr>
            </w:pPr>
            <w:r>
              <w:rPr>
                <w:rFonts w:ascii="Times New Roman" w:cs="Times New Roman" w:eastAsia="Times New Roman" w:hAnsi="Times New Roman"/>
                <w:sz w:val="17"/>
                <w:szCs w:val="17"/>
                <w:color w:val="auto"/>
              </w:rPr>
              <w:t>F-19</w:t>
            </w: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96"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Out-licenses and Grants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BARDA contract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BARDA is a division of the U.S. Department of Health and Human Services in the Office of the Assistant Secretary for Preparedness and Response that supports the advanced research and development, manufacturing, acquisition and stockpiling of medical countermeasures. Our contracts with BARDA, like those awarded by other U.S. government agencies, contain provisions not typically found in commercial contracts. Most notably, BARDA, or the U.S. government acting through BARDA, may terminate, modify or amend our contract, in whole or in part, for nearly any reason or no reason.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February 2019, the Company entered into an agreement with BARDA to fund its clinical development of an influenza vaccine known as VTP-100. Under the contract, BARDA will reimburse the Company up to $8.6 million over two years for the research and development of VTP-100 through Investigational New Drug application, regulatory review, and development and execution of a Phase 2b human challenge protocol to assess safety, immunogenicity and efficacy as compared to placebo. The Company owns the intellectual property rights to inventions made in the performance of work under the BARDA contract, provided that the Company discloses such inventions to the U.S. government and notifies the U.S. government of the Company’s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 During the year ended December 31, 2022, the Company recognized $9 thousand (December 31, 2021: $184 thousand) in revenue under the BARDA contract and had outstanding receivable of $nil as of December 31, 2022 (2021: $18 thousand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OUI license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April 2020, the Company entered into an Amendment, Assignment and Revenue Sharing Agreement (“License Agreement Amendment”) with Oxford University Innovation, or OUI, which vested and assigned all intellectual property rights in relation to any ChAdOx1 or ChAdOx2 vector-based vaccine jointly owned by the Company and OUI in order to facilitate the license of vaccines based on the ChAdOx1 by OUI to AstraZeneca plc (“AstraZeneca”). Under this agreement, the Company is entitled to receive from OUI a share of all payments received by OUI from AstraZeneca in respect of the vaccine based on the ChAdOx1. On December 30, 2020, AstraZeneca announced that vaccine based on the ChAdOx1 which we refer to as Vaxzevria had been approved for emergency supply in the United Kingdom by the United Kingdom Medicines and Healthcare products Regulatory Agency (MHRA).</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determined that the intellectual property vested and assigned under the License Agreement Amendment is a functional intellectual property (that is, it has significant standalone functionality in the form of its ability to treat a disease or condition) and there is no expectation under the License Agreement Amendment that the Company will undertake activities to change the functionality. Consequently, the Company concluded that the nature of the Company’s promise in transferring the intellectual property is to provide a right to use the Company’s functional intellectual property. Accordingly, the Company recognizes revenue in manner that depicts the Company’s progress toward satisfying its performance obligation of providing access to its intellectual property throughout the license period based on the terms of OUI’s agreement with AstraZeneca.</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28, 2022, pursuant to the OUI License Agreement Amendment, we were notified of the commencement of payments, arising from AstraZeneca’s commercial sales of Vaxzevria. Under the terms of an exclusive worldwide license agreement between OUI and AstraZeneca, we understand OUI is entitled to milestone payments and royalties on commercial sales of Vaxzevria that began after the pandemic period. As part of the assignment from us to OUI, we are entitled to receive approximately 24% of payments received by OUI from AstraZeneca. For the year ended December 31, 2022, we recognized approximately $43.7 million as revenue (year ended December 31, 2021: $nil) and had an outstanding receivable of $5.5 million as of December 31, 2022 (2021; $nil).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Scancell contract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November 2, 2022, the Company entered into an agreement with Scancell to grant a research and development license, consisting of upfront and development milestone and royalty payments, for the development and commercialization of the SNAPvax functional intellectual property. The Company recognized non-refundable upfront revenue, amounting to $0.7 million for the year ended December 31, 2022. As of December 31, 2022, $0.3 million was recorded as a receivable.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discloses Accounts receivable separately in the Consolidated Balance Sheets at the net amount expected to be collected. Contract assets primarily relate to the Company’s conditional right to consideration for work completed but not billed at the reporting date. As of December 31, 2022 and 2021 the Company did not have any contract assets.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Contract liabilities primarily relate to payments received from customers in advance of performance under the contract and are disclosed as deferred revenue separately in the Consolidated Balance Sheets. The Company’s contract liabilities arise when payment is received upfront for various multi-period extended license and service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contract liabilities during the years ended December 31, 2022 and 2021,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 recognized related to contract liability balance</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translation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1</w:t>
            </w:r>
          </w:p>
        </w:tc>
      </w:tr>
      <w:tr>
        <w:trPr>
          <w:trHeight w:val="198"/>
        </w:trPr>
        <w:tc>
          <w:tcPr>
            <w:tcW w:w="7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Indicates amount less than one thousand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Convertible loan notes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recognized interest expense $2.7 million and a change in fair value $6.0 million in relation to the conversion and redemption features embedded in the convertible loan notes in the condensed consolidated statements of operations and comprehensive loss for the year ended December 31, 2021.</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conversion was accounted for as an extinguishment of the convertible loan notes. As a result, the 12,421 Series B preferred shares issued on conversion were recognized at the settlement-date fair value of the Series B shares ($53.7 million) and a loss of $13.8 million was recognized in earnings for the difference between (1) the fair value of those shares and (2) the sum of the carrying amounts of the convertible loan notes ($25.6 million) and the bifurcated conversion and redemption feature liability ($14.4 million).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valued the cash redemption features based on the difference of the present value of cash flows with and without the redemption features. The conversion features upon a nonqualified equity financing and qualified equity financing were valued based on the conversion formula stated in the convertible agreement, present valued at the risk-free rate for the expected period until the nonqualified equity financing and qualified equity financing (assumed and adjusted for the present value of cash flows of debt without the feature. The conversion features upon an exit event or maturity were valued using a Monte Carlo simulation model to fair value the convertible loan notes upon an exit event and maturity adjusted for the cash redemption value discounted at the risk-free rate. The probability of exercise of conversion feature or the cash redemption upon an exit event, nonqualified equity financing, qualified equity financing and maturity ranged from 5% -75%, the risk-free rate was 0.22% and the market cost of debt without the features was 11.80%. The fair value of the embedded derivatives is a Level 3 valuation with the significant unobservable inputs being the probability of exercise of conversion and cash redemption features. Significant judgment is employed in determining the appropriateness of certain of these inputs. Changes to the inputs described above could have a material impact on the Company’s financial position and results of operations in any given period.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fair value of the embedded derivatives in the convertible loan notes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20,109</w:t>
            </w:r>
          </w:p>
        </w:tc>
      </w:tr>
      <w:tr>
        <w:trPr>
          <w:trHeight w:val="206"/>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00" w:type="dxa"/>
            <w:vAlign w:val="bottom"/>
          </w:tcPr>
          <w:p>
            <w:pPr>
              <w:spacing w:after="0"/>
              <w:rPr>
                <w:sz w:val="17"/>
                <w:szCs w:val="17"/>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recognized in the net loss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w:t>
            </w:r>
          </w:p>
        </w:tc>
      </w:tr>
      <w:tr>
        <w:trPr>
          <w:trHeight w:val="206"/>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Settlement via conversion</w:t>
            </w:r>
          </w:p>
        </w:tc>
        <w:tc>
          <w:tcPr>
            <w:tcW w:w="100" w:type="dxa"/>
            <w:vAlign w:val="bottom"/>
          </w:tcPr>
          <w:p>
            <w:pPr>
              <w:spacing w:after="0"/>
              <w:rPr>
                <w:sz w:val="17"/>
                <w:szCs w:val="17"/>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(14,375)</w:t>
            </w:r>
          </w:p>
        </w:tc>
      </w:tr>
      <w:tr>
        <w:trPr>
          <w:trHeight w:val="206"/>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translation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198"/>
        </w:trPr>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Series A and Series B Shares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March 15, 2021, the Company issued 28,957 Series B preferred shares (“Series B Shares”) amounting to $125.2 million and incurred transaction costs of $3.4 million.</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March 31, 2021, the Company subdivided each of the Series A shares and Series B shares (including the Series B shares issued on conversion of the convertible loan notes) into one share of the same class and one deferred A share with a nominal value of £1.00 per share.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Ordinary Shares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4, 2021, the Company closed its initial public offering (“IPO”) of 6,500,000 ADS representing 6,500,000 ordinary shares having a nominal value of £0.000025 per share, at a public offering price of $17.00 per share, for aggregate net proceeds of $102.8 million after deducting underwriting commissions of $7.7 million and incurred offering costs of $2.2 million.</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All ordinary shares rank pari passu as a single class. The following is a summary of the rights and privileges of the holders of ordinary shares as of December 31, 2022:</w:t>
      </w:r>
    </w:p>
    <w:p>
      <w:pPr>
        <w:spacing w:after="0" w:line="1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Liquidation preference: </w:t>
      </w:r>
      <w:r>
        <w:rPr>
          <w:rFonts w:ascii="Times New Roman" w:cs="Times New Roman" w:eastAsia="Times New Roman" w:hAnsi="Times New Roman"/>
          <w:sz w:val="17"/>
          <w:szCs w:val="17"/>
          <w:color w:val="auto"/>
        </w:rPr>
        <w:t>In the event of the liquidation, dissolution or winding up of the Company, the assets of the Company available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to holders of the ordinary shares shall be distributed amongst all holders of the ordinary shares in proportion to the number of shares held irrespective of the amount paid or credited as paid on any share.</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Holders of the ordinary shares are entitled to dividend, as may be recommended from time to time by the Board and declared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shareholders out of legally available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ordinary shares is entitled to one vote for each share on all matters to be voted on by ordinary shareholders.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Preemption rights: </w:t>
      </w:r>
      <w:r>
        <w:rPr>
          <w:rFonts w:ascii="Times New Roman" w:cs="Times New Roman" w:eastAsia="Times New Roman" w:hAnsi="Times New Roman"/>
          <w:sz w:val="17"/>
          <w:szCs w:val="17"/>
          <w:color w:val="auto"/>
        </w:rPr>
        <w:t>Pursuant to section 561 of the Companies Act 2006, shareholders are granted preemptive rights when new shares are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95"/>
        </w:trPr>
        <w:tc>
          <w:tcPr>
            <w:tcW w:w="88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6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VACCITECH PLC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NOTES TO CONSOLIDATED FINANCIAL STATEMENTS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December 31, 2022, the Company has reserved the following ordinary shares for future issuance: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4,884,720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Shares available for future stock incentive plan awards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1,670,268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6,554,988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Deferred shares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($1.4 million) in respect of each ordinary share held by them respectively. The deferred shares shall confer on the holders thereof no further right to participate in the assets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Share-Based Compensation</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April 8, 2021, the Board of the Company adopted the Vaccitech plc Share Award Plan 2021 (“the Plan”) and the Vaccitech plc Non-Employee Sub-Plan which is a sub-plan of the Plan. Under the terms of the Plan, the Board is permitted to grant awards to employees as restricted share units, options, share appreciation rights and restricted shares. The aggregate number of shares initially available for issuance under the Plan and the Vaccitech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 (ii) such number of ordinary shares as determined by the Compensation Committee of the Board in its discretion (the “Annual Increase”). The awards generally vest based on the grantee’s continued service with the Company during a specified period following grant as determined by the Board and generally expire ten years from the grant date. Option awards generally vest over three years, but vesting conditions can vary at the discretion of the Company’s Board. As of December 31, 2022 and 2021, 1,670,268 and 2,127,920 ordinary shares are available for future grants, respectively.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2018, the Company’s board of directors adopted the Enterprise Management Incentive Share Option Scheme (the “EMI Plan”) which provided for the grant of incentive stock options and nonqualified stock options to non-director employees of the Company. The Company also has a nonqualified stock option plan for officers and directors. The awards generally vest based on the grantee’s continued service with the Company during a specified period following grant as determined by the board of directors and generally expire ten years from the grant date. Option awards generally vest over one to three years, but vesting conditions can vary at the discretion of the Company’s board of directors. A total of 3,530,634 ordinary shares were reserved for issuance in accordance with the provisions of the EMI Plan and restricted stock unit (“RSUs”) plan. Upon adoption of the Plan, no further awards are to be made under the EMI Plan.</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fair value of each stock option issued to employees was estimated at the date of grant using Black-Scholes with the following weighted-average assumptions: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220" w:type="dxa"/>
            <w:vAlign w:val="bottom"/>
            <w:gridSpan w:val="2"/>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120" w:type="dxa"/>
            <w:vAlign w:val="bottom"/>
            <w:gridSpan w:val="2"/>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5580" w:type="dxa"/>
            <w:vAlign w:val="bottom"/>
          </w:tcPr>
          <w:p>
            <w:pPr>
              <w:spacing w:after="0"/>
              <w:rPr>
                <w:sz w:val="12"/>
                <w:szCs w:val="12"/>
                <w:color w:val="auto"/>
              </w:rPr>
            </w:pPr>
          </w:p>
        </w:tc>
        <w:tc>
          <w:tcPr>
            <w:tcW w:w="1220" w:type="dxa"/>
            <w:vAlign w:val="bottom"/>
            <w:gridSpan w:val="2"/>
          </w:tcPr>
          <w:p>
            <w:pPr>
              <w:jc w:val="center"/>
              <w:ind w:right="214"/>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gridSpan w:val="2"/>
          </w:tcPr>
          <w:p>
            <w:pPr>
              <w:jc w:val="center"/>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6"/>
        </w:trPr>
        <w:tc>
          <w:tcPr>
            <w:tcW w:w="55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4"/>
                <w:szCs w:val="14"/>
                <w:color w:val="auto"/>
              </w:rPr>
            </w:pPr>
          </w:p>
        </w:tc>
      </w:tr>
      <w:tr>
        <w:trPr>
          <w:trHeight w:val="19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7"/>
                <w:szCs w:val="17"/>
                <w:color w:val="auto"/>
              </w:rPr>
            </w:pPr>
          </w:p>
        </w:tc>
      </w:tr>
      <w:tr>
        <w:trPr>
          <w:trHeight w:val="20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the IPO, the Company applied a discount for lack of marketability calculated using the Finnerty model.</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Since there is insufficient trading history for the Company’s ordinary shares, the expected price volatility for our ordinary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was estimated using the average historical volatility of industry peers’ shares as of the grant date of our options over a period of history commensurate with the expected life of the options. To the extent that volatility of our share price increases in the future, our estimates of the fair value of options to be granted in the future could increase, thereby increasing share-based payment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84"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expense in future periods. When selecting industry peers to be used in measuring implied volatility, the Company considered the similarity of their products and business lines, as well as their stage of development, size and financial leverage. The Company intends to continue to consistently apply this process using the same or similar public companies until sufficient historical information on volatility of its share price becomes available.</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(years): </w:t>
      </w:r>
      <w:r>
        <w:rPr>
          <w:rFonts w:ascii="Times New Roman" w:cs="Times New Roman" w:eastAsia="Times New Roman" w:hAnsi="Times New Roman"/>
          <w:sz w:val="17"/>
          <w:szCs w:val="17"/>
          <w:color w:val="auto"/>
        </w:rPr>
        <w:t>Expected term represents the period that the Company’s option grants are expected to be outstanding. There is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sufficient historical share exercise data to calculate the expected term of the stock options. Therefore, the Company elected to utilize the simplified method to value option grants. Under this approach, the weighted-average expected life is presumed to be the average of the vesting term and the contractual term of the option.</w:t>
      </w:r>
    </w:p>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Company determined the risk-free interest rate by using a weighted-average equivalent to the expected term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daily U.S. Treasury yield curve rate in effect as of the date of grant.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The Company does not anticipate paying any dividends in the foreseeable future.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stock option activity is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Price Per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3,186,818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2,296,303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Exercised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0.00034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Forfeited/expired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(410,739)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4,884,720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December 31, 2022</w:t>
            </w:r>
          </w:p>
        </w:tc>
        <w:tc>
          <w:tcPr>
            <w:tcW w:w="9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0" w:type="dxa"/>
            <w:vAlign w:val="bottom"/>
          </w:tcPr>
          <w:p>
            <w:pPr>
              <w:spacing w:after="0" w:line="20" w:lineRule="exact"/>
              <w:rPr>
                <w:sz w:val="1"/>
                <w:szCs w:val="1"/>
                <w:color w:val="auto"/>
              </w:rPr>
            </w:pPr>
          </w:p>
        </w:tc>
      </w:tr>
      <w:tr>
        <w:trPr>
          <w:trHeight w:val="184"/>
        </w:trPr>
        <w:tc>
          <w:tcPr>
            <w:tcW w:w="5420" w:type="dxa"/>
            <w:vAlign w:val="bottom"/>
            <w:gridSpan w:val="2"/>
            <w:vMerge w:val="continue"/>
          </w:tcPr>
          <w:p>
            <w:pPr>
              <w:spacing w:after="0"/>
              <w:rPr>
                <w:sz w:val="16"/>
                <w:szCs w:val="16"/>
                <w:color w:val="auto"/>
              </w:rPr>
            </w:pPr>
          </w:p>
        </w:tc>
        <w:tc>
          <w:tcPr>
            <w:tcW w:w="96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1,476,872</w:t>
            </w:r>
          </w:p>
        </w:tc>
        <w:tc>
          <w:tcPr>
            <w:tcW w:w="3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April 22, 2021, the exercise price of 267,903 options was changed from $0.0004 (£0.0003) to $4.84 (£3.49) in order to enable employees to benefit from tax advantages under the Enterprise Management Incentive Scheme. This modification did not result in an incremental compensation cost and the Company continues to recognize compensation cost on these options equal to the grant date fair value of the original award.</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weighted-average grant date per-share fair value of stock options granted during the year ended December 31, 2022 was $3.51 per share (December 31, 2021: $10.98 per share). The aggregate intrinsic value of stock options exercised during the year ended December 31, 2022 was $0.8 million (December 31, 2021: $1.8 million). As of December 31, 2022, there was $7.1 million (2021: $12.5 million) of unrecognized compensation cost related to stock options, which is expected to be recognized over a weighted-average period of 1.89 years.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 Restricted Stock Units (“RSUs”) were issued or outstanding for the year ended December 31, 2022. During the year ended December 31, 2021, 514,923 restricted stock units (including with 275,139 restricted stock units as a result of the antidilution provision) vested on occurrence of the IPO resulting in $5.8 million recognized as compensation cost. The incremental compensation cost as a result of the anti dilution provision was $4.4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based compensation expense is classified in the consolidated statements of operations and comprehensive loss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6"/>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r>
      <w:tr>
        <w:trPr>
          <w:trHeight w:val="206"/>
        </w:trPr>
        <w:tc>
          <w:tcPr>
            <w:tcW w:w="20" w:type="dxa"/>
            <w:vAlign w:val="bottom"/>
          </w:tcPr>
          <w:p>
            <w:pPr>
              <w:spacing w:after="0"/>
              <w:rPr>
                <w:sz w:val="17"/>
                <w:szCs w:val="17"/>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7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14,206</w:t>
            </w:r>
          </w:p>
        </w:tc>
      </w:tr>
      <w:tr>
        <w:trPr>
          <w:trHeight w:val="198"/>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3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16,487</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920" w:type="dxa"/>
            <w:vAlign w:val="bottom"/>
            <w:gridSpan w:val="2"/>
          </w:tcPr>
          <w:p>
            <w:pPr>
              <w:jc w:val="right"/>
              <w:ind w:right="2054"/>
              <w:spacing w:after="0"/>
              <w:rPr>
                <w:sz w:val="20"/>
                <w:szCs w:val="20"/>
                <w:color w:val="auto"/>
              </w:rPr>
            </w:pPr>
            <w:r>
              <w:rPr>
                <w:rFonts w:ascii="Times New Roman" w:cs="Times New Roman" w:eastAsia="Times New Roman" w:hAnsi="Times New Roman"/>
                <w:sz w:val="17"/>
                <w:szCs w:val="17"/>
                <w:color w:val="auto"/>
              </w:rPr>
              <w:t>F-24</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tax benefit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41"/>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6"/>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Current income tax benefit:</w:t>
            </w:r>
          </w:p>
        </w:tc>
        <w:tc>
          <w:tcPr>
            <w:tcW w:w="2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United Kingdom</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Foreign</w:t>
            </w:r>
          </w:p>
        </w:tc>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6"/>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United Kingdom</w:t>
            </w:r>
          </w:p>
        </w:tc>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4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Foreign</w:t>
            </w:r>
          </w:p>
        </w:tc>
        <w:tc>
          <w:tcPr>
            <w:tcW w:w="2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198"/>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benefit, current</w:t>
            </w:r>
          </w:p>
        </w:tc>
        <w:tc>
          <w:tcPr>
            <w:tcW w:w="2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680"/>
        <w:spacing w:after="0" w:line="285" w:lineRule="auto"/>
        <w:rPr>
          <w:sz w:val="20"/>
          <w:szCs w:val="20"/>
          <w:color w:val="auto"/>
        </w:rPr>
      </w:pPr>
      <w:r>
        <w:rPr>
          <w:rFonts w:ascii="Times New Roman" w:cs="Times New Roman" w:eastAsia="Times New Roman" w:hAnsi="Times New Roman"/>
          <w:sz w:val="17"/>
          <w:szCs w:val="17"/>
          <w:color w:val="auto"/>
        </w:rPr>
        <w:t>A reconciliation of income tax benefit computed at the UK statutory income tax rate to income tax benefit (expense) as reflected in the consolidated financial statements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20" w:type="dxa"/>
            <w:vAlign w:val="bottom"/>
            <w:gridSpan w:val="2"/>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360" w:type="dxa"/>
            <w:vAlign w:val="bottom"/>
            <w:gridSpan w:val="2"/>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5"/>
              </w:rPr>
              <w:t>Year ended</w:t>
            </w: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36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00" w:type="dxa"/>
            <w:vAlign w:val="bottom"/>
            <w:gridSpan w:val="2"/>
          </w:tcPr>
          <w:p>
            <w:pPr>
              <w:jc w:val="center"/>
              <w:ind w:left="34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tax rate</w:t>
            </w:r>
          </w:p>
        </w:tc>
        <w:tc>
          <w:tcPr>
            <w:tcW w:w="35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24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(decreases) resulting from:</w:t>
            </w:r>
          </w:p>
        </w:tc>
        <w:tc>
          <w:tcPr>
            <w:tcW w:w="3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Permanent differences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(103.46)</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Provision to return adjustments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(307.09)</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(149.82)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2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146.55</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2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Share based compensation</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240" w:type="dxa"/>
            <w:vAlign w:val="bottom"/>
          </w:tcPr>
          <w:p>
            <w:pPr>
              <w:spacing w:after="0"/>
              <w:rPr>
                <w:sz w:val="17"/>
                <w:szCs w:val="17"/>
                <w:color w:val="auto"/>
              </w:rPr>
            </w:pPr>
          </w:p>
        </w:tc>
        <w:tc>
          <w:tcPr>
            <w:tcW w:w="13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200" w:type="dxa"/>
            <w:vAlign w:val="bottom"/>
            <w:shd w:val="clear" w:color="auto" w:fill="CCEEFF"/>
          </w:tcPr>
          <w:p>
            <w:pPr>
              <w:spacing w:after="0"/>
              <w:rPr>
                <w:sz w:val="17"/>
                <w:szCs w:val="17"/>
                <w:color w:val="auto"/>
              </w:rPr>
            </w:pPr>
          </w:p>
        </w:tc>
      </w:tr>
      <w:tr>
        <w:trPr>
          <w:trHeight w:val="198"/>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35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(510.69)</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0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940" w:type="dxa"/>
            <w:vAlign w:val="bottom"/>
            <w:gridSpan w:val="3"/>
          </w:tcPr>
          <w:p>
            <w:pPr>
              <w:jc w:val="right"/>
              <w:ind w:right="3354"/>
              <w:spacing w:after="0"/>
              <w:rPr>
                <w:sz w:val="20"/>
                <w:szCs w:val="20"/>
                <w:color w:val="auto"/>
              </w:rPr>
            </w:pPr>
            <w:r>
              <w:rPr>
                <w:rFonts w:ascii="Times New Roman" w:cs="Times New Roman" w:eastAsia="Times New Roman" w:hAnsi="Times New Roman"/>
                <w:sz w:val="17"/>
                <w:szCs w:val="17"/>
                <w:color w:val="auto"/>
              </w:rPr>
              <w:t>F-25</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6"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6"/>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10,299</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Research and development credit carryforwards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w:t>
            </w: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revenue</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Share based compensation</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Lease liability</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Accruals and intangibles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Capitalized Research and Development expenditure</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1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Gross deferred tax asset</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17,503</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w:t>
            </w:r>
          </w:p>
        </w:tc>
      </w:tr>
      <w:tr>
        <w:trPr>
          <w:trHeight w:val="198"/>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deferred tax assets</w:t>
            </w: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8,934</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4,003</w:t>
            </w: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Right-of-use lease asset</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r>
      <w:tr>
        <w:trPr>
          <w:trHeight w:val="206"/>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Unrealized gain on investment</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w:t>
            </w: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w:t>
            </w:r>
          </w:p>
        </w:tc>
        <w:tc>
          <w:tcPr>
            <w:tcW w:w="1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r>
      <w:tr>
        <w:trPr>
          <w:trHeight w:val="198"/>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(12,087)</w:t>
            </w:r>
          </w:p>
        </w:tc>
      </w:tr>
      <w:tr>
        <w:trPr>
          <w:trHeight w:val="198"/>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net</w:t>
            </w: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(8,084)</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Specified research and experimentation costs under Section 174 of the Internal Revenue Code are required to be capitalized and amortized ratably over five years for domestic expenditures and over 15 years for foreign expenditures. This provision of Section 174 became effective for tax years beginning after December 31, 2021. As a result of the capitalization of these costs in the current year, the Company has recorded a $2.5 million deferred tax asset.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2022, the Company had a valuation allowance of $13.7 million (2021: $13.5 million) against its deferred tax assets, which consisted principally of net operating loss and research and development credit carryforwards. The Company considered the positive and negative evidence bearing upon its ability to realize the deferred tax assets. In addition to the Company’s history of cumulative losses, the Company cannot be certain that future taxable income will be sufficient to realize its deferred tax assets. Accordingly, a valuation allowance has been provided against its deferred tax assets. When the Company changes its determination as to the amount of its deferred tax assets that can be realized, the valuation allowance is adjusted with a corresponding impact to the provision for income taxes in the period in which such determination is made.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December 31, 2022, the Company had NOL carryforwards totaling approximately $39.6 million which have an unlimited carryforward period, of which $35.1 million originate in the United Kingdom. As of December 31, 2022, the Company had $3.1 million of research and development tax credit carryforwards which also have an unlimited carryforward period.</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December 31, 2021, the Company had NOL carryforwards totaling approximately $40.9 million which have an unlimited carryforward period, of which $37.8 million originate in the United Kingdom. As of December 31, 2021, the Company had $3.3 million of research and development tax credit carryforwards which also have an unlimited carryforward period.</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2022 and 2021, the Company does not have any material unrecognized tax benefit liabilities. The Company files income tax returns in the United Kingdom, Australia, and the United States. The associated tax filings remain subject to examination by applicable tax authorities for a certain length of time following the tax year to which those filings relate. In the United Kingdom, tax years from 2019 remain subject to examination by Her Majesty’s Revenue and Customs. In all other jurisdictions, the tax years since inception remain subject to examination by the applicable taxing authorities as of December 31, 2022 and 2021.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In-License Agreements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years ended December 31,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leases certain laboratory and office space under operating leases, which are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Oxford Science Park, Oxford</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leased an office and laboratory space from a related party in Oxford, England under an operating lease with a contractual term expiring in 2028. The lease was terminated on July 31, 2022, and the Company relocated its corporate headquarters to The Harwell Science and Innovation Campus, Oxfordshire, in the third quarter of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Harwell Science and Innovation Campus, Oxfordshire</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$0.6 million which is included in Other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Germantown, Maryland</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June 14, 2022, the Company entered into a lease agreement for the lease of approximately 19,700 square feet in Germantown, Maryland. The site will house the Company’s state-of-the-art wet laboratory in the United States of America. The lease expires on February 28, 2034, with the Company having a single right to extend for an additional five years on the same terms and conditions other than for the base rent. The Company has a rent-free period up to February 29, 2024 and is entitled to up to $3.5 million for leasehold improvements to the premises desired by the Company. The Company has provided the lessor with a refundable security deposit of $0.2 million which is included in Other assets.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recorded a right-of-use asset and a lease liability on the effective date of the lease term. The Company’s right-of-use assets and lease liabilities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6"/>
        </w:trPr>
        <w:tc>
          <w:tcPr>
            <w:tcW w:w="2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liability, current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noncurrent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6,540</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7.9 %</w:t>
            </w:r>
          </w:p>
        </w:tc>
      </w:tr>
      <w:tr>
        <w:trPr>
          <w:trHeight w:val="20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60" w:type="dxa"/>
            <w:vAlign w:val="bottom"/>
          </w:tcPr>
          <w:p>
            <w:pPr>
              <w:spacing w:after="0"/>
              <w:rPr>
                <w:sz w:val="19"/>
                <w:szCs w:val="19"/>
                <w:color w:val="auto"/>
              </w:rPr>
            </w:pPr>
          </w:p>
        </w:tc>
      </w:tr>
    </w:tbl>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$2.3 million (December 31, 2021: $0.7 million) in operating lease costs (including short-term lease costs and variable lease costs).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Maturities of the Company’s minimum lease liabilities as of December 31, 2022 were as follows (in thousands):</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23"/>
        </w:trPr>
        <w:tc>
          <w:tcPr>
            <w:tcW w:w="8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Maturity of lease liabilities: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(3,013)</w:t>
            </w:r>
          </w:p>
        </w:tc>
      </w:tr>
      <w:tr>
        <w:trPr>
          <w:trHeight w:val="206"/>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r>
      <w:tr>
        <w:trPr>
          <w:trHeight w:val="206"/>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w:t>
            </w:r>
          </w:p>
        </w:tc>
      </w:tr>
      <w:tr>
        <w:trPr>
          <w:trHeight w:val="206"/>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r>
      <w:tr>
        <w:trPr>
          <w:trHeight w:val="206"/>
        </w:trPr>
        <w:tc>
          <w:tcPr>
            <w:tcW w:w="20" w:type="dxa"/>
            <w:vAlign w:val="bottom"/>
          </w:tcPr>
          <w:p>
            <w:pPr>
              <w:spacing w:after="0"/>
              <w:rPr>
                <w:sz w:val="17"/>
                <w:szCs w:val="17"/>
                <w:color w:val="auto"/>
              </w:rPr>
            </w:pPr>
          </w:p>
        </w:tc>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9,802</w:t>
            </w:r>
          </w:p>
        </w:tc>
      </w:tr>
      <w:tr>
        <w:trPr>
          <w:trHeight w:val="198"/>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14,231</w:t>
            </w:r>
          </w:p>
        </w:tc>
      </w:tr>
      <w:tr>
        <w:trPr>
          <w:trHeight w:val="206"/>
        </w:trPr>
        <w:tc>
          <w:tcPr>
            <w:tcW w:w="20" w:type="dxa"/>
            <w:vAlign w:val="bottom"/>
          </w:tcPr>
          <w:p>
            <w:pPr>
              <w:spacing w:after="0"/>
              <w:rPr>
                <w:sz w:val="17"/>
                <w:szCs w:val="17"/>
                <w:color w:val="auto"/>
              </w:rPr>
            </w:pPr>
          </w:p>
        </w:tc>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(5,458)</w:t>
            </w:r>
          </w:p>
        </w:tc>
      </w:tr>
      <w:tr>
        <w:trPr>
          <w:trHeight w:val="198"/>
        </w:trPr>
        <w:tc>
          <w:tcPr>
            <w:tcW w:w="20" w:type="dxa"/>
            <w:vAlign w:val="bottom"/>
          </w:tcPr>
          <w:p>
            <w:pPr>
              <w:spacing w:after="0"/>
              <w:rPr>
                <w:sz w:val="17"/>
                <w:szCs w:val="17"/>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liability</w:t>
            </w:r>
          </w:p>
        </w:tc>
        <w:tc>
          <w:tcPr>
            <w:tcW w:w="5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Non-lease and other costs paid to the lessors are primarily related to services provided by the lessors in operating the premises that includes fees, operating costs, taxes, and insurance related to the leased premises.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contingencies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Employee Benefit Plans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United Kingdom, the Company has adopted a defined contribution plan (the U.K. Plan) which qualifies under the rules established by HM Revenue &amp; Customs. Contributions to the U.K. Plan are charged to the consolidated statements of operations and comprehensive loss in the year to which they relate.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401(k) defined contribution retirement plans in which all its employees located in the United States are eligible to participate.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Eligible employees may elect to contribute up to the maximum limits, as set by the Internal Revenue Service, of their eligible 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Contributions to the plans are charged to the consolidated statements of operations and comprehensive loss in the year to which they relate.</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year ended December 31, 2022, the Company provided a total of $0.5 million (December 31, 2021: $0.2 million) in contribution under both the U.K. Plan and the 401(k) plans.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VACCITECH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Related Party Transactions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2022, the Company incurred expenses of $126 thousand (December 31, 2021: $318 thousand) to its shareholder, Oxford Science Enterprises plc (formerly, Oxford Sciences Innovation plc), mostly related to the lease of a laboratory and office space in Oxford. The Company also received proceeds of $368 thousand from the sale of property plant and equipment and earned a profit of $331 thousand for the year ended December 31, 2022. As of December 31, 2022, the Company owed $7 thousand (2021: $32 thousand) to Oxford Science Enterprises plc.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the Company incurred expenses of $361 thousand (December 31, 2021: $191 thousand) to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the University of Oxford, related to clinical study costs. As of December 31, 2022, the Company owed $nil (2021: $nil).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the Company incurred expenses of $430 thousand (December 31, 2021: $379 thousand), and</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recognized license revenue of $43.7 million (December 31, 2021: $nil) from Oxford University Innovation Limited which is a wholly owned subsidiary of the Company’s shareholder, the University of Oxford. As of December 31, 2022, the Company was owed $5.5 million (2021: $nil) from Oxford University Innovation Limited.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the Company incurred expenses of $1 thousand (December 31, 2021: $80 thousand), to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the Oxford University Hospitals, related to clinical study costs. As of December 31, 2022, the Company owed $nil (2021: $nil).</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There were no convertible loan notes outstanding during the year ended December 31, 2022. During the year ended December 31, 2021, the interest on convertible loan notes issued to Oxford Science Enterprises plc and the University of Oxford, shareholders of the Company, was $429 thousand. There were no convertible loan notes outstanding as of December 2022 and 2021.</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were no Series B shares issued for the year ended December 31, 2022. On March 15, 2021 Oxford Science Enterprises plc subscribed to 3,468 Series B Shares in an amount of $15.0 million. The Company also recognized a loss of $2.1 million on the conversion of the convertible loan notes into 2,008 Series B Shares. On May 4, 2021, prior to the closing of the Company’s initial public offering and pursuant to the terms of its articles of association, the Series B Shares were converted into 1,692,084 ordinary shares. As of December 31, 2022 and 2021, there were no Series B Shares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Subsequent Events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accordance with the terms of the Annual Increase of the Vaccitech plc Share Award Plan 2021, the total number of ordinary shares available for issuance under the Plan increased by 4% of the Company’s issued and outstanding ordinary shares as of January 1, 2023.</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the period from January 1, 2023, to February 28, 2023, we raised gross proceeds of $1.4 million from the issuance of 506,478 ordinary shares represented by ADSs through “at-the-market” offerings under the sales agreement with Jefferies LLC.</w:t>
      </w:r>
    </w:p>
    <w:p>
      <w:pPr>
        <w:spacing w:after="0" w:line="152"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7"/>
          <w:szCs w:val="17"/>
          <w:color w:val="auto"/>
        </w:rPr>
        <w:t>In January and February 2023, the Company granted a total of 1,973,529 share options to employees and directors with a weighted average exercise price of $2.53.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18, 2023, we incorporated Vaccitech Switzerland GmbH, a wholly owned subsidiary of Vaccitech (UK) Limited.</w:t>
      </w:r>
    </w:p>
    <w:p>
      <w:pPr>
        <w:spacing w:after="0" w:line="216"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7"/>
          <w:szCs w:val="17"/>
          <w:color w:val="auto"/>
        </w:rPr>
        <w:t>In February 2023, we settled a portion of the technology milestone related to the acquisition of Avidea, through the payment of $0.1 million in cash and the issuance of 28,618 ordinary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630682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81" w:name="page182"/>
    <w:bookmarkEnd w:id="181"/>
    <w:p>
      <w:pPr>
        <w:ind w:left="904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88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SUBSIDIARIES</w:t>
            </w:r>
          </w:p>
        </w:tc>
      </w:tr>
      <w:tr>
        <w:trPr>
          <w:trHeight w:val="423"/>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405"/>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Australia Pty Limited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Australia</w:t>
            </w:r>
          </w:p>
        </w:tc>
      </w:tr>
      <w:tr>
        <w:trPr>
          <w:trHeight w:val="41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Oncology Limited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England and Wales</w:t>
            </w:r>
          </w:p>
        </w:tc>
      </w:tr>
      <w:tr>
        <w:trPr>
          <w:trHeight w:val="41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(UK) Limited (formerly Vaccitech Limited)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England and Wales</w:t>
            </w:r>
          </w:p>
        </w:tc>
      </w:tr>
      <w:tr>
        <w:trPr>
          <w:trHeight w:val="41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North America Inc.</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41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Italia S.R.L.</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Italy</w:t>
            </w:r>
          </w:p>
        </w:tc>
      </w:tr>
      <w:tr>
        <w:trPr>
          <w:trHeight w:val="41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Vaccitech Switzerland GmbH</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Switzerland</w:t>
            </w:r>
          </w:p>
        </w:tc>
      </w:tr>
      <w:tr>
        <w:trPr>
          <w:trHeight w:val="1354"/>
        </w:trPr>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39"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0"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 333-266724 and 333-265763) and Form S-8 (Nos. 333-263844 and 333-255664) of Vaccitech plc of our report dated March 24, 2023 relating to the financial statements, which appears in this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Reading, United Kingdom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630682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Vaccitech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Didcot, United Kingdom</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333-265763 and No. 333-266724) and Form S-8 (No. 333-255664 and No. 333-263844) of Vaccitech plc of our report dated March 25, 2022, relating to the consolidated financial statements which appears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BDO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30682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15d-14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UNDER THE SECURITIES EXCHANGE ACT OF 1934</w:t>
      </w:r>
      <w:r>
        <w:rPr>
          <w:rFonts w:ascii="Times New Roman" w:cs="Times New Roman" w:eastAsia="Times New Roman" w:hAnsi="Times New Roman"/>
          <w:sz w:val="17"/>
          <w:szCs w:val="17"/>
          <w:color w:val="auto"/>
        </w:rPr>
        <w: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Enright, certify that:</w:t>
      </w:r>
    </w:p>
    <w:p>
      <w:pPr>
        <w:spacing w:after="0" w:line="216" w:lineRule="exact"/>
        <w:rPr>
          <w:sz w:val="20"/>
          <w:szCs w:val="20"/>
          <w:color w:val="auto"/>
        </w:rPr>
      </w:pPr>
    </w:p>
    <w:p>
      <w:pPr>
        <w:ind w:left="320" w:hanging="316"/>
        <w:spacing w:after="0"/>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2022 of Vaccitech plc;</w:t>
      </w:r>
    </w:p>
    <w:p>
      <w:pPr>
        <w:spacing w:after="0" w:line="177" w:lineRule="exact"/>
        <w:rPr>
          <w:rFonts w:ascii="Times New Roman" w:cs="Times New Roman" w:eastAsia="Times New Roman" w:hAnsi="Times New Roman"/>
          <w:sz w:val="17"/>
          <w:szCs w:val="17"/>
          <w:color w:val="auto"/>
        </w:rPr>
      </w:pPr>
    </w:p>
    <w:p>
      <w:pPr>
        <w:ind w:left="320" w:right="100" w:hanging="316"/>
        <w:spacing w:after="0" w:line="269"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Times New Roman" w:cs="Times New Roman" w:eastAsia="Times New Roman" w:hAnsi="Times New Roman"/>
          <w:sz w:val="17"/>
          <w:szCs w:val="17"/>
          <w:color w:val="auto"/>
        </w:rPr>
      </w:pPr>
    </w:p>
    <w:p>
      <w:pPr>
        <w:ind w:left="320" w:right="360" w:hanging="316"/>
        <w:spacing w:after="0" w:line="285"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Times New Roman" w:cs="Times New Roman" w:eastAsia="Times New Roman" w:hAnsi="Times New Roman"/>
          <w:sz w:val="17"/>
          <w:szCs w:val="17"/>
          <w:color w:val="auto"/>
        </w:rPr>
      </w:pPr>
    </w:p>
    <w:p>
      <w:pPr>
        <w:ind w:left="320" w:right="240" w:hanging="316"/>
        <w:spacing w:after="0" w:line="262"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13a-15(f) and 15d-15(f)) for the registrant and have:</w:t>
      </w:r>
    </w:p>
    <w:p>
      <w:pPr>
        <w:spacing w:after="0" w:line="160" w:lineRule="exact"/>
        <w:rPr>
          <w:rFonts w:ascii="Times New Roman" w:cs="Times New Roman" w:eastAsia="Times New Roman" w:hAnsi="Times New Roman"/>
          <w:sz w:val="17"/>
          <w:szCs w:val="17"/>
          <w:color w:val="auto"/>
        </w:rPr>
      </w:pPr>
    </w:p>
    <w:p>
      <w:pPr>
        <w:ind w:left="620" w:right="180" w:hanging="308"/>
        <w:spacing w:after="0" w:line="269"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620" w:right="240" w:hanging="308"/>
        <w:spacing w:after="0" w:line="269"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jc w:val="both"/>
        <w:ind w:left="620" w:right="40" w:hanging="308"/>
        <w:spacing w:after="0" w:line="285"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17"/>
          <w:szCs w:val="17"/>
          <w:color w:val="auto"/>
        </w:rPr>
      </w:pPr>
    </w:p>
    <w:p>
      <w:pPr>
        <w:ind w:left="620" w:right="40" w:hanging="308"/>
        <w:spacing w:after="0" w:line="269"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320" w:right="280" w:hanging="316"/>
        <w:spacing w:after="0" w:line="269"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7"/>
          <w:szCs w:val="17"/>
          <w:color w:val="auto"/>
        </w:rPr>
      </w:pPr>
    </w:p>
    <w:p>
      <w:pPr>
        <w:ind w:left="620" w:right="280" w:hanging="308"/>
        <w:spacing w:after="0" w:line="285"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7"/>
          <w:szCs w:val="17"/>
          <w:color w:val="auto"/>
        </w:rPr>
      </w:pPr>
    </w:p>
    <w:p>
      <w:pPr>
        <w:ind w:left="620" w:right="540" w:hanging="308"/>
        <w:spacing w:after="0" w:line="285"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Date: March 24, 2023</w:t>
      </w:r>
      <w:r>
        <w:rPr>
          <w:sz w:val="20"/>
          <w:szCs w:val="20"/>
          <w:color w:val="auto"/>
        </w:rPr>
        <w:tab/>
      </w:r>
      <w:r>
        <w:rPr>
          <w:rFonts w:ascii="Times New Roman" w:cs="Times New Roman" w:eastAsia="Times New Roman" w:hAnsi="Times New Roman"/>
          <w:sz w:val="17"/>
          <w:szCs w:val="17"/>
          <w:color w:val="auto"/>
        </w:rPr>
        <w:t>By:/s/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17145</wp:posOffset>
            </wp:positionV>
            <wp:extent cx="2969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William Enright</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854710</wp:posOffset>
            </wp:positionV>
            <wp:extent cx="630682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839" w:right="99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15d-14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UNDER THE SECURITIES EXCHANGE ACT OF 1934</w:t>
      </w:r>
      <w:r>
        <w:rPr>
          <w:rFonts w:ascii="Times New Roman" w:cs="Times New Roman" w:eastAsia="Times New Roman" w:hAnsi="Times New Roman"/>
          <w:sz w:val="17"/>
          <w:szCs w:val="17"/>
          <w:color w:val="auto"/>
        </w:rPr>
        <w: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I,</w:t>
        <w:tab/>
        <w:t>Gemma Brown, certify that:</w:t>
      </w:r>
    </w:p>
    <w:p>
      <w:pPr>
        <w:spacing w:after="0" w:line="216" w:lineRule="exact"/>
        <w:rPr>
          <w:sz w:val="20"/>
          <w:szCs w:val="20"/>
          <w:color w:val="auto"/>
        </w:rPr>
      </w:pPr>
    </w:p>
    <w:p>
      <w:pPr>
        <w:ind w:left="920" w:hanging="300"/>
        <w:spacing w:after="0"/>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2022 of Vaccitech plc;</w:t>
      </w:r>
    </w:p>
    <w:p>
      <w:pPr>
        <w:spacing w:after="0" w:line="215" w:lineRule="exact"/>
        <w:rPr>
          <w:rFonts w:ascii="Times New Roman" w:cs="Times New Roman" w:eastAsia="Times New Roman" w:hAnsi="Times New Roman"/>
          <w:sz w:val="17"/>
          <w:szCs w:val="17"/>
          <w:color w:val="auto"/>
        </w:rPr>
      </w:pPr>
    </w:p>
    <w:p>
      <w:pPr>
        <w:ind w:left="920" w:right="20" w:hanging="300"/>
        <w:spacing w:after="0" w:line="269"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7"/>
          <w:szCs w:val="17"/>
          <w:color w:val="auto"/>
        </w:rPr>
      </w:pPr>
    </w:p>
    <w:p>
      <w:pPr>
        <w:ind w:left="920" w:right="120" w:hanging="300"/>
        <w:spacing w:after="0" w:line="269"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7"/>
          <w:szCs w:val="17"/>
          <w:color w:val="auto"/>
        </w:rPr>
      </w:pPr>
    </w:p>
    <w:p>
      <w:pPr>
        <w:ind w:left="920" w:hanging="300"/>
        <w:spacing w:after="0" w:line="269"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7"/>
          <w:szCs w:val="17"/>
          <w:color w:val="auto"/>
        </w:rPr>
      </w:pPr>
    </w:p>
    <w:p>
      <w:pPr>
        <w:ind w:left="1240" w:right="20" w:hanging="311"/>
        <w:spacing w:after="0" w:line="269" w:lineRule="auto"/>
        <w:tabs>
          <w:tab w:leader="none" w:pos="12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ind w:left="1240" w:right="40" w:hanging="311"/>
        <w:spacing w:after="0" w:line="269" w:lineRule="auto"/>
        <w:tabs>
          <w:tab w:leader="none" w:pos="12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7"/>
          <w:szCs w:val="17"/>
          <w:color w:val="auto"/>
        </w:rPr>
      </w:pPr>
    </w:p>
    <w:p>
      <w:pPr>
        <w:ind w:left="1240" w:right="120" w:hanging="311"/>
        <w:spacing w:after="0" w:line="269" w:lineRule="auto"/>
        <w:tabs>
          <w:tab w:leader="none" w:pos="12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ind w:left="1240" w:right="160" w:hanging="311"/>
        <w:spacing w:after="0" w:line="269" w:lineRule="auto"/>
        <w:tabs>
          <w:tab w:leader="none" w:pos="12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7"/>
          <w:szCs w:val="17"/>
          <w:color w:val="auto"/>
        </w:rPr>
      </w:pPr>
    </w:p>
    <w:p>
      <w:pPr>
        <w:ind w:left="920" w:right="40" w:hanging="300"/>
        <w:spacing w:after="0" w:line="269" w:lineRule="auto"/>
        <w:tabs>
          <w:tab w:leader="none" w:pos="9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7"/>
          <w:szCs w:val="17"/>
          <w:color w:val="auto"/>
        </w:rPr>
      </w:pPr>
    </w:p>
    <w:p>
      <w:pPr>
        <w:ind w:left="1240" w:right="380" w:hanging="311"/>
        <w:spacing w:after="0" w:line="269" w:lineRule="auto"/>
        <w:tabs>
          <w:tab w:leader="none" w:pos="12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7"/>
          <w:szCs w:val="17"/>
          <w:color w:val="auto"/>
        </w:rPr>
      </w:pPr>
    </w:p>
    <w:p>
      <w:pPr>
        <w:ind w:left="1240" w:right="740" w:hanging="311"/>
        <w:spacing w:after="0" w:line="235" w:lineRule="auto"/>
        <w:tabs>
          <w:tab w:leader="none" w:pos="124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Date: March 24, 2023</w:t>
      </w:r>
      <w:r>
        <w:rPr>
          <w:sz w:val="20"/>
          <w:szCs w:val="20"/>
          <w:color w:val="auto"/>
        </w:rPr>
        <w:tab/>
      </w:r>
      <w:r>
        <w:rPr>
          <w:rFonts w:ascii="Times New Roman" w:cs="Times New Roman" w:eastAsia="Times New Roman" w:hAnsi="Times New Roman"/>
          <w:sz w:val="16"/>
          <w:szCs w:val="16"/>
          <w:color w:val="auto"/>
        </w:rPr>
        <w:t>By: /s/ Gemma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962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Gemma Brown</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723900</wp:posOffset>
            </wp:positionV>
            <wp:extent cx="6306820"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0" w:num="1">
            <w:col w:w="9920"/>
          </w:cols>
          <w:pgMar w:left="980" w:top="839" w:right="999" w:bottom="1440"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621030</wp:posOffset>
            </wp:positionH>
            <wp:positionV relativeFrom="page">
              <wp:posOffset>1720850</wp:posOffset>
            </wp:positionV>
            <wp:extent cx="630682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630682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ind w:left="9040"/>
        <w:spacing w:after="0"/>
        <w:rPr>
          <w:sz w:val="20"/>
          <w:szCs w:val="20"/>
          <w:color w:val="auto"/>
        </w:rPr>
      </w:pPr>
      <w:r>
        <w:rPr>
          <w:rFonts w:ascii="Times New Roman" w:cs="Times New Roman" w:eastAsia="Times New Roman" w:hAnsi="Times New Roman"/>
          <w:sz w:val="17"/>
          <w:szCs w:val="17"/>
          <w:b w:val="1"/>
          <w:bCs w:val="1"/>
          <w:color w:val="auto"/>
        </w:rPr>
        <w:t>Exhibit 32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SECTION 1350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Vaccitech plc (the “Company”) on Form 10-K for the fiscal year ending December 31,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65" w:lineRule="exact"/>
        <w:rPr>
          <w:sz w:val="20"/>
          <w:szCs w:val="20"/>
          <w:color w:val="auto"/>
        </w:rPr>
      </w:pPr>
    </w:p>
    <w:p>
      <w:pPr>
        <w:ind w:left="620" w:hanging="308"/>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7"/>
          <w:szCs w:val="17"/>
          <w:color w:val="auto"/>
        </w:rPr>
      </w:pPr>
    </w:p>
    <w:p>
      <w:pPr>
        <w:ind w:left="620" w:right="160" w:hanging="308"/>
        <w:spacing w:after="0" w:line="285"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March 24, 2023</w:t>
            </w:r>
          </w:p>
        </w:tc>
        <w:tc>
          <w:tcPr>
            <w:tcW w:w="222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Enright</w:t>
            </w:r>
          </w:p>
        </w:tc>
        <w:tc>
          <w:tcPr>
            <w:tcW w:w="0" w:type="dxa"/>
            <w:vAlign w:val="bottom"/>
          </w:tcPr>
          <w:p>
            <w:pPr>
              <w:spacing w:after="0"/>
              <w:rPr>
                <w:sz w:val="1"/>
                <w:szCs w:val="1"/>
                <w:color w:val="auto"/>
              </w:rPr>
            </w:pPr>
          </w:p>
        </w:tc>
      </w:tr>
      <w:tr>
        <w:trPr>
          <w:trHeight w:val="178"/>
        </w:trPr>
        <w:tc>
          <w:tcPr>
            <w:tcW w:w="28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80" w:type="dxa"/>
            <w:vAlign w:val="bottom"/>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William Enright</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0" w:type="dxa"/>
            <w:vAlign w:val="bottom"/>
          </w:tcPr>
          <w:p>
            <w:pPr>
              <w:spacing w:after="0"/>
              <w:rPr>
                <w:sz w:val="1"/>
                <w:szCs w:val="1"/>
                <w:color w:val="auto"/>
              </w:rPr>
            </w:pPr>
          </w:p>
        </w:tc>
      </w:tr>
      <w:tr>
        <w:trPr>
          <w:trHeight w:val="205"/>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 March 24, 2023</w:t>
            </w:r>
          </w:p>
        </w:tc>
        <w:tc>
          <w:tcPr>
            <w:tcW w:w="2220" w:type="dxa"/>
            <w:vAlign w:val="bottom"/>
            <w:vMerge w:val="restart"/>
          </w:tcPr>
          <w:p>
            <w:pPr>
              <w:ind w:left="1300"/>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2220" w:type="dxa"/>
            <w:vAlign w:val="bottom"/>
            <w:vMerge w:val="continue"/>
          </w:tcPr>
          <w:p>
            <w:pPr>
              <w:spacing w:after="0"/>
              <w:rPr>
                <w:sz w:val="17"/>
                <w:szCs w:val="17"/>
                <w:color w:val="auto"/>
              </w:rPr>
            </w:pP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Gemma Brown</w:t>
            </w:r>
          </w:p>
        </w:tc>
        <w:tc>
          <w:tcPr>
            <w:tcW w:w="0" w:type="dxa"/>
            <w:vAlign w:val="bottom"/>
          </w:tcPr>
          <w:p>
            <w:pPr>
              <w:spacing w:after="0"/>
              <w:rPr>
                <w:sz w:val="1"/>
                <w:szCs w:val="1"/>
                <w:color w:val="auto"/>
              </w:rPr>
            </w:pPr>
          </w:p>
        </w:tc>
      </w:tr>
      <w:tr>
        <w:trPr>
          <w:trHeight w:val="178"/>
        </w:trPr>
        <w:tc>
          <w:tcPr>
            <w:tcW w:w="28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80" w:type="dxa"/>
            <w:vAlign w:val="bottom"/>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Gemma Brown</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c>
          <w:tcPr>
            <w:tcW w:w="0" w:type="dxa"/>
            <w:vAlign w:val="bottom"/>
          </w:tcPr>
          <w:p>
            <w:pPr>
              <w:spacing w:after="0"/>
              <w:rPr>
                <w:sz w:val="1"/>
                <w:szCs w:val="1"/>
                <w:color w:val="auto"/>
              </w:rPr>
            </w:pPr>
          </w:p>
        </w:tc>
      </w:tr>
      <w:tr>
        <w:trPr>
          <w:trHeight w:val="1354"/>
        </w:trPr>
        <w:tc>
          <w:tcPr>
            <w:tcW w:w="2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83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lowerRoman"/>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lowerRoman"/>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lowerRoman"/>
      <w:start w:val="1"/>
    </w:lvl>
  </w:abstractNum>
  <w:abstractNum w:abstractNumId="73">
    <w:nsid w:val="14330624"/>
    <w:multiLevelType w:val="hybridMultilevel"/>
    <w:lvl w:ilvl="0">
      <w:lvlJc w:val="left"/>
      <w:lvlText w:val="(%1)"/>
      <w:numFmt w:val="lowerRoman"/>
      <w:start w:val="2"/>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bullet"/>
      <w:start w:val="1"/>
    </w:lvl>
  </w:abstractNum>
  <w:abstractNum w:abstractNumId="81">
    <w:nsid w:val="94211F2"/>
    <w:multiLevelType w:val="hybridMultilevel"/>
    <w:lvl w:ilvl="0">
      <w:lvlJc w:val="left"/>
      <w:lvlText w:val="1"/>
      <w:numFmt w:val="bullet"/>
      <w:start w:val="1"/>
    </w:lvl>
  </w:abstractNum>
  <w:abstractNum w:abstractNumId="82">
    <w:nsid w:val="885E1B"/>
    <w:multiLevelType w:val="hybridMultilevel"/>
    <w:lvl w:ilvl="0">
      <w:lvlJc w:val="left"/>
      <w:lvlText w:val="1"/>
      <w:numFmt w:val="bullet"/>
      <w:start w:val="1"/>
    </w:lvl>
  </w:abstractNum>
  <w:abstractNum w:abstractNumId="83">
    <w:nsid w:val="76272110"/>
    <w:multiLevelType w:val="hybridMultilevel"/>
    <w:lvl w:ilvl="0">
      <w:lvlJc w:val="left"/>
      <w:lvlText w:val="1"/>
      <w:numFmt w:val="bullet"/>
      <w:start w:val="1"/>
    </w:lvl>
  </w:abstractNum>
  <w:abstractNum w:abstractNumId="84">
    <w:nsid w:val="4C04A8AF"/>
    <w:multiLevelType w:val="hybridMultilevel"/>
    <w:lvl w:ilvl="0">
      <w:lvlJc w:val="left"/>
      <w:lvlText w:val="1"/>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1"/>
      <w:numFmt w:val="bullet"/>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162" Type="http://schemas.openxmlformats.org/officeDocument/2006/relationships/hyperlink" Target="https://www.sec.gov/Archives/edgar/data/1828185/000110465921149607/tm2135290d1_ex2-1.htm" TargetMode="External"/><Relationship Id="rId163" Type="http://schemas.openxmlformats.org/officeDocument/2006/relationships/hyperlink" Target="https://www.sec.gov/Archives/edgar/data/1828185/000110465922037794/vacc-20211231xex2d2.htm" TargetMode="External"/><Relationship Id="rId164" Type="http://schemas.openxmlformats.org/officeDocument/2006/relationships/hyperlink" Target="https://www.sec.gov/Archives/edgar/data/1828185/000110465922087945/vacc-20220630xex2d1.htm" TargetMode="External"/><Relationship Id="rId165" Type="http://schemas.openxmlformats.org/officeDocument/2006/relationships/hyperlink" Target="https://www.sec.gov/Archives/edgar/data/1828185/000110465921063872/tm2115595d1_ex3-1.htm" TargetMode="External"/><Relationship Id="rId166" Type="http://schemas.openxmlformats.org/officeDocument/2006/relationships/hyperlink" Target="https://www.sec.gov/Archives/edgar/data/1828185/000110465921054698/tm2035121d14_ex4-1.htm" TargetMode="External"/><Relationship Id="rId167" Type="http://schemas.openxmlformats.org/officeDocument/2006/relationships/hyperlink" Target="https://www.sec.gov/Archives/edgar/data/1828185/000110465922037794/vacc-20211231xex4d3.htm" TargetMode="External"/><Relationship Id="rId168" Type="http://schemas.openxmlformats.org/officeDocument/2006/relationships/hyperlink" Target="https://www.sec.gov/Archives/edgar/data/1828185/000110465921048698/tm2035121d10_ex10-1.htm" TargetMode="External"/><Relationship Id="rId169" Type="http://schemas.openxmlformats.org/officeDocument/2006/relationships/hyperlink" Target="https://www.sec.gov/Archives/edgar/data/1828185/000110465921054698/tm2035121d14_ex10-2.htm" TargetMode="External"/><Relationship Id="rId170" Type="http://schemas.openxmlformats.org/officeDocument/2006/relationships/hyperlink" Target="https://www.sec.gov/Archives/edgar/data/1828185/000110465921054698/tm2035121d14_ex10-17.htm" TargetMode="External"/><Relationship Id="rId171" Type="http://schemas.openxmlformats.org/officeDocument/2006/relationships/hyperlink" Target="https://www.sec.gov/Archives/edgar/data/1828185/000110465921048698/tm2035121d10_ex10-3.htm" TargetMode="External"/><Relationship Id="rId172" Type="http://schemas.openxmlformats.org/officeDocument/2006/relationships/hyperlink" Target="https://www.sec.gov/Archives/edgar/data/1828185/000110465921048698/tm2035121d10_ex10-4.htm" TargetMode="External"/><Relationship Id="rId173" Type="http://schemas.openxmlformats.org/officeDocument/2006/relationships/hyperlink" Target="https://www.sec.gov/Archives/edgar/data/1828185/000110465921048698/tm2035121d10_ex10-5.htm" TargetMode="External"/><Relationship Id="rId174" Type="http://schemas.openxmlformats.org/officeDocument/2006/relationships/hyperlink" Target="https://www.sec.gov/Archives/edgar/data/1828185/000110465921048698/tm2035121d10_ex10-6.htm" TargetMode="External"/><Relationship Id="rId175" Type="http://schemas.openxmlformats.org/officeDocument/2006/relationships/hyperlink" Target="https://www.sec.gov/Archives/edgar/data/1828185/000110465921048698/tm2035121d10_ex10-7.htm" TargetMode="External"/><Relationship Id="rId176" Type="http://schemas.openxmlformats.org/officeDocument/2006/relationships/hyperlink" Target="https://www.sec.gov/Archives/edgar/data/1828185/000110465921048698/tm2035121d10_ex10-8.htm" TargetMode="External"/><Relationship Id="rId177" Type="http://schemas.openxmlformats.org/officeDocument/2006/relationships/hyperlink" Target="https://www.sec.gov/Archives/edgar/data/1828185/000110465921048698/tm2035121d10_ex10-9.htm" TargetMode="External"/><Relationship Id="rId178" Type="http://schemas.openxmlformats.org/officeDocument/2006/relationships/hyperlink" Target="https://www.sec.gov/Archives/edgar/data/1828185/000110465921048698/tm2035121d10_ex10-10.htm" TargetMode="External"/><Relationship Id="rId179" Type="http://schemas.openxmlformats.org/officeDocument/2006/relationships/hyperlink" Target="https://www.sec.gov/Archives/edgar/data/1828185/000110465921054698/tm2035121d14_ex10-11.htm" TargetMode="External"/><Relationship Id="rId180" Type="http://schemas.openxmlformats.org/officeDocument/2006/relationships/hyperlink" Target="https://www.sec.gov/Archives/edgar/data/1828185/000110465921048698/tm2035121d10_ex10-13.htm" TargetMode="External"/><Relationship Id="rId181" Type="http://schemas.openxmlformats.org/officeDocument/2006/relationships/hyperlink" Target="https://www.sec.gov/Archives/edgar/data/1828185/000110465921054698/tm2035121d14_ex10-14.htm" TargetMode="External"/><Relationship Id="rId182" Type="http://schemas.openxmlformats.org/officeDocument/2006/relationships/hyperlink" Target="https://www.sec.gov/Archives/edgar/data/1828185/000110465921054698/tm2035121d14_ex10-15.htm" TargetMode="External"/><Relationship Id="rId183" Type="http://schemas.openxmlformats.org/officeDocument/2006/relationships/hyperlink" Target="https://www.sec.gov/Archives/edgar/data/1828185/000110465922058820/vacc-20220331xex10d1.htm" TargetMode="External"/><Relationship Id="rId184" Type="http://schemas.openxmlformats.org/officeDocument/2006/relationships/hyperlink" Target="https://www.sec.gov/Archives/edgar/data/1828185/000110465922117255/vacc-20220930xex10d1.htm" TargetMode="External"/><Relationship Id="rId185" Type="http://schemas.openxmlformats.org/officeDocument/2006/relationships/hyperlink" Target="https://www.sec.gov/Archives/edgar/data/1828185/000110465922117255/vacc-20220930xex10d2.htm" TargetMode="External"/><Relationship Id="rId186" Type="http://schemas.openxmlformats.org/officeDocument/2006/relationships/hyperlink" Target="https://www.sec.gov/Archives/edgar/data/1828185/000110465921137646/vacc-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2023-03-24T08:10:47Z</dcterms:created>
  <dcterms:modified xsi:type="dcterms:W3CDTF">2023-03-24T08:10:47Z</dcterms:modified>
</cp:coreProperties>
</file>