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7"/>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500380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517525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2"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90"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33"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10"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07"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January 10, 2025</w:t>
      </w:r>
    </w:p>
    <w:p>
      <w:pPr>
        <w:spacing w:after="0" w:line="104"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29"/>
          <w:szCs w:val="29"/>
          <w:b w:val="1"/>
          <w:bCs w:val="1"/>
          <w:color w:val="auto"/>
        </w:rPr>
        <w:t>BARINTHUS BIOTHERAPEUTICS PLC</w:t>
      </w:r>
    </w:p>
    <w:p>
      <w:pPr>
        <w:spacing w:after="0" w:line="34"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134" w:lineRule="exact"/>
        <w:rPr>
          <w:sz w:val="24"/>
          <w:szCs w:val="24"/>
          <w:color w:val="auto"/>
        </w:rPr>
      </w:pPr>
    </w:p>
    <w:tbl>
      <w:tblPr>
        <w:tblLayout w:type="fixed"/>
        <w:tblInd w:w="1208" w:type="dxa"/>
        <w:tblCellMar>
          <w:top w:w="0" w:type="dxa"/>
          <w:left w:w="0" w:type="dxa"/>
          <w:bottom w:w="0" w:type="dxa"/>
          <w:right w:w="0" w:type="dxa"/>
        </w:tblCellMar>
      </w:tblPr>
      <w:tr>
        <w:trPr>
          <w:trHeight w:val="159"/>
        </w:trPr>
        <w:tc>
          <w:tcPr>
            <w:tcW w:w="2120" w:type="dxa"/>
            <w:vAlign w:val="bottom"/>
          </w:tcPr>
          <w:p>
            <w:pPr>
              <w:jc w:val="center"/>
              <w:ind w:right="700"/>
              <w:spacing w:after="0"/>
              <w:rPr>
                <w:sz w:val="20"/>
                <w:szCs w:val="20"/>
                <w:color w:val="auto"/>
              </w:rPr>
            </w:pPr>
            <w:r>
              <w:rPr>
                <w:rFonts w:ascii="Times New Roman" w:cs="Times New Roman" w:eastAsia="Times New Roman" w:hAnsi="Times New Roman"/>
                <w:sz w:val="12"/>
                <w:szCs w:val="12"/>
                <w:b w:val="1"/>
                <w:bCs w:val="1"/>
                <w:color w:val="auto"/>
                <w:w w:val="99"/>
              </w:rPr>
              <w:t>England and Wales</w:t>
            </w:r>
          </w:p>
        </w:tc>
        <w:tc>
          <w:tcPr>
            <w:tcW w:w="476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001-40367</w:t>
            </w:r>
          </w:p>
        </w:tc>
        <w:tc>
          <w:tcPr>
            <w:tcW w:w="1800" w:type="dxa"/>
            <w:vAlign w:val="bottom"/>
          </w:tcPr>
          <w:p>
            <w:pPr>
              <w:jc w:val="center"/>
              <w:ind w:left="820"/>
              <w:spacing w:after="0"/>
              <w:rPr>
                <w:sz w:val="20"/>
                <w:szCs w:val="20"/>
                <w:color w:val="auto"/>
              </w:rPr>
            </w:pPr>
            <w:r>
              <w:rPr>
                <w:rFonts w:ascii="Times New Roman" w:cs="Times New Roman" w:eastAsia="Times New Roman" w:hAnsi="Times New Roman"/>
                <w:sz w:val="12"/>
                <w:szCs w:val="12"/>
                <w:b w:val="1"/>
                <w:bCs w:val="1"/>
                <w:color w:val="auto"/>
                <w:w w:val="98"/>
              </w:rPr>
              <w:t>Not Applicable</w:t>
            </w:r>
          </w:p>
        </w:tc>
      </w:tr>
      <w:tr>
        <w:trPr>
          <w:trHeight w:val="129"/>
        </w:trPr>
        <w:tc>
          <w:tcPr>
            <w:tcW w:w="2120" w:type="dxa"/>
            <w:vAlign w:val="bottom"/>
          </w:tcPr>
          <w:p>
            <w:pPr>
              <w:jc w:val="center"/>
              <w:ind w:right="700"/>
              <w:spacing w:after="0" w:line="129" w:lineRule="exact"/>
              <w:rPr>
                <w:sz w:val="20"/>
                <w:szCs w:val="20"/>
                <w:color w:val="auto"/>
              </w:rPr>
            </w:pPr>
            <w:r>
              <w:rPr>
                <w:rFonts w:ascii="Times New Roman" w:cs="Times New Roman" w:eastAsia="Times New Roman" w:hAnsi="Times New Roman"/>
                <w:sz w:val="12"/>
                <w:szCs w:val="12"/>
                <w:b w:val="1"/>
                <w:bCs w:val="1"/>
                <w:color w:val="auto"/>
                <w:w w:val="99"/>
              </w:rPr>
              <w:t>(State or other jurisdiction</w:t>
            </w:r>
          </w:p>
        </w:tc>
        <w:tc>
          <w:tcPr>
            <w:tcW w:w="4760" w:type="dxa"/>
            <w:vAlign w:val="bottom"/>
          </w:tcPr>
          <w:p>
            <w:pPr>
              <w:jc w:val="center"/>
              <w:ind w:right="40"/>
              <w:spacing w:after="0" w:line="129" w:lineRule="exact"/>
              <w:rPr>
                <w:sz w:val="20"/>
                <w:szCs w:val="20"/>
                <w:color w:val="auto"/>
              </w:rPr>
            </w:pPr>
            <w:r>
              <w:rPr>
                <w:rFonts w:ascii="Times New Roman" w:cs="Times New Roman" w:eastAsia="Times New Roman" w:hAnsi="Times New Roman"/>
                <w:sz w:val="12"/>
                <w:szCs w:val="12"/>
                <w:b w:val="1"/>
                <w:bCs w:val="1"/>
                <w:color w:val="auto"/>
                <w:w w:val="97"/>
              </w:rPr>
              <w:t>(Commission</w:t>
            </w:r>
          </w:p>
        </w:tc>
        <w:tc>
          <w:tcPr>
            <w:tcW w:w="1800" w:type="dxa"/>
            <w:vAlign w:val="bottom"/>
          </w:tcPr>
          <w:p>
            <w:pPr>
              <w:jc w:val="center"/>
              <w:ind w:left="800"/>
              <w:spacing w:after="0" w:line="129" w:lineRule="exact"/>
              <w:rPr>
                <w:sz w:val="20"/>
                <w:szCs w:val="20"/>
                <w:color w:val="auto"/>
              </w:rPr>
            </w:pPr>
            <w:r>
              <w:rPr>
                <w:rFonts w:ascii="Times New Roman" w:cs="Times New Roman" w:eastAsia="Times New Roman" w:hAnsi="Times New Roman"/>
                <w:sz w:val="12"/>
                <w:szCs w:val="12"/>
                <w:b w:val="1"/>
                <w:bCs w:val="1"/>
                <w:color w:val="auto"/>
                <w:w w:val="99"/>
              </w:rPr>
              <w:t>(I.R.S. Employer</w:t>
            </w:r>
          </w:p>
        </w:tc>
      </w:tr>
      <w:tr>
        <w:trPr>
          <w:trHeight w:val="159"/>
        </w:trPr>
        <w:tc>
          <w:tcPr>
            <w:tcW w:w="2120" w:type="dxa"/>
            <w:vAlign w:val="bottom"/>
          </w:tcPr>
          <w:p>
            <w:pPr>
              <w:jc w:val="center"/>
              <w:ind w:right="700"/>
              <w:spacing w:after="0"/>
              <w:rPr>
                <w:sz w:val="20"/>
                <w:szCs w:val="20"/>
                <w:color w:val="auto"/>
              </w:rPr>
            </w:pPr>
            <w:r>
              <w:rPr>
                <w:rFonts w:ascii="Times New Roman" w:cs="Times New Roman" w:eastAsia="Times New Roman" w:hAnsi="Times New Roman"/>
                <w:sz w:val="12"/>
                <w:szCs w:val="12"/>
                <w:b w:val="1"/>
                <w:bCs w:val="1"/>
                <w:color w:val="auto"/>
              </w:rPr>
              <w:t>of incorporation)</w:t>
            </w:r>
          </w:p>
        </w:tc>
        <w:tc>
          <w:tcPr>
            <w:tcW w:w="476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File Number)</w:t>
            </w:r>
          </w:p>
        </w:tc>
        <w:tc>
          <w:tcPr>
            <w:tcW w:w="1800" w:type="dxa"/>
            <w:vAlign w:val="bottom"/>
          </w:tcPr>
          <w:p>
            <w:pPr>
              <w:jc w:val="center"/>
              <w:ind w:left="800"/>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00"/>
        </w:trPr>
        <w:tc>
          <w:tcPr>
            <w:tcW w:w="2120" w:type="dxa"/>
            <w:vAlign w:val="bottom"/>
          </w:tcPr>
          <w:p>
            <w:pPr>
              <w:spacing w:after="0"/>
              <w:rPr>
                <w:sz w:val="24"/>
                <w:szCs w:val="24"/>
                <w:color w:val="auto"/>
              </w:rPr>
            </w:pPr>
          </w:p>
        </w:tc>
        <w:tc>
          <w:tcPr>
            <w:tcW w:w="476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Barinthus Biotherapeutics plc</w:t>
            </w:r>
          </w:p>
        </w:tc>
        <w:tc>
          <w:tcPr>
            <w:tcW w:w="1800" w:type="dxa"/>
            <w:vAlign w:val="bottom"/>
          </w:tcPr>
          <w:p>
            <w:pPr>
              <w:spacing w:after="0"/>
              <w:rPr>
                <w:sz w:val="24"/>
                <w:szCs w:val="24"/>
                <w:color w:val="auto"/>
              </w:rPr>
            </w:pPr>
          </w:p>
        </w:tc>
      </w:tr>
      <w:tr>
        <w:trPr>
          <w:trHeight w:val="144"/>
        </w:trPr>
        <w:tc>
          <w:tcPr>
            <w:tcW w:w="2120" w:type="dxa"/>
            <w:vAlign w:val="bottom"/>
          </w:tcPr>
          <w:p>
            <w:pPr>
              <w:spacing w:after="0"/>
              <w:rPr>
                <w:sz w:val="12"/>
                <w:szCs w:val="12"/>
                <w:color w:val="auto"/>
              </w:rPr>
            </w:pPr>
          </w:p>
        </w:tc>
        <w:tc>
          <w:tcPr>
            <w:tcW w:w="476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Unit 6-10, Zeus Building Rutherford Avenue,</w:t>
            </w:r>
          </w:p>
        </w:tc>
        <w:tc>
          <w:tcPr>
            <w:tcW w:w="1800" w:type="dxa"/>
            <w:vAlign w:val="bottom"/>
          </w:tcPr>
          <w:p>
            <w:pPr>
              <w:spacing w:after="0"/>
              <w:rPr>
                <w:sz w:val="12"/>
                <w:szCs w:val="12"/>
                <w:color w:val="auto"/>
              </w:rPr>
            </w:pPr>
          </w:p>
        </w:tc>
      </w:tr>
      <w:tr>
        <w:trPr>
          <w:trHeight w:val="135"/>
        </w:trPr>
        <w:tc>
          <w:tcPr>
            <w:tcW w:w="2120" w:type="dxa"/>
            <w:vAlign w:val="bottom"/>
          </w:tcPr>
          <w:p>
            <w:pPr>
              <w:spacing w:after="0"/>
              <w:rPr>
                <w:sz w:val="11"/>
                <w:szCs w:val="11"/>
                <w:color w:val="auto"/>
              </w:rPr>
            </w:pPr>
          </w:p>
        </w:tc>
        <w:tc>
          <w:tcPr>
            <w:tcW w:w="4760" w:type="dxa"/>
            <w:vAlign w:val="bottom"/>
          </w:tcPr>
          <w:p>
            <w:pPr>
              <w:jc w:val="center"/>
              <w:ind w:right="40"/>
              <w:spacing w:after="0" w:line="135" w:lineRule="exact"/>
              <w:rPr>
                <w:sz w:val="20"/>
                <w:szCs w:val="20"/>
                <w:color w:val="auto"/>
              </w:rPr>
            </w:pPr>
            <w:r>
              <w:rPr>
                <w:rFonts w:ascii="Times New Roman" w:cs="Times New Roman" w:eastAsia="Times New Roman" w:hAnsi="Times New Roman"/>
                <w:sz w:val="12"/>
                <w:szCs w:val="12"/>
                <w:b w:val="1"/>
                <w:bCs w:val="1"/>
                <w:color w:val="auto"/>
                <w:w w:val="99"/>
              </w:rPr>
              <w:t>Harwell, Didcot, OX11 0DF</w:t>
            </w:r>
          </w:p>
        </w:tc>
        <w:tc>
          <w:tcPr>
            <w:tcW w:w="1800" w:type="dxa"/>
            <w:vAlign w:val="bottom"/>
          </w:tcPr>
          <w:p>
            <w:pPr>
              <w:spacing w:after="0"/>
              <w:rPr>
                <w:sz w:val="11"/>
                <w:szCs w:val="11"/>
                <w:color w:val="auto"/>
              </w:rPr>
            </w:pPr>
          </w:p>
        </w:tc>
      </w:tr>
      <w:tr>
        <w:trPr>
          <w:trHeight w:val="135"/>
        </w:trPr>
        <w:tc>
          <w:tcPr>
            <w:tcW w:w="2120" w:type="dxa"/>
            <w:vAlign w:val="bottom"/>
          </w:tcPr>
          <w:p>
            <w:pPr>
              <w:spacing w:after="0"/>
              <w:rPr>
                <w:sz w:val="11"/>
                <w:szCs w:val="11"/>
                <w:color w:val="auto"/>
              </w:rPr>
            </w:pPr>
          </w:p>
        </w:tc>
        <w:tc>
          <w:tcPr>
            <w:tcW w:w="4760" w:type="dxa"/>
            <w:vAlign w:val="bottom"/>
          </w:tcPr>
          <w:p>
            <w:pPr>
              <w:jc w:val="center"/>
              <w:ind w:right="40"/>
              <w:spacing w:after="0" w:line="135" w:lineRule="exact"/>
              <w:rPr>
                <w:sz w:val="20"/>
                <w:szCs w:val="20"/>
                <w:color w:val="auto"/>
              </w:rPr>
            </w:pPr>
            <w:r>
              <w:rPr>
                <w:rFonts w:ascii="Times New Roman" w:cs="Times New Roman" w:eastAsia="Times New Roman" w:hAnsi="Times New Roman"/>
                <w:sz w:val="12"/>
                <w:szCs w:val="12"/>
                <w:b w:val="1"/>
                <w:bCs w:val="1"/>
                <w:color w:val="auto"/>
              </w:rPr>
              <w:t>United Kingdom</w:t>
            </w:r>
          </w:p>
        </w:tc>
        <w:tc>
          <w:tcPr>
            <w:tcW w:w="1800" w:type="dxa"/>
            <w:vAlign w:val="bottom"/>
          </w:tcPr>
          <w:p>
            <w:pPr>
              <w:spacing w:after="0"/>
              <w:rPr>
                <w:sz w:val="11"/>
                <w:szCs w:val="11"/>
                <w:color w:val="auto"/>
              </w:rPr>
            </w:pPr>
          </w:p>
        </w:tc>
      </w:tr>
      <w:tr>
        <w:trPr>
          <w:trHeight w:val="159"/>
        </w:trPr>
        <w:tc>
          <w:tcPr>
            <w:tcW w:w="2120" w:type="dxa"/>
            <w:vAlign w:val="bottom"/>
          </w:tcPr>
          <w:p>
            <w:pPr>
              <w:spacing w:after="0"/>
              <w:rPr>
                <w:sz w:val="13"/>
                <w:szCs w:val="13"/>
                <w:color w:val="auto"/>
              </w:rPr>
            </w:pPr>
          </w:p>
        </w:tc>
        <w:tc>
          <w:tcPr>
            <w:tcW w:w="476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(Address of principal executive offices, including zip code)</w:t>
            </w:r>
          </w:p>
        </w:tc>
        <w:tc>
          <w:tcPr>
            <w:tcW w:w="1800" w:type="dxa"/>
            <w:vAlign w:val="bottom"/>
          </w:tcPr>
          <w:p>
            <w:pPr>
              <w:spacing w:after="0"/>
              <w:rPr>
                <w:sz w:val="13"/>
                <w:szCs w:val="13"/>
                <w:color w:val="auto"/>
              </w:rPr>
            </w:pPr>
          </w:p>
        </w:tc>
      </w:tr>
      <w:tr>
        <w:trPr>
          <w:trHeight w:val="237"/>
        </w:trPr>
        <w:tc>
          <w:tcPr>
            <w:tcW w:w="2120" w:type="dxa"/>
            <w:vAlign w:val="bottom"/>
          </w:tcPr>
          <w:p>
            <w:pPr>
              <w:spacing w:after="0"/>
              <w:rPr>
                <w:sz w:val="20"/>
                <w:szCs w:val="20"/>
                <w:color w:val="auto"/>
              </w:rPr>
            </w:pPr>
          </w:p>
        </w:tc>
        <w:tc>
          <w:tcPr>
            <w:tcW w:w="476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+44 (0) 1865 818 808</w:t>
            </w:r>
          </w:p>
        </w:tc>
        <w:tc>
          <w:tcPr>
            <w:tcW w:w="1800" w:type="dxa"/>
            <w:vAlign w:val="bottom"/>
          </w:tcPr>
          <w:p>
            <w:pPr>
              <w:spacing w:after="0"/>
              <w:rPr>
                <w:sz w:val="20"/>
                <w:szCs w:val="20"/>
                <w:color w:val="auto"/>
              </w:rPr>
            </w:pPr>
          </w:p>
        </w:tc>
      </w:tr>
      <w:tr>
        <w:trPr>
          <w:trHeight w:val="159"/>
        </w:trPr>
        <w:tc>
          <w:tcPr>
            <w:tcW w:w="2120" w:type="dxa"/>
            <w:vAlign w:val="bottom"/>
          </w:tcPr>
          <w:p>
            <w:pPr>
              <w:spacing w:after="0"/>
              <w:rPr>
                <w:sz w:val="13"/>
                <w:szCs w:val="13"/>
                <w:color w:val="auto"/>
              </w:rPr>
            </w:pPr>
          </w:p>
        </w:tc>
        <w:tc>
          <w:tcPr>
            <w:tcW w:w="476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(Registrant’s telephone number, including area code)</w:t>
            </w:r>
          </w:p>
        </w:tc>
        <w:tc>
          <w:tcPr>
            <w:tcW w:w="1800" w:type="dxa"/>
            <w:vAlign w:val="bottom"/>
          </w:tcPr>
          <w:p>
            <w:pPr>
              <w:spacing w:after="0"/>
              <w:rPr>
                <w:sz w:val="13"/>
                <w:szCs w:val="13"/>
                <w:color w:val="auto"/>
              </w:rPr>
            </w:pPr>
          </w:p>
        </w:tc>
      </w:tr>
      <w:tr>
        <w:trPr>
          <w:trHeight w:val="237"/>
        </w:trPr>
        <w:tc>
          <w:tcPr>
            <w:tcW w:w="2120" w:type="dxa"/>
            <w:vAlign w:val="bottom"/>
          </w:tcPr>
          <w:p>
            <w:pPr>
              <w:spacing w:after="0"/>
              <w:rPr>
                <w:sz w:val="20"/>
                <w:szCs w:val="20"/>
                <w:color w:val="auto"/>
              </w:rPr>
            </w:pPr>
          </w:p>
        </w:tc>
        <w:tc>
          <w:tcPr>
            <w:tcW w:w="476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8"/>
              </w:rPr>
              <w:t>Not Applicable</w:t>
            </w:r>
          </w:p>
        </w:tc>
        <w:tc>
          <w:tcPr>
            <w:tcW w:w="1800" w:type="dxa"/>
            <w:vAlign w:val="bottom"/>
          </w:tcPr>
          <w:p>
            <w:pPr>
              <w:spacing w:after="0"/>
              <w:rPr>
                <w:sz w:val="20"/>
                <w:szCs w:val="20"/>
                <w:color w:val="auto"/>
              </w:rPr>
            </w:pPr>
          </w:p>
        </w:tc>
      </w:tr>
      <w:tr>
        <w:trPr>
          <w:trHeight w:val="159"/>
        </w:trPr>
        <w:tc>
          <w:tcPr>
            <w:tcW w:w="2120" w:type="dxa"/>
            <w:vAlign w:val="bottom"/>
          </w:tcPr>
          <w:p>
            <w:pPr>
              <w:spacing w:after="0"/>
              <w:rPr>
                <w:sz w:val="13"/>
                <w:szCs w:val="13"/>
                <w:color w:val="auto"/>
              </w:rPr>
            </w:pPr>
          </w:p>
        </w:tc>
        <w:tc>
          <w:tcPr>
            <w:tcW w:w="476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tc>
        <w:tc>
          <w:tcPr>
            <w:tcW w:w="1800" w:type="dxa"/>
            <w:vAlign w:val="bottom"/>
          </w:tcPr>
          <w:p>
            <w:pPr>
              <w:spacing w:after="0"/>
              <w:rPr>
                <w:sz w:val="13"/>
                <w:szCs w:val="13"/>
                <w:color w:val="auto"/>
              </w:rPr>
            </w:pPr>
          </w:p>
        </w:tc>
      </w:tr>
    </w:tbl>
    <w:p>
      <w:pPr>
        <w:spacing w:after="0" w:line="106"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9" w:lineRule="exact"/>
        <w:rPr>
          <w:sz w:val="24"/>
          <w:szCs w:val="24"/>
          <w:color w:val="auto"/>
        </w:rPr>
      </w:pPr>
    </w:p>
    <w:p>
      <w:pPr>
        <w:ind w:left="428" w:hanging="416"/>
        <w:spacing w:after="0"/>
        <w:tabs>
          <w:tab w:leader="none" w:pos="428"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9" w:lineRule="exact"/>
        <w:rPr>
          <w:rFonts w:ascii="Wingdings" w:cs="Wingdings" w:eastAsia="Wingdings" w:hAnsi="Wingdings"/>
          <w:sz w:val="12"/>
          <w:szCs w:val="12"/>
          <w:b w:val="1"/>
          <w:bCs w:val="1"/>
          <w:color w:val="auto"/>
        </w:rPr>
      </w:pPr>
    </w:p>
    <w:p>
      <w:pPr>
        <w:ind w:left="428" w:hanging="416"/>
        <w:spacing w:after="0"/>
        <w:tabs>
          <w:tab w:leader="none" w:pos="428"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9" w:lineRule="exact"/>
        <w:rPr>
          <w:rFonts w:ascii="Wingdings" w:cs="Wingdings" w:eastAsia="Wingdings" w:hAnsi="Wingdings"/>
          <w:sz w:val="12"/>
          <w:szCs w:val="12"/>
          <w:b w:val="1"/>
          <w:bCs w:val="1"/>
          <w:color w:val="auto"/>
        </w:rPr>
      </w:pPr>
    </w:p>
    <w:p>
      <w:pPr>
        <w:ind w:left="428" w:hanging="416"/>
        <w:spacing w:after="0"/>
        <w:tabs>
          <w:tab w:leader="none" w:pos="428"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9" w:lineRule="exact"/>
        <w:rPr>
          <w:rFonts w:ascii="Wingdings" w:cs="Wingdings" w:eastAsia="Wingdings" w:hAnsi="Wingdings"/>
          <w:sz w:val="12"/>
          <w:szCs w:val="12"/>
          <w:b w:val="1"/>
          <w:bCs w:val="1"/>
          <w:color w:val="auto"/>
        </w:rPr>
      </w:pPr>
    </w:p>
    <w:p>
      <w:pPr>
        <w:ind w:left="8" w:right="5420" w:firstLine="4"/>
        <w:spacing w:after="0" w:line="555" w:lineRule="auto"/>
        <w:tabs>
          <w:tab w:leader="none" w:pos="434"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tbl>
      <w:tblPr>
        <w:tblLayout w:type="fixed"/>
        <w:tblInd w:w="728" w:type="dxa"/>
        <w:tblCellMar>
          <w:top w:w="0" w:type="dxa"/>
          <w:left w:w="0" w:type="dxa"/>
          <w:bottom w:w="0" w:type="dxa"/>
          <w:right w:w="0" w:type="dxa"/>
        </w:tblCellMar>
      </w:tblPr>
      <w:tr>
        <w:trPr>
          <w:trHeight w:val="129"/>
        </w:trPr>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20" w:type="dxa"/>
            <w:vAlign w:val="bottom"/>
            <w:tcBorders>
              <w:bottom w:val="single" w:sz="8" w:color="auto"/>
            </w:tcBorders>
            <w:gridSpan w:val="3"/>
          </w:tcPr>
          <w:p>
            <w:pPr>
              <w:jc w:val="center"/>
              <w:spacing w:after="0" w:line="129" w:lineRule="exact"/>
              <w:rPr>
                <w:sz w:val="20"/>
                <w:szCs w:val="20"/>
                <w:color w:val="auto"/>
              </w:rPr>
            </w:pPr>
            <w:r>
              <w:rPr>
                <w:rFonts w:ascii="Times New Roman" w:cs="Times New Roman" w:eastAsia="Times New Roman" w:hAnsi="Times New Roman"/>
                <w:sz w:val="12"/>
                <w:szCs w:val="12"/>
                <w:color w:val="auto"/>
                <w:w w:val="99"/>
              </w:rPr>
              <w:t>Name of each exchange on which</w:t>
            </w:r>
          </w:p>
        </w:tc>
      </w:tr>
      <w:tr>
        <w:trPr>
          <w:trHeight w:val="142"/>
        </w:trPr>
        <w:tc>
          <w:tcPr>
            <w:tcW w:w="860" w:type="dxa"/>
            <w:vAlign w:val="bottom"/>
          </w:tcPr>
          <w:p>
            <w:pPr>
              <w:spacing w:after="0"/>
              <w:rPr>
                <w:sz w:val="12"/>
                <w:szCs w:val="12"/>
                <w:color w:val="auto"/>
              </w:rPr>
            </w:pPr>
          </w:p>
        </w:tc>
        <w:tc>
          <w:tcPr>
            <w:tcW w:w="3660" w:type="dxa"/>
            <w:vAlign w:val="bottom"/>
            <w:gridSpan w:val="2"/>
          </w:tcPr>
          <w:p>
            <w:pPr>
              <w:jc w:val="center"/>
              <w:ind w:right="2800"/>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Trade Symbol(s)</w:t>
            </w:r>
          </w:p>
        </w:tc>
        <w:tc>
          <w:tcPr>
            <w:tcW w:w="2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registered</w:t>
            </w:r>
          </w:p>
        </w:tc>
        <w:tc>
          <w:tcPr>
            <w:tcW w:w="560" w:type="dxa"/>
            <w:vAlign w:val="bottom"/>
          </w:tcPr>
          <w:p>
            <w:pPr>
              <w:spacing w:after="0"/>
              <w:rPr>
                <w:sz w:val="12"/>
                <w:szCs w:val="12"/>
                <w:color w:val="auto"/>
              </w:rPr>
            </w:pPr>
          </w:p>
        </w:tc>
      </w:tr>
      <w:tr>
        <w:trPr>
          <w:trHeight w:val="27"/>
        </w:trPr>
        <w:tc>
          <w:tcPr>
            <w:tcW w:w="8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r>
      <w:tr>
        <w:trPr>
          <w:trHeight w:val="189"/>
        </w:trPr>
        <w:tc>
          <w:tcPr>
            <w:tcW w:w="4520" w:type="dxa"/>
            <w:vAlign w:val="bottom"/>
            <w:gridSpan w:val="3"/>
          </w:tcPr>
          <w:p>
            <w:pPr>
              <w:jc w:val="center"/>
              <w:ind w:right="1940"/>
              <w:spacing w:after="0"/>
              <w:rPr>
                <w:sz w:val="20"/>
                <w:szCs w:val="20"/>
                <w:color w:val="auto"/>
              </w:rPr>
            </w:pPr>
            <w:r>
              <w:rPr>
                <w:rFonts w:ascii="Times New Roman" w:cs="Times New Roman" w:eastAsia="Times New Roman" w:hAnsi="Times New Roman"/>
                <w:sz w:val="12"/>
                <w:szCs w:val="12"/>
                <w:color w:val="auto"/>
                <w:w w:val="99"/>
              </w:rPr>
              <w:t>American Depositary Shares</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BRNS</w:t>
            </w:r>
          </w:p>
        </w:tc>
        <w:tc>
          <w:tcPr>
            <w:tcW w:w="2400" w:type="dxa"/>
            <w:vAlign w:val="bottom"/>
          </w:tcPr>
          <w:p>
            <w:pPr>
              <w:spacing w:after="0"/>
              <w:rPr>
                <w:sz w:val="16"/>
                <w:szCs w:val="16"/>
                <w:color w:val="auto"/>
              </w:rPr>
            </w:pP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2"/>
                <w:szCs w:val="12"/>
                <w:color w:val="auto"/>
              </w:rPr>
              <w:t>The Nasdaq Global Market</w:t>
            </w:r>
          </w:p>
        </w:tc>
      </w:tr>
      <w:tr>
        <w:trPr>
          <w:trHeight w:val="171"/>
        </w:trPr>
        <w:tc>
          <w:tcPr>
            <w:tcW w:w="4520" w:type="dxa"/>
            <w:vAlign w:val="bottom"/>
            <w:gridSpan w:val="3"/>
          </w:tcPr>
          <w:p>
            <w:pPr>
              <w:jc w:val="center"/>
              <w:ind w:right="1940"/>
              <w:spacing w:after="0"/>
              <w:rPr>
                <w:sz w:val="20"/>
                <w:szCs w:val="20"/>
                <w:color w:val="auto"/>
              </w:rPr>
            </w:pPr>
            <w:r>
              <w:rPr>
                <w:rFonts w:ascii="Times New Roman" w:cs="Times New Roman" w:eastAsia="Times New Roman" w:hAnsi="Times New Roman"/>
                <w:sz w:val="12"/>
                <w:szCs w:val="12"/>
                <w:color w:val="auto"/>
              </w:rPr>
              <w:t>Ordinary shares, nominal value £0.000025 per share*</w:t>
            </w:r>
          </w:p>
        </w:tc>
        <w:tc>
          <w:tcPr>
            <w:tcW w:w="8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r>
    </w:tbl>
    <w:p>
      <w:pPr>
        <w:spacing w:after="0" w:line="178" w:lineRule="exact"/>
        <w:rPr>
          <w:sz w:val="24"/>
          <w:szCs w:val="24"/>
          <w:color w:val="auto"/>
        </w:rPr>
      </w:pPr>
    </w:p>
    <w:p>
      <w:pPr>
        <w:ind w:left="8" w:right="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5"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 xml:space="preserve">Emerging growth company </w:t>
      </w:r>
      <w:r>
        <w:rPr>
          <w:rFonts w:ascii="Wingdings" w:cs="Wingdings" w:eastAsia="Wingdings" w:hAnsi="Wingdings"/>
          <w:sz w:val="12"/>
          <w:szCs w:val="12"/>
          <w:b w:val="1"/>
          <w:bCs w:val="1"/>
          <w:color w:val="auto"/>
        </w:rPr>
        <w:t>x</w:t>
      </w:r>
    </w:p>
    <w:p>
      <w:pPr>
        <w:spacing w:after="0" w:line="123" w:lineRule="exact"/>
        <w:rPr>
          <w:sz w:val="24"/>
          <w:szCs w:val="24"/>
          <w:color w:val="auto"/>
        </w:rPr>
      </w:pPr>
    </w:p>
    <w:p>
      <w:pPr>
        <w:ind w:left="8"/>
        <w:spacing w:after="0" w:line="264" w:lineRule="auto"/>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2"/>
          <w:szCs w:val="12"/>
          <w:b w:val="1"/>
          <w:bCs w:val="1"/>
          <w:color w:val="auto"/>
        </w:rPr>
        <w:t>o</w:t>
      </w:r>
    </w:p>
    <w:p>
      <w:pPr>
        <w:spacing w:after="0" w:line="92" w:lineRule="exact"/>
        <w:rPr>
          <w:sz w:val="24"/>
          <w:szCs w:val="24"/>
          <w:color w:val="auto"/>
        </w:rPr>
      </w:pPr>
    </w:p>
    <w:p>
      <w:pPr>
        <w:jc w:val="both"/>
        <w:ind w:left="108" w:right="420" w:hanging="108"/>
        <w:spacing w:after="0" w:line="257" w:lineRule="auto"/>
        <w:tabs>
          <w:tab w:leader="none" w:pos="105"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American Depositary Shares may be evidenced by American Depositary Receipts. Each American Depositary Share represents one (1) ordinary share. Not for trading, but only in connection with the listing of the American Depositary Shares on The Nasdaq Global Market. The American Depositary Shares represent the right to receive ordinary shares and are being registered under the Securities Act of 1933, as amended, pursuant to a separate Registration Statement on Form F-6. Accordingly, the American Depositary Shares are exempt from the operation of Section 12(a) of the Securities Exchange Act of 1934, as amended, pursuant to Rule 12a-8.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530225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85725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102870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08"/>
          </w:cols>
          <w:pgMar w:left="292" w:top="936"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January 10, 2025, Barinthus Biotherapeutics plc (the “Company”) released the following preliminary information about its cash, cash equivalents and restricted cash as of December 31, 2024.</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Company’s preliminary estimated cash, cash equivalents and restricted cash are expected to be $112 million as of December 31, 2024.</w:t>
      </w:r>
    </w:p>
    <w:p>
      <w:pPr>
        <w:spacing w:after="0" w:line="168"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2"/>
          <w:szCs w:val="12"/>
          <w:color w:val="auto"/>
        </w:rPr>
        <w:t>The preliminary estimates of cash and cash equivalents reflect management’s current views and may change as a result of management’s review of results and other factors. The preliminary estimates may not ultimately be indicative of its results for such period and actual results may differ materially. No independent registered public accounting firm has audited, reviewed or compiled, examined or performed any procedures with respect to these preliminary estimated results, nor have they expressed any opinion or any other form of assurance on these preliminary estimated results.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2.05. Costs Associated with Exit or Disposal Activities.</w:t>
      </w:r>
    </w:p>
    <w:p>
      <w:pPr>
        <w:spacing w:after="0" w:line="163"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2"/>
          <w:szCs w:val="12"/>
          <w:color w:val="auto"/>
        </w:rPr>
        <w:t>On January 10, 2025, the Company announced a restructuring plan that aims to prioritize its immune tolerance research and development programs. The Company is planning a 65% reduction in workforce, which is subject to consultation with employee representatives in the UK regarding the plan. The Company anticipates that the majority of the reduction in workforce will occur in the UK and be completed during the first half of 2025. The Company estimates that the pre-tax costs of such reduction in workforce relating to employee severance and other employee-related costs may be in the region of $2.5 million with the majority of such costs being incurred in the first half of 2025. The estimates of the restructuring costs that the Company expects to incur and potential operating expense reductions, and the timing thereof, are subject to a number of assumptions and actual results may differ.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5.02. Departure of Directors or Certain Officers; Election of Directors; Appointment of Certain Officers; Compensatory Arrangements of Certain Officers.</w:t>
      </w:r>
    </w:p>
    <w:p>
      <w:pPr>
        <w:spacing w:after="0" w:line="154" w:lineRule="exact"/>
        <w:rPr>
          <w:sz w:val="20"/>
          <w:szCs w:val="20"/>
          <w:color w:val="auto"/>
        </w:rPr>
      </w:pPr>
    </w:p>
    <w:p>
      <w:pPr>
        <w:ind w:right="440"/>
        <w:spacing w:after="0" w:line="264" w:lineRule="auto"/>
        <w:rPr>
          <w:sz w:val="20"/>
          <w:szCs w:val="20"/>
          <w:color w:val="auto"/>
        </w:rPr>
      </w:pPr>
      <w:r>
        <w:rPr>
          <w:rFonts w:ascii="Times New Roman" w:cs="Times New Roman" w:eastAsia="Times New Roman" w:hAnsi="Times New Roman"/>
          <w:sz w:val="12"/>
          <w:szCs w:val="12"/>
          <w:color w:val="auto"/>
        </w:rPr>
        <w:t>In connection with the restructuring, the Company will terminate the employment of Graham Griffiths effective as of June 30, 2025 and the employment of Gemma Brown effective as of April 30, 2025. Further plans for the re-organized team will be communicated in due course.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connection with these changes, the Company intends to enter into severance agreements with Mr. Griffiths and Ms. Brown, reflecting substantially the terms set forth in their respective service agreements.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63"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12"/>
          <w:szCs w:val="12"/>
          <w:color w:val="auto"/>
        </w:rPr>
        <w:t>On January 10, 2025, the Company issued a press release titled “Barinthus Bio Announces Strategic Focus in Immunology and Inflammation (I&amp;I) and Provides a Financial Update.” A copy of the press release is furnished as Exhibit 99.1 to this Current Report on Form 8-K.</w:t>
      </w:r>
    </w:p>
    <w:p>
      <w:pPr>
        <w:spacing w:after="0" w:line="147"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On January 10, 2025, the Company updated its corporate presentation for use in meetings with investors, analysts and others. A copy of this presentation is furnished as Exhibit 99.2 to this Current Report on Form 8-K. The Company undertakes no obligation to update, supplement or amend the presentation.</w:t>
      </w:r>
    </w:p>
    <w:p>
      <w:pPr>
        <w:spacing w:after="0" w:line="120"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1"/>
          <w:szCs w:val="11"/>
          <w:color w:val="auto"/>
        </w:rPr>
        <w:t>The information in Items 2.02 and 7.01 of this Form 8-K (including Exhibits 99.1 and 99.2)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558165</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73"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i w:val="1"/>
          <w:iCs w:val="1"/>
          <w:color w:val="auto"/>
        </w:rPr>
        <w:t>Forward Looking Statements</w:t>
      </w:r>
    </w:p>
    <w:p>
      <w:pPr>
        <w:spacing w:after="0" w:line="161"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2"/>
          <w:szCs w:val="12"/>
          <w:color w:val="auto"/>
        </w:rPr>
        <w:t>This Current Report on Form 8-K contains forward-looking statements, within the meaning of the Private Securities Litigation Reform Act of 1995, as amended, which can generally be identified as such by use of the words “expect,” “will,” and similar expressions, although not all forward-looking statements contain these identifying words. These forward-looking statements include, without limitation, express or implied statements regarding the Company’s preliminary estimated cash and cash equivalents and future expectations, plans and prospects, including the Company’s product development activities and clinical trials and the estimates of costs that the Company expects to incur in connection with the restructuring and the timing thereof. Any forward-looking statements in this Current Report on Form 8-K are based on management’s current expectations and beliefs and are subject to numerous risks, uncertainties and important factors that may cause actual events or results to differ materially from those expressed or implied by any forward-looking statements contained in this Current Report on Form 8-K, including, without limitation, risks and uncertainties related to the success, cost and timing of the Company’s pipeline development activities and planned and ongoing clinical trials, the Company’s ability to execute on its strategy, regulatory developments, the risk that the Company may not achieve the anticipated benefits of its pipeline prioritization and corporate restructuring, the Company’s ability to fund its operations and access capital, the Company’s preliminary estimates of its cash and cash equivalents, including the risk that final financial results may differ materially from the Company’s preliminary estimates, and other risks identified in the Company’s filings with the Securities and Exchange Commission (the “SEC”), including its Annual Report on Form 10-K for the year ended December 31, 2023, its Quarterly Reports on Form 10-Q and subsequent filings with the SEC. The Company cautions you not to place undue reliance on any forward-looking statements, which speak only as of the date they are made. The Company expressly disclaims any obligation to publicly update or revise any such statements to reflect any change in expectations or in events, conditions or circumstances on which any such statements may be based, or that may affect the likelihood that actual results will differ from those set forth in the forward-looking statements.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 Exhibits</w:t>
            </w: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120" w:type="dxa"/>
            <w:vAlign w:val="bottom"/>
          </w:tcPr>
          <w:p>
            <w:pPr>
              <w:spacing w:after="0"/>
              <w:rPr>
                <w:sz w:val="13"/>
                <w:szCs w:val="13"/>
                <w:color w:val="auto"/>
              </w:rPr>
            </w:pP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1</w:t>
            </w:r>
          </w:p>
        </w:tc>
        <w:tc>
          <w:tcPr>
            <w:tcW w:w="2040" w:type="dxa"/>
            <w:vAlign w:val="bottom"/>
          </w:tcPr>
          <w:p>
            <w:pPr>
              <w:spacing w:after="0"/>
              <w:rPr>
                <w:sz w:val="23"/>
                <w:szCs w:val="23"/>
                <w:color w:val="auto"/>
              </w:rPr>
            </w:pPr>
          </w:p>
        </w:tc>
        <w:tc>
          <w:tcPr>
            <w:tcW w:w="9040" w:type="dxa"/>
            <w:vAlign w:val="bottom"/>
            <w:gridSpan w:val="3"/>
          </w:tcPr>
          <w:p>
            <w:pPr>
              <w:spacing w:after="0"/>
              <w:rPr>
                <w:sz w:val="20"/>
                <w:szCs w:val="20"/>
                <w:color w:val="auto"/>
              </w:rPr>
            </w:pPr>
            <w:r>
              <w:rPr>
                <w:rFonts w:ascii="Times New Roman" w:cs="Times New Roman" w:eastAsia="Times New Roman" w:hAnsi="Times New Roman"/>
                <w:sz w:val="12"/>
                <w:szCs w:val="12"/>
                <w:color w:val="0000FF"/>
              </w:rPr>
              <w:t>Press Release dated January 10, 2025.</w:t>
            </w:r>
          </w:p>
        </w:tc>
      </w:tr>
      <w:tr>
        <w:trPr>
          <w:trHeight w:val="20"/>
        </w:trPr>
        <w:tc>
          <w:tcPr>
            <w:tcW w:w="22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r>
      <w:tr>
        <w:trPr>
          <w:trHeight w:val="151"/>
        </w:trPr>
        <w:tc>
          <w:tcPr>
            <w:tcW w:w="220" w:type="dxa"/>
            <w:vAlign w:val="bottom"/>
          </w:tcPr>
          <w:p>
            <w:pPr>
              <w:spacing w:after="0"/>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2</w:t>
            </w:r>
          </w:p>
        </w:tc>
        <w:tc>
          <w:tcPr>
            <w:tcW w:w="2040" w:type="dxa"/>
            <w:vAlign w:val="bottom"/>
          </w:tcPr>
          <w:p>
            <w:pPr>
              <w:spacing w:after="0"/>
              <w:rPr>
                <w:sz w:val="13"/>
                <w:szCs w:val="13"/>
                <w:color w:val="auto"/>
              </w:rPr>
            </w:pPr>
          </w:p>
        </w:tc>
        <w:tc>
          <w:tcPr>
            <w:tcW w:w="9040" w:type="dxa"/>
            <w:vAlign w:val="bottom"/>
            <w:gridSpan w:val="3"/>
          </w:tcPr>
          <w:p>
            <w:pPr>
              <w:spacing w:after="0"/>
              <w:rPr>
                <w:sz w:val="20"/>
                <w:szCs w:val="20"/>
                <w:color w:val="auto"/>
              </w:rPr>
            </w:pPr>
            <w:r>
              <w:rPr>
                <w:rFonts w:ascii="Times New Roman" w:cs="Times New Roman" w:eastAsia="Times New Roman" w:hAnsi="Times New Roman"/>
                <w:sz w:val="12"/>
                <w:szCs w:val="12"/>
                <w:color w:val="0000FF"/>
              </w:rPr>
              <w:t>Corporate Deck dated January 10, 2025.</w:t>
            </w:r>
          </w:p>
        </w:tc>
      </w:tr>
      <w:tr>
        <w:trPr>
          <w:trHeight w:val="20"/>
        </w:trPr>
        <w:tc>
          <w:tcPr>
            <w:tcW w:w="22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r>
      <w:tr>
        <w:trPr>
          <w:trHeight w:val="178"/>
        </w:trPr>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2040" w:type="dxa"/>
            <w:vAlign w:val="bottom"/>
          </w:tcPr>
          <w:p>
            <w:pPr>
              <w:spacing w:after="0"/>
              <w:rPr>
                <w:sz w:val="15"/>
                <w:szCs w:val="15"/>
                <w:color w:val="auto"/>
              </w:rPr>
            </w:pPr>
          </w:p>
        </w:tc>
        <w:tc>
          <w:tcPr>
            <w:tcW w:w="90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675"/>
        </w:trPr>
        <w:tc>
          <w:tcPr>
            <w:tcW w:w="22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67" w:right="299" w:bottom="1440" w:gutter="0" w:footer="0" w:header="0"/>
        </w:sectPr>
      </w:pPr>
    </w:p>
    <w:bookmarkStart w:id="3" w:name="page4"/>
    <w:bookmarkEnd w:id="3"/>
    <w:p>
      <w:pPr>
        <w:ind w:left="530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360" w:type="dxa"/>
            <w:vAlign w:val="bottom"/>
          </w:tcPr>
          <w:p>
            <w:pPr>
              <w:spacing w:after="0"/>
              <w:rPr>
                <w:sz w:val="13"/>
                <w:szCs w:val="13"/>
                <w:color w:val="auto"/>
              </w:rPr>
            </w:pPr>
          </w:p>
        </w:tc>
        <w:tc>
          <w:tcPr>
            <w:tcW w:w="7940" w:type="dxa"/>
            <w:vAlign w:val="bottom"/>
            <w:gridSpan w:val="2"/>
          </w:tcPr>
          <w:p>
            <w:pPr>
              <w:ind w:left="2240"/>
              <w:spacing w:after="0"/>
              <w:rPr>
                <w:sz w:val="20"/>
                <w:szCs w:val="20"/>
                <w:color w:val="auto"/>
              </w:rPr>
            </w:pPr>
            <w:r>
              <w:rPr>
                <w:rFonts w:ascii="Times New Roman" w:cs="Times New Roman" w:eastAsia="Times New Roman" w:hAnsi="Times New Roman"/>
                <w:sz w:val="12"/>
                <w:szCs w:val="12"/>
                <w:color w:val="auto"/>
              </w:rPr>
              <w:t>Barinthus Biotherapeutics plc</w:t>
            </w:r>
          </w:p>
        </w:tc>
      </w:tr>
      <w:tr>
        <w:trPr>
          <w:trHeight w:val="355"/>
        </w:trPr>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Date: January 10, 2025</w:t>
            </w:r>
          </w:p>
        </w:tc>
        <w:tc>
          <w:tcPr>
            <w:tcW w:w="2960" w:type="dxa"/>
            <w:vAlign w:val="bottom"/>
          </w:tcPr>
          <w:p>
            <w:pPr>
              <w:ind w:left="2240"/>
              <w:spacing w:after="0"/>
              <w:rPr>
                <w:sz w:val="20"/>
                <w:szCs w:val="20"/>
                <w:color w:val="auto"/>
              </w:rPr>
            </w:pPr>
            <w:r>
              <w:rPr>
                <w:rFonts w:ascii="Times New Roman" w:cs="Times New Roman" w:eastAsia="Times New Roman" w:hAnsi="Times New Roman"/>
                <w:sz w:val="12"/>
                <w:szCs w:val="12"/>
                <w:color w:val="auto"/>
              </w:rPr>
              <w:t>By:</w:t>
            </w:r>
          </w:p>
        </w:tc>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William Enright</w:t>
            </w:r>
          </w:p>
        </w:tc>
      </w:tr>
      <w:tr>
        <w:trPr>
          <w:trHeight w:val="156"/>
        </w:trPr>
        <w:tc>
          <w:tcPr>
            <w:tcW w:w="336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William Enright</w:t>
            </w:r>
          </w:p>
        </w:tc>
      </w:tr>
      <w:tr>
        <w:trPr>
          <w:trHeight w:val="171"/>
        </w:trPr>
        <w:tc>
          <w:tcPr>
            <w:tcW w:w="33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Executive Officer</w:t>
            </w:r>
          </w:p>
        </w:tc>
      </w:tr>
    </w:tbl>
    <w:p>
      <w:pPr>
        <w:sectPr>
          <w:pgSz w:w="11900" w:h="16838" w:orient="portrait"/>
          <w:cols w:equalWidth="0" w:num="1">
            <w:col w:w="11300"/>
          </w:cols>
          <w:pgMar w:left="300" w:top="782" w:right="299" w:bottom="1440" w:gutter="0" w:footer="0" w:header="0"/>
        </w:sectPr>
      </w:pPr>
    </w:p>
    <w:bookmarkStart w:id="4" w:name="page5"/>
    <w:bookmarkEnd w:id="4"/>
    <w:p>
      <w:pPr>
        <w:jc w:val="center"/>
        <w:ind w:right="-39"/>
        <w:spacing w:after="0"/>
        <w:rPr>
          <w:sz w:val="20"/>
          <w:szCs w:val="20"/>
          <w:color w:val="auto"/>
        </w:rPr>
      </w:pPr>
      <w:r>
        <w:rPr>
          <w:rFonts w:ascii="Calibri" w:cs="Calibri" w:eastAsia="Calibri" w:hAnsi="Calibri"/>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266065</wp:posOffset>
            </wp:positionV>
            <wp:extent cx="1457325" cy="4914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57325" cy="491490"/>
                    </a:xfrm>
                    <a:prstGeom prst="rect">
                      <a:avLst/>
                    </a:prstGeom>
                    <a:noFill/>
                  </pic:spPr>
                </pic:pic>
              </a:graphicData>
            </a:graphic>
          </wp:anchor>
        </w:drawing>
        <w:t>Barinthus Bio Announces Strategic Focus in Immunology and Infammaton (I&amp;I) and Provides a Financial Update</w:t>
      </w:r>
    </w:p>
    <w:p>
      <w:pPr>
        <w:spacing w:after="0" w:line="168" w:lineRule="exact"/>
        <w:rPr>
          <w:sz w:val="20"/>
          <w:szCs w:val="20"/>
          <w:color w:val="auto"/>
        </w:rPr>
      </w:pPr>
    </w:p>
    <w:p>
      <w:pPr>
        <w:ind w:left="420" w:hanging="212"/>
        <w:spacing w:after="0"/>
        <w:tabs>
          <w:tab w:leader="none" w:pos="420" w:val="left"/>
        </w:tabs>
        <w:numPr>
          <w:ilvl w:val="0"/>
          <w:numId w:val="3"/>
        </w:numPr>
        <w:rPr>
          <w:rFonts w:ascii="Arial" w:cs="Arial" w:eastAsia="Arial" w:hAnsi="Arial"/>
          <w:sz w:val="14"/>
          <w:szCs w:val="14"/>
          <w:color w:val="auto"/>
        </w:rPr>
      </w:pPr>
      <w:r>
        <w:rPr>
          <w:rFonts w:ascii="Calibri" w:cs="Calibri" w:eastAsia="Calibri" w:hAnsi="Calibri"/>
          <w:sz w:val="13"/>
          <w:szCs w:val="13"/>
          <w:i w:val="1"/>
          <w:iCs w:val="1"/>
          <w:color w:val="auto"/>
        </w:rPr>
        <w:t>Prioritzing VTP-1000 development in celiac disease, Phase 1 data expected in mid-2025</w:t>
      </w:r>
    </w:p>
    <w:p>
      <w:pPr>
        <w:spacing w:after="0" w:line="14" w:lineRule="exact"/>
        <w:rPr>
          <w:rFonts w:ascii="Arial" w:cs="Arial" w:eastAsia="Arial" w:hAnsi="Arial"/>
          <w:sz w:val="14"/>
          <w:szCs w:val="14"/>
          <w:color w:val="auto"/>
        </w:rPr>
      </w:pPr>
    </w:p>
    <w:p>
      <w:pPr>
        <w:ind w:left="420" w:hanging="212"/>
        <w:spacing w:after="0" w:line="227" w:lineRule="auto"/>
        <w:tabs>
          <w:tab w:leader="none" w:pos="420" w:val="left"/>
        </w:tabs>
        <w:numPr>
          <w:ilvl w:val="0"/>
          <w:numId w:val="3"/>
        </w:numPr>
        <w:rPr>
          <w:rFonts w:ascii="Times New Roman" w:cs="Times New Roman" w:eastAsia="Times New Roman" w:hAnsi="Times New Roman"/>
          <w:sz w:val="14"/>
          <w:szCs w:val="14"/>
          <w:color w:val="auto"/>
        </w:rPr>
      </w:pPr>
      <w:r>
        <w:rPr>
          <w:rFonts w:ascii="Calibri" w:cs="Calibri" w:eastAsia="Calibri" w:hAnsi="Calibri"/>
          <w:sz w:val="13"/>
          <w:szCs w:val="13"/>
          <w:i w:val="1"/>
          <w:iCs w:val="1"/>
          <w:color w:val="auto"/>
        </w:rPr>
        <w:t>Postponing further clinical development of VTP-300 in chronic hepatts B (CHB) untl a partner is identfed</w:t>
      </w:r>
    </w:p>
    <w:p>
      <w:pPr>
        <w:spacing w:after="0" w:line="12" w:lineRule="exact"/>
        <w:rPr>
          <w:rFonts w:ascii="Times New Roman" w:cs="Times New Roman" w:eastAsia="Times New Roman" w:hAnsi="Times New Roman"/>
          <w:sz w:val="14"/>
          <w:szCs w:val="14"/>
          <w:color w:val="auto"/>
        </w:rPr>
      </w:pPr>
    </w:p>
    <w:p>
      <w:pPr>
        <w:ind w:left="420" w:hanging="212"/>
        <w:spacing w:after="0" w:line="217" w:lineRule="auto"/>
        <w:tabs>
          <w:tab w:leader="none" w:pos="420" w:val="left"/>
        </w:tabs>
        <w:numPr>
          <w:ilvl w:val="0"/>
          <w:numId w:val="3"/>
        </w:numPr>
        <w:rPr>
          <w:rFonts w:ascii="Times New Roman" w:cs="Times New Roman" w:eastAsia="Times New Roman" w:hAnsi="Times New Roman"/>
          <w:sz w:val="14"/>
          <w:szCs w:val="14"/>
          <w:color w:val="auto"/>
        </w:rPr>
      </w:pPr>
      <w:r>
        <w:rPr>
          <w:rFonts w:ascii="Calibri" w:cs="Calibri" w:eastAsia="Calibri" w:hAnsi="Calibri"/>
          <w:sz w:val="13"/>
          <w:szCs w:val="13"/>
          <w:i w:val="1"/>
          <w:iCs w:val="1"/>
          <w:color w:val="auto"/>
        </w:rPr>
        <w:t>Extending the cash runway to the start of 2027 by reducing costs, including an approximate 65% reducton in workforce and expected closure of the U.K. site</w:t>
      </w:r>
    </w:p>
    <w:p>
      <w:pPr>
        <w:spacing w:after="0" w:line="12" w:lineRule="exact"/>
        <w:rPr>
          <w:rFonts w:ascii="Times New Roman" w:cs="Times New Roman" w:eastAsia="Times New Roman" w:hAnsi="Times New Roman"/>
          <w:sz w:val="14"/>
          <w:szCs w:val="14"/>
          <w:color w:val="auto"/>
        </w:rPr>
      </w:pPr>
    </w:p>
    <w:p>
      <w:pPr>
        <w:ind w:left="420" w:hanging="212"/>
        <w:spacing w:after="0" w:line="230" w:lineRule="auto"/>
        <w:tabs>
          <w:tab w:leader="none" w:pos="420" w:val="left"/>
        </w:tabs>
        <w:numPr>
          <w:ilvl w:val="0"/>
          <w:numId w:val="3"/>
        </w:numPr>
        <w:rPr>
          <w:rFonts w:ascii="Times New Roman" w:cs="Times New Roman" w:eastAsia="Times New Roman" w:hAnsi="Times New Roman"/>
          <w:sz w:val="14"/>
          <w:szCs w:val="14"/>
          <w:color w:val="auto"/>
        </w:rPr>
      </w:pPr>
      <w:r>
        <w:rPr>
          <w:rFonts w:ascii="Calibri" w:cs="Calibri" w:eastAsia="Calibri" w:hAnsi="Calibri"/>
          <w:sz w:val="13"/>
          <w:szCs w:val="13"/>
          <w:i w:val="1"/>
          <w:iCs w:val="1"/>
          <w:color w:val="auto"/>
        </w:rPr>
        <w:t>Future operatons will be focused at the U.S. site in Germantown, Maryland</w:t>
      </w:r>
    </w:p>
    <w:p>
      <w:pPr>
        <w:spacing w:after="0" w:line="149" w:lineRule="exact"/>
        <w:rPr>
          <w:sz w:val="20"/>
          <w:szCs w:val="20"/>
          <w:color w:val="auto"/>
        </w:rPr>
      </w:pPr>
    </w:p>
    <w:p>
      <w:pPr>
        <w:ind w:right="40"/>
        <w:spacing w:after="0" w:line="220" w:lineRule="auto"/>
        <w:rPr>
          <w:sz w:val="20"/>
          <w:szCs w:val="20"/>
          <w:color w:val="auto"/>
        </w:rPr>
      </w:pPr>
      <w:r>
        <w:rPr>
          <w:rFonts w:ascii="Calibri" w:cs="Calibri" w:eastAsia="Calibri" w:hAnsi="Calibri"/>
          <w:sz w:val="13"/>
          <w:szCs w:val="13"/>
          <w:color w:val="auto"/>
        </w:rPr>
        <w:t>OXFORD, United Kingdom and GERMANTOWN, MD, United States, Jan. 10, 2024 (GLOBE NEWSWIRE) -- Barinthus Biotherapeutcs plc (NASDAQ: BRNS) (“Barinthus Bio,” or the “Company”), today provided a strategic business and fnancial update. Barinthus Bio is a clinical-stage biopharmaceutcal company developing novel immunotherapeutc candidates that guide T cells to control disease.</w:t>
      </w:r>
    </w:p>
    <w:p>
      <w:pPr>
        <w:spacing w:after="0" w:line="148"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Strategic Business Focus and Restructuring:</w:t>
      </w:r>
    </w:p>
    <w:p>
      <w:pPr>
        <w:ind w:left="420" w:hanging="212"/>
        <w:spacing w:after="0"/>
        <w:tabs>
          <w:tab w:leader="none" w:pos="420" w:val="left"/>
        </w:tabs>
        <w:numPr>
          <w:ilvl w:val="0"/>
          <w:numId w:val="4"/>
        </w:numPr>
        <w:rPr>
          <w:rFonts w:ascii="Calibri" w:cs="Calibri" w:eastAsia="Calibri" w:hAnsi="Calibri"/>
          <w:sz w:val="14"/>
          <w:szCs w:val="14"/>
          <w:color w:val="auto"/>
        </w:rPr>
      </w:pPr>
      <w:r>
        <w:rPr>
          <w:rFonts w:ascii="Calibri" w:cs="Calibri" w:eastAsia="Calibri" w:hAnsi="Calibri"/>
          <w:sz w:val="13"/>
          <w:szCs w:val="13"/>
          <w:color w:val="auto"/>
        </w:rPr>
        <w:t>The Company will prioritze I&amp;I indicatons, including antgen-specifc immune tolerance.</w:t>
      </w:r>
    </w:p>
    <w:p>
      <w:pPr>
        <w:spacing w:after="0" w:line="23" w:lineRule="exact"/>
        <w:rPr>
          <w:rFonts w:ascii="Calibri" w:cs="Calibri" w:eastAsia="Calibri" w:hAnsi="Calibri"/>
          <w:sz w:val="14"/>
          <w:szCs w:val="14"/>
          <w:color w:val="auto"/>
        </w:rPr>
      </w:pPr>
    </w:p>
    <w:p>
      <w:pPr>
        <w:ind w:left="420" w:hanging="212"/>
        <w:spacing w:after="0" w:line="229" w:lineRule="auto"/>
        <w:tabs>
          <w:tab w:leader="none" w:pos="416" w:val="left"/>
        </w:tabs>
        <w:numPr>
          <w:ilvl w:val="0"/>
          <w:numId w:val="4"/>
        </w:numPr>
        <w:rPr>
          <w:rFonts w:ascii="Times New Roman" w:cs="Times New Roman" w:eastAsia="Times New Roman" w:hAnsi="Times New Roman"/>
          <w:sz w:val="14"/>
          <w:szCs w:val="14"/>
          <w:color w:val="auto"/>
        </w:rPr>
      </w:pPr>
      <w:r>
        <w:rPr>
          <w:rFonts w:ascii="Calibri" w:cs="Calibri" w:eastAsia="Calibri" w:hAnsi="Calibri"/>
          <w:sz w:val="13"/>
          <w:szCs w:val="13"/>
          <w:color w:val="auto"/>
        </w:rPr>
        <w:t>The Company plans to extend the cash runway to the start of 2027 by reducing costs, including a reducton in headcount by approximately 65% across both sites, and streamlining the operatng costs of the business.</w:t>
      </w:r>
    </w:p>
    <w:p>
      <w:pPr>
        <w:spacing w:after="0" w:line="23" w:lineRule="exact"/>
        <w:rPr>
          <w:rFonts w:ascii="Times New Roman" w:cs="Times New Roman" w:eastAsia="Times New Roman" w:hAnsi="Times New Roman"/>
          <w:sz w:val="14"/>
          <w:szCs w:val="14"/>
          <w:color w:val="auto"/>
        </w:rPr>
      </w:pPr>
    </w:p>
    <w:p>
      <w:pPr>
        <w:ind w:left="420" w:right="120" w:hanging="212"/>
        <w:spacing w:after="0" w:line="222" w:lineRule="auto"/>
        <w:tabs>
          <w:tab w:leader="none" w:pos="416" w:val="left"/>
        </w:tabs>
        <w:numPr>
          <w:ilvl w:val="0"/>
          <w:numId w:val="4"/>
        </w:numPr>
        <w:rPr>
          <w:rFonts w:ascii="Times New Roman" w:cs="Times New Roman" w:eastAsia="Times New Roman" w:hAnsi="Times New Roman"/>
          <w:sz w:val="14"/>
          <w:szCs w:val="14"/>
          <w:color w:val="auto"/>
        </w:rPr>
      </w:pPr>
      <w:r>
        <w:rPr>
          <w:rFonts w:ascii="Calibri" w:cs="Calibri" w:eastAsia="Calibri" w:hAnsi="Calibri"/>
          <w:sz w:val="13"/>
          <w:szCs w:val="13"/>
          <w:color w:val="auto"/>
        </w:rPr>
        <w:t>As part of the restructuring, two of the executve leadership team members based in the U.K., the Chief Operatng Ofcer, Graham Grifths and Chief Financial Ofcer, Gemma Brown, will leave the Company. Further plans for the re-organized team will be communicated in due course.</w:t>
      </w:r>
    </w:p>
    <w:p>
      <w:pPr>
        <w:spacing w:after="0" w:line="24" w:lineRule="exact"/>
        <w:rPr>
          <w:rFonts w:ascii="Times New Roman" w:cs="Times New Roman" w:eastAsia="Times New Roman" w:hAnsi="Times New Roman"/>
          <w:sz w:val="14"/>
          <w:szCs w:val="14"/>
          <w:color w:val="auto"/>
        </w:rPr>
      </w:pPr>
    </w:p>
    <w:p>
      <w:pPr>
        <w:ind w:left="420" w:right="380" w:hanging="212"/>
        <w:spacing w:after="0" w:line="229" w:lineRule="auto"/>
        <w:tabs>
          <w:tab w:leader="none" w:pos="416" w:val="left"/>
        </w:tabs>
        <w:numPr>
          <w:ilvl w:val="0"/>
          <w:numId w:val="4"/>
        </w:numPr>
        <w:rPr>
          <w:rFonts w:ascii="Times New Roman" w:cs="Times New Roman" w:eastAsia="Times New Roman" w:hAnsi="Times New Roman"/>
          <w:sz w:val="14"/>
          <w:szCs w:val="14"/>
          <w:color w:val="auto"/>
        </w:rPr>
      </w:pPr>
      <w:r>
        <w:rPr>
          <w:rFonts w:ascii="Calibri" w:cs="Calibri" w:eastAsia="Calibri" w:hAnsi="Calibri"/>
          <w:sz w:val="13"/>
          <w:szCs w:val="13"/>
          <w:color w:val="auto"/>
        </w:rPr>
        <w:t>The Company will not invest in VTP-300 in chronic hepatts B beyond the completon of the ongoing Phase 2b HBV003 clinical trial and will seek potental partners able to take advantage of its diferentated ability to achieve sustained HBsAg loss and functonal cure in patents with low levels of HBsAg.</w:t>
      </w:r>
    </w:p>
    <w:p>
      <w:pPr>
        <w:spacing w:after="0" w:line="157"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Financial Update:</w:t>
      </w:r>
    </w:p>
    <w:p>
      <w:pPr>
        <w:spacing w:after="0" w:line="14" w:lineRule="exact"/>
        <w:rPr>
          <w:sz w:val="20"/>
          <w:szCs w:val="20"/>
          <w:color w:val="auto"/>
        </w:rPr>
      </w:pPr>
    </w:p>
    <w:p>
      <w:pPr>
        <w:ind w:left="420" w:hanging="212"/>
        <w:spacing w:after="0"/>
        <w:tabs>
          <w:tab w:leader="none" w:pos="420" w:val="left"/>
        </w:tabs>
        <w:numPr>
          <w:ilvl w:val="0"/>
          <w:numId w:val="5"/>
        </w:numPr>
        <w:rPr>
          <w:rFonts w:ascii="Calibri" w:cs="Calibri" w:eastAsia="Calibri" w:hAnsi="Calibri"/>
          <w:sz w:val="14"/>
          <w:szCs w:val="14"/>
          <w:color w:val="auto"/>
        </w:rPr>
      </w:pPr>
      <w:r>
        <w:rPr>
          <w:rFonts w:ascii="Calibri" w:cs="Calibri" w:eastAsia="Calibri" w:hAnsi="Calibri"/>
          <w:sz w:val="13"/>
          <w:szCs w:val="13"/>
          <w:color w:val="auto"/>
        </w:rPr>
        <w:t>Cash, cash equivalents and restricted cash are expected to be $112 million as of December 31, 2024.</w:t>
      </w:r>
      <w:r>
        <w:rPr>
          <w:rFonts w:ascii="Calibri" w:cs="Calibri" w:eastAsia="Calibri" w:hAnsi="Calibri"/>
          <w:sz w:val="15"/>
          <w:szCs w:val="15"/>
          <w:color w:val="auto"/>
          <w:vertAlign w:val="superscript"/>
        </w:rPr>
        <w:t>1</w:t>
      </w:r>
    </w:p>
    <w:p>
      <w:pPr>
        <w:spacing w:after="0" w:line="2" w:lineRule="exact"/>
        <w:rPr>
          <w:rFonts w:ascii="Calibri" w:cs="Calibri" w:eastAsia="Calibri" w:hAnsi="Calibri"/>
          <w:sz w:val="14"/>
          <w:szCs w:val="14"/>
          <w:color w:val="auto"/>
        </w:rPr>
      </w:pPr>
    </w:p>
    <w:p>
      <w:pPr>
        <w:ind w:left="420" w:right="40" w:hanging="212"/>
        <w:spacing w:after="0" w:line="215" w:lineRule="auto"/>
        <w:tabs>
          <w:tab w:leader="none" w:pos="420" w:val="left"/>
        </w:tabs>
        <w:numPr>
          <w:ilvl w:val="0"/>
          <w:numId w:val="5"/>
        </w:numPr>
        <w:rPr>
          <w:rFonts w:ascii="Calibri" w:cs="Calibri" w:eastAsia="Calibri" w:hAnsi="Calibri"/>
          <w:sz w:val="14"/>
          <w:szCs w:val="14"/>
          <w:color w:val="auto"/>
        </w:rPr>
      </w:pPr>
      <w:r>
        <w:rPr>
          <w:rFonts w:ascii="Calibri" w:cs="Calibri" w:eastAsia="Calibri" w:hAnsi="Calibri"/>
          <w:sz w:val="13"/>
          <w:szCs w:val="13"/>
          <w:color w:val="auto"/>
        </w:rPr>
        <w:t>Based on management’s current assumptons and taking into account expected cost savings from the corporate restructuring, the Company believes its available resources will fund its operatons to the start of 2027.</w:t>
      </w:r>
    </w:p>
    <w:p>
      <w:pPr>
        <w:spacing w:after="0" w:line="148"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Antcipated 2025 Corporate Milestones:</w:t>
      </w:r>
    </w:p>
    <w:p>
      <w:pPr>
        <w:spacing w:after="0" w:line="231" w:lineRule="auto"/>
        <w:rPr>
          <w:sz w:val="20"/>
          <w:szCs w:val="20"/>
          <w:color w:val="auto"/>
        </w:rPr>
      </w:pPr>
      <w:r>
        <w:rPr>
          <w:rFonts w:ascii="Calibri" w:cs="Calibri" w:eastAsia="Calibri" w:hAnsi="Calibri"/>
          <w:sz w:val="13"/>
          <w:szCs w:val="13"/>
          <w:i w:val="1"/>
          <w:iCs w:val="1"/>
          <w:color w:val="auto"/>
        </w:rPr>
        <w:t>Celiac disease:</w:t>
      </w:r>
    </w:p>
    <w:p>
      <w:pPr>
        <w:spacing w:after="0" w:line="14" w:lineRule="exact"/>
        <w:rPr>
          <w:sz w:val="20"/>
          <w:szCs w:val="20"/>
          <w:color w:val="auto"/>
        </w:rPr>
      </w:pPr>
    </w:p>
    <w:p>
      <w:pPr>
        <w:ind w:left="420" w:right="20" w:hanging="212"/>
        <w:spacing w:after="0" w:line="225" w:lineRule="auto"/>
        <w:tabs>
          <w:tab w:leader="none" w:pos="420" w:val="left"/>
        </w:tabs>
        <w:numPr>
          <w:ilvl w:val="0"/>
          <w:numId w:val="6"/>
        </w:numPr>
        <w:rPr>
          <w:rFonts w:ascii="Calibri" w:cs="Calibri" w:eastAsia="Calibri" w:hAnsi="Calibri"/>
          <w:sz w:val="14"/>
          <w:szCs w:val="14"/>
          <w:color w:val="auto"/>
        </w:rPr>
      </w:pPr>
      <w:r>
        <w:rPr>
          <w:rFonts w:ascii="Calibri" w:cs="Calibri" w:eastAsia="Calibri" w:hAnsi="Calibri"/>
          <w:sz w:val="13"/>
          <w:szCs w:val="13"/>
          <w:color w:val="auto"/>
        </w:rPr>
        <w:t>Announcement of single ascending dose data from AVALON, the frst-in-human Phase 1 clinical trial evaluatng the safety, tolerability, pharmacokinetcs and pharmacodynamics of VTP-1000 in adults with celiac disease expected in the middle of 2025.</w:t>
      </w:r>
    </w:p>
    <w:p>
      <w:pPr>
        <w:spacing w:after="0" w:line="15" w:lineRule="exact"/>
        <w:rPr>
          <w:rFonts w:ascii="Calibri" w:cs="Calibri" w:eastAsia="Calibri" w:hAnsi="Calibri"/>
          <w:sz w:val="14"/>
          <w:szCs w:val="14"/>
          <w:color w:val="auto"/>
        </w:rPr>
      </w:pPr>
    </w:p>
    <w:p>
      <w:pPr>
        <w:ind w:left="420" w:hanging="212"/>
        <w:spacing w:after="0"/>
        <w:tabs>
          <w:tab w:leader="none" w:pos="420" w:val="left"/>
        </w:tabs>
        <w:numPr>
          <w:ilvl w:val="0"/>
          <w:numId w:val="6"/>
        </w:numPr>
        <w:rPr>
          <w:rFonts w:ascii="Times New Roman" w:cs="Times New Roman" w:eastAsia="Times New Roman" w:hAnsi="Times New Roman"/>
          <w:sz w:val="14"/>
          <w:szCs w:val="14"/>
          <w:color w:val="auto"/>
        </w:rPr>
      </w:pPr>
      <w:r>
        <w:rPr>
          <w:rFonts w:ascii="Calibri" w:cs="Calibri" w:eastAsia="Calibri" w:hAnsi="Calibri"/>
          <w:sz w:val="13"/>
          <w:szCs w:val="13"/>
          <w:color w:val="auto"/>
        </w:rPr>
        <w:t>Initaton of multple ascending dose porton of the Phase 1 clinical trial expected in the third quarter of 2025.</w:t>
      </w:r>
    </w:p>
    <w:p>
      <w:pPr>
        <w:spacing w:after="0" w:line="156" w:lineRule="exact"/>
        <w:rPr>
          <w:sz w:val="20"/>
          <w:szCs w:val="20"/>
          <w:color w:val="auto"/>
        </w:rPr>
      </w:pPr>
    </w:p>
    <w:p>
      <w:pPr>
        <w:spacing w:after="0"/>
        <w:rPr>
          <w:sz w:val="20"/>
          <w:szCs w:val="20"/>
          <w:color w:val="auto"/>
        </w:rPr>
      </w:pPr>
      <w:r>
        <w:rPr>
          <w:rFonts w:ascii="Calibri" w:cs="Calibri" w:eastAsia="Calibri" w:hAnsi="Calibri"/>
          <w:sz w:val="13"/>
          <w:szCs w:val="13"/>
          <w:i w:val="1"/>
          <w:iCs w:val="1"/>
          <w:color w:val="auto"/>
        </w:rPr>
        <w:t>Chronic hepatts B:</w:t>
      </w:r>
    </w:p>
    <w:p>
      <w:pPr>
        <w:spacing w:after="0" w:line="14" w:lineRule="exact"/>
        <w:rPr>
          <w:sz w:val="20"/>
          <w:szCs w:val="20"/>
          <w:color w:val="auto"/>
        </w:rPr>
      </w:pPr>
    </w:p>
    <w:p>
      <w:pPr>
        <w:ind w:left="420" w:right="300" w:hanging="212"/>
        <w:spacing w:after="0" w:line="219" w:lineRule="auto"/>
        <w:tabs>
          <w:tab w:leader="none" w:pos="420" w:val="left"/>
        </w:tabs>
        <w:numPr>
          <w:ilvl w:val="0"/>
          <w:numId w:val="7"/>
        </w:numPr>
        <w:rPr>
          <w:rFonts w:ascii="Calibri" w:cs="Calibri" w:eastAsia="Calibri" w:hAnsi="Calibri"/>
          <w:sz w:val="14"/>
          <w:szCs w:val="14"/>
          <w:color w:val="auto"/>
        </w:rPr>
      </w:pPr>
      <w:r>
        <w:rPr>
          <w:rFonts w:ascii="Calibri" w:cs="Calibri" w:eastAsia="Calibri" w:hAnsi="Calibri"/>
          <w:sz w:val="13"/>
          <w:szCs w:val="13"/>
          <w:color w:val="auto"/>
        </w:rPr>
        <w:t>Announcement of results from Phase 2b HBV003 clinical trial evaluatng additonal dosing of VTP-300 and low-dose nivolumab tming in people with chronic hepatts B infecton expected in the second quarter of 2025.</w:t>
      </w:r>
    </w:p>
    <w:p>
      <w:pPr>
        <w:sectPr>
          <w:pgSz w:w="11900" w:h="16838" w:orient="portrait"/>
          <w:cols w:equalWidth="0" w:num="1">
            <w:col w:w="11240"/>
          </w:cols>
          <w:pgMar w:left="300" w:top="1394" w:right="359" w:bottom="1440" w:gutter="0" w:footer="0" w:header="0"/>
        </w:sectPr>
      </w:pPr>
    </w:p>
    <w:bookmarkStart w:id="5" w:name="page6"/>
    <w:bookmarkEnd w:id="5"/>
    <w:p>
      <w:pPr>
        <w:ind w:left="428" w:right="300" w:hanging="212"/>
        <w:spacing w:after="0" w:line="225" w:lineRule="auto"/>
        <w:tabs>
          <w:tab w:leader="none" w:pos="428" w:val="left"/>
        </w:tabs>
        <w:numPr>
          <w:ilvl w:val="0"/>
          <w:numId w:val="8"/>
        </w:numPr>
        <w:rPr>
          <w:rFonts w:ascii="Calibri" w:cs="Calibri" w:eastAsia="Calibri" w:hAnsi="Calibri"/>
          <w:sz w:val="14"/>
          <w:szCs w:val="14"/>
          <w:color w:val="auto"/>
        </w:rPr>
      </w:pPr>
      <w:r>
        <w:rPr>
          <w:rFonts w:ascii="Calibri" w:cs="Calibri" w:eastAsia="Calibri" w:hAnsi="Calibri"/>
          <w:sz w:val="13"/>
          <w:szCs w:val="13"/>
          <w:color w:val="auto"/>
        </w:rPr>
        <w:t>Announcement of results from the Phase 2a IM-PROVE II clinical trial evaluatng VTP-300, low-dose nivolumab and Arbutus’ imdusiran in people with chronic hepatts B infecton expected in the second quarter of 2025.</w:t>
      </w:r>
    </w:p>
    <w:p>
      <w:pPr>
        <w:spacing w:after="0" w:line="157" w:lineRule="exact"/>
        <w:rPr>
          <w:sz w:val="20"/>
          <w:szCs w:val="20"/>
          <w:color w:val="auto"/>
        </w:rPr>
      </w:pPr>
    </w:p>
    <w:p>
      <w:pPr>
        <w:ind w:left="8"/>
        <w:spacing w:after="0"/>
        <w:rPr>
          <w:sz w:val="20"/>
          <w:szCs w:val="20"/>
          <w:color w:val="auto"/>
        </w:rPr>
      </w:pPr>
      <w:r>
        <w:rPr>
          <w:rFonts w:ascii="Calibri" w:cs="Calibri" w:eastAsia="Calibri" w:hAnsi="Calibri"/>
          <w:sz w:val="13"/>
          <w:szCs w:val="13"/>
          <w:i w:val="1"/>
          <w:iCs w:val="1"/>
          <w:color w:val="auto"/>
        </w:rPr>
        <w:t>Prostate cancer:</w:t>
      </w:r>
    </w:p>
    <w:p>
      <w:pPr>
        <w:spacing w:after="0" w:line="14" w:lineRule="exact"/>
        <w:rPr>
          <w:sz w:val="20"/>
          <w:szCs w:val="20"/>
          <w:color w:val="auto"/>
        </w:rPr>
      </w:pPr>
    </w:p>
    <w:p>
      <w:pPr>
        <w:ind w:left="428" w:right="20" w:hanging="212"/>
        <w:spacing w:after="0" w:line="233" w:lineRule="auto"/>
        <w:tabs>
          <w:tab w:leader="none" w:pos="428" w:val="left"/>
        </w:tabs>
        <w:numPr>
          <w:ilvl w:val="0"/>
          <w:numId w:val="9"/>
        </w:numPr>
        <w:rPr>
          <w:rFonts w:ascii="Calibri" w:cs="Calibri" w:eastAsia="Calibri" w:hAnsi="Calibri"/>
          <w:sz w:val="14"/>
          <w:szCs w:val="14"/>
          <w:color w:val="auto"/>
        </w:rPr>
      </w:pPr>
      <w:r>
        <w:rPr>
          <w:rFonts w:ascii="Calibri" w:cs="Calibri" w:eastAsia="Calibri" w:hAnsi="Calibri"/>
          <w:sz w:val="13"/>
          <w:szCs w:val="13"/>
          <w:color w:val="auto"/>
        </w:rPr>
        <w:t>Announcement of results from Phase 1 PCA001 clinical trial evaluatng safety and efcacy of VTP-850 in men with rising prostate-specifc antgen (PSA) afer defnitve local therapy for prostate cancer (</w:t>
      </w:r>
      <w:r>
        <w:rPr>
          <w:rFonts w:ascii="Calibri" w:cs="Calibri" w:eastAsia="Calibri" w:hAnsi="Calibri"/>
          <w:sz w:val="14"/>
          <w:szCs w:val="14"/>
          <w:i w:val="1"/>
          <w:iCs w:val="1"/>
          <w:color w:val="auto"/>
        </w:rPr>
        <w:t>i.e.</w:t>
      </w:r>
      <w:r>
        <w:rPr>
          <w:rFonts w:ascii="Calibri" w:cs="Calibri" w:eastAsia="Calibri" w:hAnsi="Calibri"/>
          <w:sz w:val="13"/>
          <w:szCs w:val="13"/>
          <w:color w:val="auto"/>
        </w:rPr>
        <w:t>, biochemical recurrence) expected in the second quarter of 2025.</w:t>
      </w:r>
    </w:p>
    <w:p>
      <w:pPr>
        <w:spacing w:after="0" w:line="157" w:lineRule="exact"/>
        <w:rPr>
          <w:sz w:val="20"/>
          <w:szCs w:val="20"/>
          <w:color w:val="auto"/>
        </w:rPr>
      </w:pPr>
    </w:p>
    <w:p>
      <w:pPr>
        <w:ind w:left="8"/>
        <w:spacing w:after="0" w:line="216" w:lineRule="auto"/>
        <w:rPr>
          <w:sz w:val="20"/>
          <w:szCs w:val="20"/>
          <w:color w:val="auto"/>
        </w:rPr>
      </w:pPr>
      <w:r>
        <w:rPr>
          <w:rFonts w:ascii="Calibri" w:cs="Calibri" w:eastAsia="Calibri" w:hAnsi="Calibri"/>
          <w:sz w:val="13"/>
          <w:szCs w:val="13"/>
          <w:color w:val="auto"/>
        </w:rPr>
        <w:t>“Entering 2025, we have decided to focus on broadening the potental of our SNAP-TI platorm to address autoimmune diseases to enable us to maximize value for shareholders. We expect inital Phase 1 clinical data from VTP-1000 in celiac disease in mid-2025 and intend to develop further SNAP-TI products in other indicatons, both by ourselves and with partners,” said Bill Enright, Chief Executve Ofcer of Barinthus Bio. “Although we achieved the major goal of functonal cure in a subset of patents with chronic hepatts B (CHB) in recent interim readouts of the VTP-300 studies, we have decided to seek potental partners for furthering VTP-300 development, as we believe that this is the best route to leverage a combinaton of the technologies required and to get VTP-300 to patents as soon as possible. As a result of our shif in strategy, we have made the difcult decision to reduce our presence in the U.K. signifcantly and to reduce our workforce to align the business appropriately. I am immensely proud and grateful for what our team of talented employees has achieved and would like to thank them for their part in advancing Barinthus to where we are today, especially Gemma Brown and Graham Grifths our CFO and COO, respectvely. This team is one of the best I’ve had the pleasure to work with.”</w:t>
      </w:r>
    </w:p>
    <w:p>
      <w:pPr>
        <w:spacing w:after="0" w:line="325" w:lineRule="exact"/>
        <w:rPr>
          <w:sz w:val="20"/>
          <w:szCs w:val="20"/>
          <w:color w:val="auto"/>
        </w:rPr>
      </w:pPr>
    </w:p>
    <w:p>
      <w:pPr>
        <w:ind w:left="8" w:right="140" w:hanging="8"/>
        <w:spacing w:after="0" w:line="206" w:lineRule="auto"/>
        <w:tabs>
          <w:tab w:leader="none" w:pos="65" w:val="left"/>
        </w:tabs>
        <w:numPr>
          <w:ilvl w:val="0"/>
          <w:numId w:val="10"/>
        </w:numPr>
        <w:rPr>
          <w:rFonts w:ascii="Calibri" w:cs="Calibri" w:eastAsia="Calibri" w:hAnsi="Calibri"/>
          <w:sz w:val="16"/>
          <w:szCs w:val="16"/>
          <w:color w:val="auto"/>
          <w:vertAlign w:val="superscript"/>
        </w:rPr>
      </w:pPr>
      <w:r>
        <w:rPr>
          <w:rFonts w:ascii="Calibri" w:cs="Calibri" w:eastAsia="Calibri" w:hAnsi="Calibri"/>
          <w:sz w:val="12"/>
          <w:szCs w:val="12"/>
          <w:color w:val="auto"/>
        </w:rPr>
        <w:t>The preliminary estmates of cash, cash equivalents and restricted cash refect management’s current views and may change as a result of management’s review of results and other factors. The preliminary estmates may not ultmately be indicatve of its results for such period and actual results may difer materially. No independent registered public accountng frm has audited, reviewed or compiled, examined or performed any procedures with respect to these preliminary estmated results, nor have they expressed any opinion or any other form of assurance on these preliminary estmated results.</w:t>
      </w:r>
    </w:p>
    <w:p>
      <w:pPr>
        <w:sectPr>
          <w:pgSz w:w="11900" w:h="16838" w:orient="portrait"/>
          <w:cols w:equalWidth="0" w:num="1">
            <w:col w:w="11308"/>
          </w:cols>
          <w:pgMar w:left="292" w:top="1428" w:right="299" w:bottom="1440" w:gutter="0" w:footer="0" w:header="0"/>
        </w:sectPr>
      </w:pPr>
    </w:p>
    <w:bookmarkStart w:id="6" w:name="page7"/>
    <w:bookmarkEnd w:id="6"/>
    <w:p>
      <w:pPr>
        <w:spacing w:after="0"/>
        <w:rPr>
          <w:sz w:val="20"/>
          <w:szCs w:val="20"/>
          <w:color w:val="auto"/>
        </w:rPr>
      </w:pPr>
      <w:r>
        <w:rPr>
          <w:rFonts w:ascii="Calibri" w:cs="Calibri" w:eastAsia="Calibri" w:hAnsi="Calibri"/>
          <w:sz w:val="13"/>
          <w:szCs w:val="13"/>
          <w:b w:val="1"/>
          <w:bCs w:val="1"/>
          <w:color w:val="auto"/>
        </w:rPr>
        <w:t>About Barinthus Bio</w:t>
      </w:r>
    </w:p>
    <w:p>
      <w:pPr>
        <w:spacing w:after="0" w:line="5" w:lineRule="exact"/>
        <w:rPr>
          <w:sz w:val="20"/>
          <w:szCs w:val="20"/>
          <w:color w:val="auto"/>
        </w:rPr>
      </w:pPr>
    </w:p>
    <w:p>
      <w:pPr>
        <w:spacing w:after="0" w:line="238" w:lineRule="auto"/>
        <w:rPr>
          <w:sz w:val="20"/>
          <w:szCs w:val="20"/>
          <w:color w:val="auto"/>
        </w:rPr>
      </w:pPr>
      <w:r>
        <w:rPr>
          <w:rFonts w:ascii="Calibri" w:cs="Calibri" w:eastAsia="Calibri" w:hAnsi="Calibri"/>
          <w:sz w:val="13"/>
          <w:szCs w:val="13"/>
          <w:color w:val="auto"/>
        </w:rPr>
        <w:t>Barinthus Biotherapeutcs (NASDAQ: BRNS) is a clinical-stage biopharmaceutcal company developing novel immunotherapeutc candidates designed to guide the immune system to overcome autoimmunity and chronic infectous diseases. Helping people living with serious diseases and their families is the guiding principle at the heart of Barinthus Bio. With a focused pipeline built around its proprietary platorm technologies, Barinthus Bio is advancing immunotherapeutc product candidates in autoimmunity and infectous diseases, including: VTP-1000, utlizing our SNAP-Tolerance Immunotherapy (SNAP-TI) platorm and is designed to treat people with celiac disease and VTP-300, that utlizing its ChAdOx/MVA platorm designed as a potental component of a functonal cure for chronic HBV infecton. Barinthus Bio is also conductng a Phase 1 clinical trial for VTP-850, a second-generaton immunotherapeutc candidate designed to treat recurrent prostate cancer. Barinthus Bio’s diferentated technology platorms and therapeutc approach, coupled with deep scientfc expertse and focus on clinical development, uniquely positons the company to navigate towards delivering treatments that improve the lives of people with autoimmunity and chronic infectous diseases. For more informaton, visit www.barinthusbio.com.</w:t>
      </w:r>
    </w:p>
    <w:p>
      <w:pPr>
        <w:sectPr>
          <w:pgSz w:w="11900" w:h="16838" w:orient="portrait"/>
          <w:cols w:equalWidth="0" w:num="1">
            <w:col w:w="11280"/>
          </w:cols>
          <w:pgMar w:left="300" w:top="1417" w:right="319" w:bottom="1440" w:gutter="0" w:footer="0" w:header="0"/>
        </w:sectPr>
      </w:pPr>
    </w:p>
    <w:bookmarkStart w:id="7" w:name="page8"/>
    <w:bookmarkEnd w:id="7"/>
    <w:p>
      <w:pPr>
        <w:spacing w:after="0"/>
        <w:rPr>
          <w:sz w:val="20"/>
          <w:szCs w:val="20"/>
          <w:color w:val="auto"/>
        </w:rPr>
      </w:pPr>
      <w:r>
        <w:rPr>
          <w:rFonts w:ascii="Calibri" w:cs="Calibri" w:eastAsia="Calibri" w:hAnsi="Calibri"/>
          <w:sz w:val="13"/>
          <w:szCs w:val="13"/>
          <w:b w:val="1"/>
          <w:bCs w:val="1"/>
          <w:color w:val="auto"/>
        </w:rPr>
        <w:t>Barinthus Bio’s Forward Looking Statements</w:t>
      </w:r>
    </w:p>
    <w:p>
      <w:pPr>
        <w:spacing w:after="0" w:line="214" w:lineRule="auto"/>
        <w:rPr>
          <w:sz w:val="20"/>
          <w:szCs w:val="20"/>
          <w:color w:val="auto"/>
        </w:rPr>
      </w:pPr>
      <w:r>
        <w:rPr>
          <w:rFonts w:ascii="Calibri" w:cs="Calibri" w:eastAsia="Calibri" w:hAnsi="Calibri"/>
          <w:sz w:val="13"/>
          <w:szCs w:val="13"/>
          <w:color w:val="auto"/>
        </w:rPr>
        <w:t xml:space="preserve">This press release contains forward-looking statements regarding Barinthus Bio within the meaning of the Private Securites Litgaton Reform Act of 1995, as amended, which can generally be identfed as such by use of the words “may,” “will,” “plan,” “forward,” “encouraging,” “believe,” “potental,” “expect,” and similar expressions, although not all forward-looking statements contain these identfying words. These forward-looking statements include, without limitaton, express or implied statements regarding Barinthus Bio’s pipeline prioritzaton and restructuring, preliminary estmated cash, cash equivalents and restricted cash, future expectatons, plans and prospects, and the terms and tming of the antcipated ofcer transiton and reducton in force. Any forward-looking statements in this press release are based on Barinthus Bio management’s current expectatons and beliefs and are subject to numerous risks, uncertaintes and important factors that may cause actual events or results to difer materially from those expressed or implied by any forward-looking statements contained in this press release, including, without limitaton, risks and uncertaintes related to the success, cost and tming of Barinthus Bio’s pipeline development actvites and planned and ongoing clinical trials, including the risk that the tming for preliminary, interim or fnal data or initaton of its clinical trials may be delayed, the risk that interim or topline data may not refect fnal data or results, Barinthus Bio’s ability to execute on its strategy, regulatory developments, </w:t>
      </w:r>
      <w:r>
        <w:rPr>
          <w:rFonts w:ascii="Calibri" w:cs="Calibri" w:eastAsia="Calibri" w:hAnsi="Calibri"/>
          <w:sz w:val="14"/>
          <w:szCs w:val="14"/>
          <w:color w:val="auto"/>
        </w:rPr>
        <w:t>the risk that Barinthus Bio may not achieve the antcipated benefts</w:t>
      </w:r>
      <w:r>
        <w:rPr>
          <w:rFonts w:ascii="Calibri" w:cs="Calibri" w:eastAsia="Calibri" w:hAnsi="Calibri"/>
          <w:sz w:val="13"/>
          <w:szCs w:val="13"/>
          <w:color w:val="auto"/>
        </w:rPr>
        <w:t xml:space="preserve"> </w:t>
      </w:r>
      <w:r>
        <w:rPr>
          <w:rFonts w:ascii="Calibri" w:cs="Calibri" w:eastAsia="Calibri" w:hAnsi="Calibri"/>
          <w:sz w:val="14"/>
          <w:szCs w:val="14"/>
          <w:color w:val="auto"/>
        </w:rPr>
        <w:t>of its pipeline prioritzaton and corporate restructuring</w:t>
      </w:r>
      <w:r>
        <w:rPr>
          <w:rFonts w:ascii="Calibri" w:cs="Calibri" w:eastAsia="Calibri" w:hAnsi="Calibri"/>
          <w:sz w:val="13"/>
          <w:szCs w:val="13"/>
          <w:color w:val="auto"/>
        </w:rPr>
        <w:t>, Barinthus Bio’s ability to fund its operatons and access capital, Barinthus Bio’s cash runway, including the risk that its estmate of its cash runway</w:t>
      </w:r>
      <w:r>
        <w:rPr>
          <w:rFonts w:ascii="Calibri" w:cs="Calibri" w:eastAsia="Calibri" w:hAnsi="Calibri"/>
          <w:sz w:val="14"/>
          <w:szCs w:val="14"/>
          <w:color w:val="auto"/>
        </w:rPr>
        <w:t xml:space="preserve"> </w:t>
      </w:r>
      <w:r>
        <w:rPr>
          <w:rFonts w:ascii="Calibri" w:cs="Calibri" w:eastAsia="Calibri" w:hAnsi="Calibri"/>
          <w:sz w:val="13"/>
          <w:szCs w:val="13"/>
          <w:color w:val="auto"/>
        </w:rPr>
        <w:t>may be incorrect and the risk that the costs incurred in connecton with the pipeline prioritzaton and restructuring may exceed its estmates, global economic uncertainty, including disruptons in the banking industry, the conficts in Ukraine, Israel and Gaza, and other risks identfed in Barinthus Bio’s flings with the Securites and Exchange Commission, including its Annual Report on Form 10-K for the year ended December 31, 2023, its Quarterly Reports on Form 10-Q and Current Reports on Form 8-K. Barinthus Bio cautons you not to place undue reliance on any forward-looking statements, which speak only as of the date they are made. Barinthus Bio expressly disclaims any obligaton to publicly update or revise any such statements to refect any change in expectatons or in events, conditons or circumstances on which any such statements may be based, or that may afect the likelihood that actual results will difer from those set forth in the forward-looking statements.</w:t>
      </w:r>
    </w:p>
    <w:p>
      <w:pPr>
        <w:sectPr>
          <w:pgSz w:w="11900" w:h="16838" w:orient="portrait"/>
          <w:cols w:equalWidth="0" w:num="1">
            <w:col w:w="11280"/>
          </w:cols>
          <w:pgMar w:left="300" w:top="1417" w:right="319" w:bottom="1440" w:gutter="0" w:footer="0" w:header="0"/>
        </w:sectPr>
      </w:pPr>
    </w:p>
    <w:bookmarkStart w:id="8" w:name="page9"/>
    <w:bookmarkEnd w:id="8"/>
    <w:p>
      <w:pPr>
        <w:spacing w:after="0"/>
        <w:rPr>
          <w:sz w:val="20"/>
          <w:szCs w:val="20"/>
          <w:color w:val="auto"/>
        </w:rPr>
      </w:pPr>
      <w:r>
        <w:rPr>
          <w:rFonts w:ascii="Calibri" w:cs="Calibri" w:eastAsia="Calibri" w:hAnsi="Calibri"/>
          <w:sz w:val="13"/>
          <w:szCs w:val="13"/>
          <w:b w:val="1"/>
          <w:bCs w:val="1"/>
          <w:color w:val="auto"/>
        </w:rPr>
        <w:t>IR contacts:</w:t>
      </w:r>
    </w:p>
    <w:p>
      <w:pPr>
        <w:spacing w:after="0" w:line="231" w:lineRule="auto"/>
        <w:rPr>
          <w:sz w:val="20"/>
          <w:szCs w:val="20"/>
          <w:color w:val="auto"/>
        </w:rPr>
      </w:pPr>
      <w:r>
        <w:rPr>
          <w:rFonts w:ascii="Calibri" w:cs="Calibri" w:eastAsia="Calibri" w:hAnsi="Calibri"/>
          <w:sz w:val="13"/>
          <w:szCs w:val="13"/>
          <w:color w:val="auto"/>
        </w:rPr>
        <w:t>Christopher M. Calabrese </w:t>
      </w:r>
    </w:p>
    <w:p>
      <w:pPr>
        <w:spacing w:after="0" w:line="218" w:lineRule="auto"/>
        <w:rPr>
          <w:sz w:val="20"/>
          <w:szCs w:val="20"/>
          <w:color w:val="auto"/>
        </w:rPr>
      </w:pPr>
      <w:r>
        <w:rPr>
          <w:rFonts w:ascii="Calibri" w:cs="Calibri" w:eastAsia="Calibri" w:hAnsi="Calibri"/>
          <w:sz w:val="13"/>
          <w:szCs w:val="13"/>
          <w:color w:val="auto"/>
        </w:rPr>
        <w:t>Managing Director </w:t>
      </w:r>
    </w:p>
    <w:p>
      <w:pPr>
        <w:spacing w:after="0" w:line="231" w:lineRule="auto"/>
        <w:rPr>
          <w:sz w:val="20"/>
          <w:szCs w:val="20"/>
          <w:color w:val="auto"/>
        </w:rPr>
      </w:pPr>
      <w:r>
        <w:rPr>
          <w:rFonts w:ascii="Calibri" w:cs="Calibri" w:eastAsia="Calibri" w:hAnsi="Calibri"/>
          <w:sz w:val="13"/>
          <w:szCs w:val="13"/>
          <w:color w:val="auto"/>
        </w:rPr>
        <w:t>LifeSci Advisors</w:t>
      </w:r>
    </w:p>
    <w:p>
      <w:pPr>
        <w:spacing w:after="0" w:line="231" w:lineRule="auto"/>
        <w:rPr>
          <w:sz w:val="20"/>
          <w:szCs w:val="20"/>
          <w:color w:val="auto"/>
        </w:rPr>
      </w:pPr>
      <w:r>
        <w:rPr>
          <w:rFonts w:ascii="Calibri" w:cs="Calibri" w:eastAsia="Calibri" w:hAnsi="Calibri"/>
          <w:sz w:val="13"/>
          <w:szCs w:val="13"/>
          <w:color w:val="auto"/>
        </w:rPr>
        <w:t>+1 917-680-5608</w:t>
      </w:r>
    </w:p>
    <w:p>
      <w:pPr>
        <w:spacing w:after="0" w:line="232" w:lineRule="auto"/>
        <w:rPr>
          <w:sz w:val="20"/>
          <w:szCs w:val="20"/>
          <w:color w:val="auto"/>
        </w:rPr>
      </w:pPr>
      <w:r>
        <w:rPr>
          <w:rFonts w:ascii="Calibri" w:cs="Calibri" w:eastAsia="Calibri" w:hAnsi="Calibri"/>
          <w:sz w:val="13"/>
          <w:szCs w:val="13"/>
          <w:u w:val="single" w:color="auto"/>
          <w:color w:val="auto"/>
        </w:rPr>
        <w:t>ccalabrese@lifesciadvisors.com</w:t>
      </w:r>
    </w:p>
    <w:p>
      <w:pPr>
        <w:spacing w:after="0" w:line="157" w:lineRule="exact"/>
        <w:rPr>
          <w:sz w:val="20"/>
          <w:szCs w:val="20"/>
          <w:color w:val="auto"/>
        </w:rPr>
      </w:pPr>
    </w:p>
    <w:p>
      <w:pPr>
        <w:spacing w:after="0"/>
        <w:rPr>
          <w:sz w:val="20"/>
          <w:szCs w:val="20"/>
          <w:color w:val="auto"/>
        </w:rPr>
      </w:pPr>
      <w:r>
        <w:rPr>
          <w:rFonts w:ascii="Calibri" w:cs="Calibri" w:eastAsia="Calibri" w:hAnsi="Calibri"/>
          <w:sz w:val="13"/>
          <w:szCs w:val="13"/>
          <w:color w:val="auto"/>
        </w:rPr>
        <w:t>Kevin Gardner</w:t>
      </w:r>
    </w:p>
    <w:p>
      <w:pPr>
        <w:spacing w:after="0" w:line="231" w:lineRule="auto"/>
        <w:rPr>
          <w:sz w:val="20"/>
          <w:szCs w:val="20"/>
          <w:color w:val="auto"/>
        </w:rPr>
      </w:pPr>
      <w:r>
        <w:rPr>
          <w:rFonts w:ascii="Calibri" w:cs="Calibri" w:eastAsia="Calibri" w:hAnsi="Calibri"/>
          <w:sz w:val="13"/>
          <w:szCs w:val="13"/>
          <w:color w:val="auto"/>
        </w:rPr>
        <w:t>Managing Director</w:t>
      </w:r>
    </w:p>
    <w:p>
      <w:pPr>
        <w:spacing w:after="0" w:line="231" w:lineRule="auto"/>
        <w:rPr>
          <w:sz w:val="20"/>
          <w:szCs w:val="20"/>
          <w:color w:val="auto"/>
        </w:rPr>
      </w:pPr>
      <w:r>
        <w:rPr>
          <w:rFonts w:ascii="Calibri" w:cs="Calibri" w:eastAsia="Calibri" w:hAnsi="Calibri"/>
          <w:sz w:val="13"/>
          <w:szCs w:val="13"/>
          <w:color w:val="auto"/>
        </w:rPr>
        <w:t>LifeSci Advisors</w:t>
      </w:r>
    </w:p>
    <w:p>
      <w:pPr>
        <w:spacing w:after="0" w:line="218" w:lineRule="auto"/>
        <w:rPr>
          <w:sz w:val="20"/>
          <w:szCs w:val="20"/>
          <w:color w:val="auto"/>
        </w:rPr>
      </w:pPr>
      <w:r>
        <w:rPr>
          <w:rFonts w:ascii="Calibri" w:cs="Calibri" w:eastAsia="Calibri" w:hAnsi="Calibri"/>
          <w:sz w:val="13"/>
          <w:szCs w:val="13"/>
          <w:color w:val="auto"/>
        </w:rPr>
        <w:t>+1 617-283-2856</w:t>
      </w:r>
    </w:p>
    <w:p>
      <w:pPr>
        <w:spacing w:after="0" w:line="231" w:lineRule="auto"/>
        <w:rPr>
          <w:sz w:val="20"/>
          <w:szCs w:val="20"/>
          <w:color w:val="auto"/>
        </w:rPr>
      </w:pPr>
      <w:r>
        <w:rPr>
          <w:rFonts w:ascii="Calibri" w:cs="Calibri" w:eastAsia="Calibri" w:hAnsi="Calibri"/>
          <w:sz w:val="13"/>
          <w:szCs w:val="13"/>
          <w:u w:val="single" w:color="auto"/>
          <w:color w:val="auto"/>
        </w:rPr>
        <w:t>kgardner@lifesciadvisors.com</w:t>
      </w:r>
    </w:p>
    <w:p>
      <w:pPr>
        <w:spacing w:after="0" w:line="157"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Media contact:</w:t>
      </w:r>
    </w:p>
    <w:p>
      <w:pPr>
        <w:spacing w:after="0" w:line="231" w:lineRule="auto"/>
        <w:rPr>
          <w:sz w:val="20"/>
          <w:szCs w:val="20"/>
          <w:color w:val="auto"/>
        </w:rPr>
      </w:pPr>
      <w:r>
        <w:rPr>
          <w:rFonts w:ascii="Calibri" w:cs="Calibri" w:eastAsia="Calibri" w:hAnsi="Calibri"/>
          <w:sz w:val="13"/>
          <w:szCs w:val="13"/>
          <w:color w:val="auto"/>
        </w:rPr>
        <w:t>Audra Friis</w:t>
      </w:r>
    </w:p>
    <w:p>
      <w:pPr>
        <w:spacing w:after="0" w:line="231" w:lineRule="auto"/>
        <w:rPr>
          <w:sz w:val="20"/>
          <w:szCs w:val="20"/>
          <w:color w:val="auto"/>
        </w:rPr>
      </w:pPr>
      <w:r>
        <w:rPr>
          <w:rFonts w:ascii="Calibri" w:cs="Calibri" w:eastAsia="Calibri" w:hAnsi="Calibri"/>
          <w:sz w:val="13"/>
          <w:szCs w:val="13"/>
          <w:color w:val="auto"/>
        </w:rPr>
        <w:t>Sam Brown, Inc.</w:t>
      </w:r>
    </w:p>
    <w:p>
      <w:pPr>
        <w:spacing w:after="0" w:line="232" w:lineRule="auto"/>
        <w:rPr>
          <w:sz w:val="20"/>
          <w:szCs w:val="20"/>
          <w:color w:val="auto"/>
        </w:rPr>
      </w:pPr>
      <w:r>
        <w:rPr>
          <w:rFonts w:ascii="Calibri" w:cs="Calibri" w:eastAsia="Calibri" w:hAnsi="Calibri"/>
          <w:sz w:val="13"/>
          <w:szCs w:val="13"/>
          <w:color w:val="auto"/>
        </w:rPr>
        <w:t>+1 917-519-9577</w:t>
      </w:r>
    </w:p>
    <w:p>
      <w:pPr>
        <w:spacing w:after="0" w:line="231" w:lineRule="auto"/>
        <w:rPr>
          <w:sz w:val="20"/>
          <w:szCs w:val="20"/>
          <w:color w:val="auto"/>
        </w:rPr>
      </w:pPr>
      <w:r>
        <w:rPr>
          <w:rFonts w:ascii="Calibri" w:cs="Calibri" w:eastAsia="Calibri" w:hAnsi="Calibri"/>
          <w:sz w:val="13"/>
          <w:szCs w:val="13"/>
          <w:u w:val="single" w:color="auto"/>
          <w:color w:val="auto"/>
        </w:rPr>
        <w:t>audrafriis@sambrown.com</w:t>
      </w:r>
    </w:p>
    <w:p>
      <w:pPr>
        <w:spacing w:after="0" w:line="148"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Company contact:</w:t>
      </w:r>
    </w:p>
    <w:p>
      <w:pPr>
        <w:spacing w:after="0" w:line="231" w:lineRule="auto"/>
        <w:rPr>
          <w:sz w:val="20"/>
          <w:szCs w:val="20"/>
          <w:color w:val="auto"/>
        </w:rPr>
      </w:pPr>
      <w:r>
        <w:rPr>
          <w:rFonts w:ascii="Calibri" w:cs="Calibri" w:eastAsia="Calibri" w:hAnsi="Calibri"/>
          <w:sz w:val="13"/>
          <w:szCs w:val="13"/>
          <w:color w:val="auto"/>
        </w:rPr>
        <w:t>Jonothan Blackbourn</w:t>
      </w:r>
    </w:p>
    <w:p>
      <w:pPr>
        <w:spacing w:after="0" w:line="231" w:lineRule="auto"/>
        <w:rPr>
          <w:sz w:val="20"/>
          <w:szCs w:val="20"/>
          <w:color w:val="auto"/>
        </w:rPr>
      </w:pPr>
      <w:r>
        <w:rPr>
          <w:rFonts w:ascii="Calibri" w:cs="Calibri" w:eastAsia="Calibri" w:hAnsi="Calibri"/>
          <w:sz w:val="13"/>
          <w:szCs w:val="13"/>
          <w:color w:val="auto"/>
        </w:rPr>
        <w:t>IR &amp; PR Manager</w:t>
      </w:r>
    </w:p>
    <w:p>
      <w:pPr>
        <w:spacing w:after="0" w:line="232" w:lineRule="auto"/>
        <w:rPr>
          <w:sz w:val="20"/>
          <w:szCs w:val="20"/>
          <w:color w:val="auto"/>
        </w:rPr>
      </w:pPr>
      <w:r>
        <w:rPr>
          <w:rFonts w:ascii="Calibri" w:cs="Calibri" w:eastAsia="Calibri" w:hAnsi="Calibri"/>
          <w:sz w:val="13"/>
          <w:szCs w:val="13"/>
          <w:color w:val="auto"/>
        </w:rPr>
        <w:t>Barinthus Bio</w:t>
      </w:r>
    </w:p>
    <w:p>
      <w:pPr>
        <w:spacing w:after="0" w:line="231" w:lineRule="auto"/>
        <w:rPr>
          <w:sz w:val="20"/>
          <w:szCs w:val="20"/>
          <w:color w:val="auto"/>
        </w:rPr>
      </w:pPr>
      <w:r>
        <w:rPr>
          <w:rFonts w:ascii="Calibri" w:cs="Calibri" w:eastAsia="Calibri" w:hAnsi="Calibri"/>
          <w:sz w:val="13"/>
          <w:szCs w:val="13"/>
          <w:u w:val="single" w:color="auto"/>
          <w:color w:val="auto"/>
        </w:rPr>
        <w:t>ir@barinthusbio.com</w:t>
      </w:r>
    </w:p>
    <w:p>
      <w:pPr>
        <w:sectPr>
          <w:pgSz w:w="11900" w:h="16838" w:orient="portrait"/>
          <w:cols w:equalWidth="0" w:num="1">
            <w:col w:w="10159"/>
          </w:cols>
          <w:pgMar w:left="300" w:top="1417" w:right="1440" w:bottom="1440" w:gutter="0" w:footer="0" w:header="0"/>
        </w:sectPr>
      </w:pPr>
    </w:p>
    <w:bookmarkStart w:id="9" w:name="page10"/>
    <w:bookmarkEnd w:id="9"/>
    <w:p>
      <w:pPr>
        <w:spacing w:after="0" w:line="23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3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3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3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3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3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3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3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3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3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3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3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3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3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3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3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3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3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3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3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3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3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3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3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3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3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3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3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3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2025-01-10T07:10:52Z</dcterms:created>
  <dcterms:modified xsi:type="dcterms:W3CDTF">2025-01-10T07:10:52Z</dcterms:modified>
</cp:coreProperties>
</file>