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76"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76" w:before="200" w:after="283"/>
        <w:jc w:val="center"/>
        <w:rPr>
          <w:rFonts w:ascii="Times New Roman;serif" w:hAnsi="Times New Roman;serif"/>
          <w:b/>
          <w:color w:val="000000"/>
          <w:sz w:val="48"/>
        </w:rPr>
      </w:pPr>
      <w:r>
        <w:rPr>
          <w:rFonts w:ascii="Times New Roman;serif" w:hAnsi="Times New Roman;serif"/>
          <w:b/>
          <w:color w:val="000000"/>
          <w:sz w:val="48"/>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262" w:type="dxa"/>
        <w:jc w:val="left"/>
        <w:tblInd w:w="0" w:type="dxa"/>
        <w:tblLayout w:type="fixed"/>
        <w:tblCellMar>
          <w:top w:w="28" w:type="dxa"/>
          <w:left w:w="28" w:type="dxa"/>
          <w:bottom w:w="28" w:type="dxa"/>
          <w:right w:w="28" w:type="dxa"/>
        </w:tblCellMar>
      </w:tblPr>
      <w:tblGrid>
        <w:gridCol w:w="851"/>
        <w:gridCol w:w="750"/>
        <w:gridCol w:w="753"/>
        <w:gridCol w:w="408"/>
        <w:gridCol w:w="408"/>
        <w:gridCol w:w="413"/>
        <w:gridCol w:w="491"/>
        <w:gridCol w:w="491"/>
        <w:gridCol w:w="697"/>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001-40367</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20400 Century Blvd, Suite 210,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Germantown, MD 20874</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443 917-0966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44" w:type="dxa"/>
        <w:jc w:val="left"/>
        <w:tblInd w:w="0" w:type="dxa"/>
        <w:tblLayout w:type="fixed"/>
        <w:tblCellMar>
          <w:top w:w="28" w:type="dxa"/>
          <w:left w:w="28" w:type="dxa"/>
          <w:bottom w:w="28" w:type="dxa"/>
          <w:right w:w="28" w:type="dxa"/>
        </w:tblCellMar>
      </w:tblPr>
      <w:tblGrid>
        <w:gridCol w:w="1608"/>
        <w:gridCol w:w="1408"/>
        <w:gridCol w:w="1424"/>
        <w:gridCol w:w="479"/>
        <w:gridCol w:w="479"/>
        <w:gridCol w:w="481"/>
        <w:gridCol w:w="839"/>
        <w:gridCol w:w="839"/>
        <w:gridCol w:w="1187"/>
      </w:tblGrid>
      <w:tr>
        <w:trPr/>
        <w:tc>
          <w:tcPr>
            <w:tcW w:w="16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Trade Symbol(s)</w:t>
            </w:r>
          </w:p>
        </w:tc>
        <w:tc>
          <w:tcPr>
            <w:tcW w:w="2865" w:type="dxa"/>
            <w:gridSpan w:val="3"/>
            <w:tcBorders/>
            <w:tcMar>
              <w:top w:w="0" w:type="dxa"/>
              <w:left w:w="0" w:type="dxa"/>
              <w:bottom w:w="0" w:type="dxa"/>
              <w:right w:w="0" w:type="dxa"/>
            </w:tcMar>
            <w:vAlign w:val="center"/>
          </w:tcPr>
          <w:p>
            <w:pPr>
              <w:pStyle w:val="TableContents"/>
              <w:bidi w:val="0"/>
              <w:spacing w:lineRule="auto" w:line="276" w:before="30" w:after="3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w:t>
            </w:r>
          </w:p>
          <w:p>
            <w:pPr>
              <w:pStyle w:val="TableContents"/>
              <w:bidi w:val="0"/>
              <w:spacing w:lineRule="auto" w:line="276" w:before="30" w:after="3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registered</w:t>
            </w:r>
          </w:p>
        </w:tc>
      </w:tr>
      <w:tr>
        <w:trPr/>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Depositary Shares</w:t>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BRNS</w:t>
            </w:r>
          </w:p>
        </w:tc>
        <w:tc>
          <w:tcPr>
            <w:tcW w:w="28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r>
        <w:trPr/>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£0.000025 per share*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76"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76"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76" w:before="20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*American Depositary Shares may be evidenced by American Depositary Receipts. Each American Depositary Share represents one (1) ordinary share. Not for trading, but only in connection with the listing of the American Depositary Shares on The Nasdaq Capital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Barinthus Biotherapeutics plc (the “Company”) provided an overview of the Company’s progress and announced its financial results for the quarter ended June 30, 2026. The full text of the press release issued in connection with the update is furnished as Exhibit 99.1 to this Current Report on Form 8-K.</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the combined company has filed with the Securities and Exchange Commission (the “SEC”) and mailed or otherwise provided to Company’s investors and security holders a registration statement on Form S-4 that contains a joint proxy statement/prospectus (the “Registration Statement”). THE COMPANY’S INVESTORS AND SECURITY HOLDERS ARE URGED TO CAREFULLY READ THE REGISTRATION STATEMENT IN ITS ENTIRETY AND ANY OTHER DOCUMENTS FILED OR THAT WILL BE FILED BY THE COMPANY WITH THE SEC IN CONNECTION WITH THE PROPOSED TRANSACTION OR INCORPORATED BY REFERENCE THEREIN BECAUSE THEY CONTAIN OR WILL CONTAIN IMPORTANT INFORMATION ABOUT THE PROPOSED TRANSACTION AND THE PARTIES TO THE PROPOSED TRANSACTION.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Investors and security holders may obtain a free copy of the Registration Statement and other documents that the combined company files with the SEC (when available) from the SEC’s website at www.sec.gov or at investors.barinthusbio.com.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Participants in the Solicitation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Clywedog Therapeutics Inc. (“Clywedog”), the Company and their respective directors, executive officers, other members of management, certain employees and other persons may be deemed to be participants in the solicitation of proxies from the security holders of the Company in connection with the proposed transaction. Security holders may obtain information regarding the names, affiliations and interests of the Company’s directors and executive officers in the Registration Statement. To the extent holdings of the Company’s securities by the Company’s directors and executive officers have changed since the amounts set forth in the Registration Statement, such changes have been or will be reflected on subsequent Statements of Changes in Beneficial Ownership on Form 4 filed with the SEC. Additional information regarding the interests of such individuals in the proposed transaction is included in the Registration Statement. These documents (when available) may be obtained free of charge from the SEC’s website at www.sec.gov and the Company’s website at investors.barinthusbio.com.</w:t>
      </w:r>
    </w:p>
    <w:p>
      <w:pPr>
        <w:pStyle w:val="TextBody"/>
        <w:bidi w:val="0"/>
        <w:spacing w:before="0" w:after="0"/>
        <w:jc w:val="left"/>
        <w:rPr/>
      </w:pPr>
      <w:r>
        <w:rPr/>
      </w:r>
    </w:p>
    <w:p>
      <w:pPr>
        <w:pStyle w:val="TextBody"/>
        <w:bidi w:val="0"/>
        <w:spacing w:lineRule="auto" w:line="276"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No Offer or Solicitation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is not intended to and shall not constitute an offer to buy or sell or the solicitation of an offer to buy or sell any securities, nor shall there be any offer, solicitation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otherwise in accordance with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126" w:type="dxa"/>
        <w:jc w:val="left"/>
        <w:tblInd w:w="0" w:type="dxa"/>
        <w:tblLayout w:type="fixed"/>
        <w:tblCellMar>
          <w:top w:w="28" w:type="dxa"/>
          <w:left w:w="28" w:type="dxa"/>
          <w:bottom w:w="28" w:type="dxa"/>
          <w:right w:w="28" w:type="dxa"/>
        </w:tblCellMar>
      </w:tblPr>
      <w:tblGrid>
        <w:gridCol w:w="174"/>
        <w:gridCol w:w="153"/>
        <w:gridCol w:w="154"/>
        <w:gridCol w:w="1940"/>
        <w:gridCol w:w="1940"/>
        <w:gridCol w:w="276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brns-20260630xexx991.htm">
              <w:r>
                <w:rPr>
                  <w:rStyle w:val="InternetLink"/>
                  <w:rFonts w:ascii="Times New Roman;serif" w:hAnsi="Times New Roman;serif"/>
                  <w:b w:val="false"/>
                  <w:color w:val="000000"/>
                  <w:sz w:val="20"/>
                  <w:u w:val="single"/>
                </w:rPr>
                <w:t>99.1</w:t>
              </w:r>
            </w:hyperlink>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brns-20260630xexx991.htm">
              <w:r>
                <w:rPr>
                  <w:rStyle w:val="InternetLink"/>
                  <w:rFonts w:ascii="Times New Roman;serif" w:hAnsi="Times New Roman;serif"/>
                  <w:b w:val="false"/>
                  <w:color w:val="000000"/>
                  <w:sz w:val="20"/>
                  <w:u w:val="single"/>
                </w:rPr>
                <w:t>Press Release dated August 6,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17" w:type="dxa"/>
        <w:jc w:val="left"/>
        <w:tblInd w:w="0" w:type="dxa"/>
        <w:tblLayout w:type="fixed"/>
        <w:tblCellMar>
          <w:top w:w="28" w:type="dxa"/>
          <w:left w:w="28" w:type="dxa"/>
          <w:bottom w:w="28" w:type="dxa"/>
          <w:right w:w="28" w:type="dxa"/>
        </w:tblCellMar>
      </w:tblPr>
      <w:tblGrid>
        <w:gridCol w:w="667"/>
        <w:gridCol w:w="587"/>
        <w:gridCol w:w="590"/>
        <w:gridCol w:w="401"/>
        <w:gridCol w:w="401"/>
        <w:gridCol w:w="401"/>
        <w:gridCol w:w="603"/>
        <w:gridCol w:w="603"/>
        <w:gridCol w:w="86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Barinthus Biotherapeutics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2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Enright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William Enright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drawing>
          <wp:inline distT="0" distB="0" distL="0" distR="0">
            <wp:extent cx="2428875" cy="819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28875" cy="819150"/>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Barinthus Bio Reports Second Quarter 2026 Financial Results and Updates on Corporate Developments</w:t>
      </w:r>
    </w:p>
    <w:p>
      <w:pPr>
        <w:pStyle w:val="TextBody"/>
        <w:bidi w:val="0"/>
        <w:spacing w:before="0" w:after="0"/>
        <w:jc w:val="left"/>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 xml:space="preserve">Proposed combination with Clywedog Therapeutics Inc. (“Clywedog”) progressing towards closing </w:t>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Completed enrollment of 42 planned subjects in the Phase 1 AVALON trial evaluating VTP-1000 in patients with celiac disease; topline data from multiple ascending dose ("MAD") expected in the fourth quarter of 2026.</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GERMANTOWN, Maryland, August 6, 2026 (GLOBE NEWSWIRE) – Barinthus Biotherapeutics plc (NASDAQ: BRNS) (“Barinthus Bio,” or the “Company”), today announced its financial results for the quarter ended June 30, 2026, and provided an overview of the Company’s corporate developments. Barinthus Bio is an immunology and inflammation (“I&amp;I”) company focused on developing therapies that promote immune tolerance with curative potential.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0"/>
          <w:shd w:fill="FFFFFF" w:val="clear"/>
        </w:rPr>
        <w:t>During the second quarter, our primary focus remained advancing the proposed combination with Clywedog and progressing the clinical development of VTP-1000, our lead asset for celiac disease,” said Bill Enright, Chief Executive Officer of Barinthus Bio. “We are pleased to announce the completion of enrollment in the multiple ascending dose portion of the Phase 1 AVALON trial and remain on track to report topline data in the fourth quarter of 2026. We believe VTP-1000 has the potential to address a significant unmet need in celiac disease and to be an important driver of long-term value for shareholders of the combined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Corporate Developments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During the third quarter of 2026, Barinthus Bio completed enrollment in all cohorts in the MAD portion of the Phase 1 AVALON clinical trial.</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rPr>
        <w:t>On June 30, 2026, Barinthus Bio received a notice (the “Extension Notice”) from the Nasdaq Stock Market (“Nasdaq”) informing the Company that Nasdaq had granted the Company an additional 180 calendar days, or until December 28, 2026, to regain compliance with the Bid Price Requirement for continued listing on the Nasdaq Capital Market under Nasdaq Listing Rule 5550(a)(2). In connection with the Extension Notice, the listing of the Company’s American Depositary Shares (the “ADSs”) was transferred from the Nasdaq Global Market to the Nasdaq Capital Market, effective as of July 2, 2026. The Extension Notice has no other immediate effect on the listing of the ADSs.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Upcoming Milestones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Celiac Disease (VTP-1000):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Data from the MAD</w:t>
      </w:r>
      <w:r>
        <w:rPr>
          <w:color w:val="000000"/>
          <w:shd w:fill="FFFFFF" w:val="clear"/>
        </w:rPr>
        <w:t xml:space="preserve"> </w:t>
      </w:r>
      <w:r>
        <w:rPr>
          <w:rFonts w:ascii="Times New Roman;serif" w:hAnsi="Times New Roman;serif"/>
          <w:b w:val="false"/>
          <w:color w:val="000000"/>
          <w:sz w:val="20"/>
          <w:shd w:fill="FFFFFF" w:val="clear"/>
        </w:rPr>
        <w:t>portion of the Phase 1 AVALON clinical trial, which includes a gluten challenge following three doses of test medication, is expected in the fourth quarter of 2026.</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rPr>
        <w:t>An abstract outlining Phase 1 Single Ascending Dose data for VTP-1000 has been selected for poster presentation at the American College of Gastroenterology ("ACG") Annual Scientific Meeting, to be held October 9–14, 2026 in Nashville, Tennessee. The poster will be presented by Dr. Adam Bledsoe, from the Division of Gastroenterology and Hepatology at Mayo Clinic.</w:t>
      </w:r>
    </w:p>
    <w:p>
      <w:pPr>
        <w:pStyle w:val="TextBody"/>
        <w:bidi w:val="0"/>
        <w:spacing w:lineRule="auto" w:line="276" w:before="0" w:after="0"/>
        <w:ind w:left="0" w:right="0" w:firstLine="720"/>
        <w:jc w:val="left"/>
        <w:rPr>
          <w:color w:val="000000"/>
        </w:rPr>
      </w:pPr>
      <w:r>
        <w:rPr>
          <w:color w:val="000000"/>
        </w:rPr>
        <w:t>    </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Corporate: </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Barinthus Bio expects to complete the merger with Clywedog in the second half of 2026 which will result in a differentiated biopharmaceutical company focusing on metabolic and autoimmune diseases with three potentially disease-modifying clinical stage therapies.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At closing, the combined company will be renamed “Clywedog Therapeutics Holdings, Inc.” and is expected to trade on the NASDAQ under the new ticker symbol “CLYD.” The combined company's estimated cash runway is expected to extend through 2027, supported by existing cash and additional investments by OrbiMed and Torrey Pines Investments, LLC, both existing shareholders in Clywedog, and new investors.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0"/>
        </w:rPr>
        <w:t xml:space="preserve">Second Quarter 2026 Financial </w:t>
      </w:r>
      <w:r>
        <w:rPr>
          <w:rFonts w:ascii="Times New Roman;serif" w:hAnsi="Times New Roman;serif"/>
          <w:b/>
          <w:color w:val="000000"/>
          <w:sz w:val="20"/>
          <w:shd w:fill="FFFFFF" w:val="clear"/>
        </w:rPr>
        <w:t>Highlights</w:t>
      </w:r>
    </w:p>
    <w:p>
      <w:pPr>
        <w:pStyle w:val="TextBody"/>
        <w:bidi w:val="0"/>
        <w:spacing w:before="0" w:after="0"/>
        <w:jc w:val="left"/>
        <w:rPr/>
      </w:pPr>
      <w:r>
        <w:rPr/>
      </w:r>
    </w:p>
    <w:p>
      <w:pPr>
        <w:pStyle w:val="TextBody"/>
        <w:bidi w:val="0"/>
        <w:spacing w:lineRule="auto" w:line="268"/>
        <w:ind w:left="0" w:right="0" w:hanging="360"/>
        <w:jc w:val="left"/>
        <w:rPr/>
      </w:pPr>
      <w:r>
        <w:rPr>
          <w:color w:val="000000"/>
          <w:shd w:fill="FFFFFF" w:val="clear"/>
        </w:rPr>
        <w:t>•</w:t>
      </w:r>
      <w:r>
        <w:rPr>
          <w:rFonts w:ascii="Times New Roman;serif" w:hAnsi="Times New Roman;serif"/>
          <w:b/>
          <w:color w:val="000000"/>
          <w:sz w:val="20"/>
          <w:shd w:fill="FFFFFF" w:val="clear"/>
        </w:rPr>
        <w:t>Cash:</w:t>
      </w:r>
      <w:r>
        <w:rPr>
          <w:color w:val="000000"/>
          <w:shd w:fill="FFFFFF" w:val="clear"/>
        </w:rPr>
        <w:t xml:space="preserve"> </w:t>
      </w:r>
      <w:r>
        <w:rPr>
          <w:rFonts w:ascii="Times New Roman;serif" w:hAnsi="Times New Roman;serif"/>
          <w:b w:val="false"/>
          <w:color w:val="000000"/>
          <w:sz w:val="20"/>
          <w:shd w:fill="FFFFFF" w:val="clear"/>
        </w:rPr>
        <w:t xml:space="preserve">As at June 30, 2026, cash, cash equivalents and restricted cash were $59.6 million, compared to $67.2 million as of March 31, 2026. The $7.6 million decrease was a result of the net cash used in operating activities of which $8.1 million was used for the development of the Company's pipeline and general corporate expenses, and a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$0.5 million translational gain from the conversion of balances in pound sterling denominated entities to the United States dollar reporting currency. Based on standalone research and development plans, the Company expects its available resources to fund its operating expenses and capital expenditure requirements for at least the next 12 months from the date of issuance of the financial statements. </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color w:val="000000"/>
          <w:sz w:val="20"/>
          <w:shd w:fill="FFFFFF" w:val="clear"/>
        </w:rPr>
        <w:t xml:space="preserve">Research and Development Expenses: </w:t>
      </w:r>
      <w:r>
        <w:rPr>
          <w:rFonts w:ascii="Times New Roman;serif" w:hAnsi="Times New Roman;serif"/>
          <w:b w:val="false"/>
          <w:color w:val="000000"/>
          <w:sz w:val="20"/>
          <w:shd w:fill="FFFFFF" w:val="clear"/>
        </w:rPr>
        <w:t xml:space="preserve">Research and development expenses were $3.9 million in the second 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$3.6 million for the first quarter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The increase was primarily attributable to an increase in VTP-1000 Celiac program cost in second quarter of 2026 offset by reduced activity in the Barinthus legacy asset clinical programs and the reduction in workforce. The quarter-on-quarter research and development expenses are outlined in the following table, with the expense primarily attributable to the continued progression of the Phase 1 AVALON clinical trial of VTP-1000 in celiac disease, and the reduced activity on legacy assets in infectious disease and oncology. It is anticipated that research and development expenses related to the Barinthus legacy assets in infectious disease and oncology will continue to decrease going forward as the clinical trials complete, and that research and development expenses related to the autoimmune program will continue at current levels or increase, as the clinical development continues. </w:t>
      </w:r>
    </w:p>
    <w:tbl>
      <w:tblPr>
        <w:tblW w:w="10205" w:type="dxa"/>
        <w:jc w:val="left"/>
        <w:tblInd w:w="0" w:type="dxa"/>
        <w:tblLayout w:type="fixed"/>
        <w:tblCellMar>
          <w:top w:w="28" w:type="dxa"/>
          <w:left w:w="28" w:type="dxa"/>
          <w:bottom w:w="28" w:type="dxa"/>
          <w:right w:w="28" w:type="dxa"/>
        </w:tblCellMar>
      </w:tblPr>
      <w:tblGrid>
        <w:gridCol w:w="1427"/>
        <w:gridCol w:w="1164"/>
        <w:gridCol w:w="1170"/>
        <w:gridCol w:w="109"/>
        <w:gridCol w:w="109"/>
        <w:gridCol w:w="109"/>
        <w:gridCol w:w="481"/>
        <w:gridCol w:w="1407"/>
        <w:gridCol w:w="248"/>
        <w:gridCol w:w="109"/>
        <w:gridCol w:w="109"/>
        <w:gridCol w:w="109"/>
        <w:gridCol w:w="503"/>
        <w:gridCol w:w="1470"/>
        <w:gridCol w:w="259"/>
        <w:gridCol w:w="109"/>
        <w:gridCol w:w="109"/>
        <w:gridCol w:w="109"/>
        <w:gridCol w:w="211"/>
        <w:gridCol w:w="616"/>
        <w:gridCol w:w="109"/>
        <w:gridCol w:w="159"/>
      </w:tblGrid>
      <w:tr>
        <w:trPr/>
        <w:tc>
          <w:tcPr>
            <w:tcW w:w="14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 by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VTP-1000 Celiac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Barinthus legacy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(including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indirect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In January 2025, we announced a strategic focus on developing a pipeline in I&amp;I, and the deprioritization of our programs in infectious disease and oncology. The following programs were previously presented separately and have been grouped collectively as "Barinthus Legacy Assets" for both years presented: VTP-300 HBV, VTP-850 Prostate Cancer, VTP-200 HPV, VTP-600 NSCLC, VTP-500 MERS and other and earlier stage programs. </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color w:val="000000"/>
          <w:sz w:val="20"/>
          <w:shd w:fill="FFFFFF" w:val="clear"/>
        </w:rPr>
        <w:t xml:space="preserve">General and Administrative Expenses: </w:t>
      </w:r>
      <w:r>
        <w:rPr>
          <w:rFonts w:ascii="Times New Roman;serif" w:hAnsi="Times New Roman;serif"/>
          <w:b w:val="false"/>
          <w:color w:val="000000"/>
          <w:sz w:val="20"/>
          <w:shd w:fill="FFFFFF" w:val="clear"/>
        </w:rPr>
        <w:t>General and administrative expenses were $7.1 million in the second quarter of 2026, compared to $2.5 million for the first quarter of 2026. The increase of $4.6 million related primarily to an</w:t>
      </w:r>
      <w:r>
        <w:rPr>
          <w:color w:val="000000"/>
        </w:rPr>
        <w:t xml:space="preserve"> </w:t>
      </w:r>
      <w:r>
        <w:rPr>
          <w:rFonts w:ascii="Times New Roman;serif" w:hAnsi="Times New Roman;serif"/>
          <w:b w:val="false"/>
          <w:color w:val="000000"/>
          <w:sz w:val="20"/>
        </w:rPr>
        <w:t xml:space="preserve">increase in unrealized losses on foreign exchange driven mainly by translation of United States dollar balances in pound sterling denominated entities and an increase in professional fees. </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color w:val="000000"/>
          <w:sz w:val="20"/>
          <w:shd w:fill="FFFFFF" w:val="clear"/>
        </w:rPr>
        <w:t xml:space="preserve">Net Loss: </w:t>
      </w:r>
      <w:r>
        <w:rPr>
          <w:rFonts w:ascii="Times New Roman;serif" w:hAnsi="Times New Roman;serif"/>
          <w:b w:val="false"/>
          <w:color w:val="000000"/>
          <w:sz w:val="20"/>
          <w:shd w:fill="FFFFFF" w:val="clear"/>
        </w:rPr>
        <w:t xml:space="preserve">For the second quarter of 2026, the Company generated a net loss attributable to its shareholders of $10.6 million or </w:t>
      </w:r>
      <w:r>
        <w:rPr>
          <w:rFonts w:ascii="Times New Roman;serif" w:hAnsi="Times New Roman;serif"/>
          <w:b w:val="false"/>
          <w:color w:val="000000"/>
          <w:sz w:val="20"/>
        </w:rPr>
        <w:t xml:space="preserve">$(0.26) </w:t>
      </w:r>
      <w:r>
        <w:rPr>
          <w:rFonts w:ascii="Times New Roman;serif" w:hAnsi="Times New Roman;serif"/>
          <w:b w:val="false"/>
          <w:color w:val="000000"/>
          <w:sz w:val="20"/>
          <w:shd w:fill="FFFFFF" w:val="clear"/>
        </w:rPr>
        <w:t xml:space="preserve">per share on both basic and fully diluted bases, compared to a net loss attributable to its shareholders of $5.5 million, or </w:t>
      </w:r>
      <w:r>
        <w:rPr>
          <w:rFonts w:ascii="Times New Roman;serif" w:hAnsi="Times New Roman;serif"/>
          <w:b w:val="false"/>
          <w:color w:val="000000"/>
          <w:sz w:val="20"/>
        </w:rPr>
        <w:t xml:space="preserve">$(0.14) </w:t>
      </w:r>
      <w:r>
        <w:rPr>
          <w:rFonts w:ascii="Times New Roman;serif" w:hAnsi="Times New Roman;serif"/>
          <w:b w:val="false"/>
          <w:color w:val="000000"/>
          <w:sz w:val="20"/>
          <w:shd w:fill="FFFFFF" w:val="clear"/>
        </w:rPr>
        <w:t>per share on both basic and fully diluted bases for the first quarter of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About Barinthus Bio</w:t>
      </w:r>
    </w:p>
    <w:p>
      <w:pPr>
        <w:pStyle w:val="TextBody"/>
        <w:bidi w:val="0"/>
        <w:spacing w:lineRule="auto" w:line="256" w:before="0" w:after="0"/>
        <w:jc w:val="left"/>
        <w:rPr/>
      </w:pPr>
      <w:r>
        <w:rPr>
          <w:rFonts w:ascii="Times New Roman;serif" w:hAnsi="Times New Roman;serif"/>
          <w:b w:val="false"/>
          <w:color w:val="000000"/>
          <w:sz w:val="20"/>
        </w:rPr>
        <w:t>Barinthus</w:t>
      </w:r>
      <w:r>
        <w:rPr>
          <w:color w:val="000000"/>
        </w:rPr>
        <w:t xml:space="preserve"> </w:t>
      </w:r>
      <w:r>
        <w:rPr>
          <w:rFonts w:ascii="Times New Roman;serif" w:hAnsi="Times New Roman;serif"/>
          <w:b w:val="false"/>
          <w:color w:val="000000"/>
          <w:sz w:val="20"/>
        </w:rPr>
        <w:t>Biotherapeutics (Nasdaq: BRNS) is a clinical-stage biopharmaceutical company focused on developing novel immunotherapeutic drug candidates for treating autoimmune and inflammatory diseases within the immunology and inflammation ("I&amp;I") space. Helping patients and their families is the guiding principle at the heart of Barinthus Bio. We aim to achieve this by developing truly transformational and highly disease-specific immunotherapies. With a focused pipeline built around its proprietary platform technologies, Barinthus Bio is advancing immunotherapeutic product candidates in autoimmunity including: VTP-1000, which utilizes the Company's SNAP-Tolerance Immunotherapy (SNAP-TI) platform which is designed to treat people with celiac disease. Barinthus Bio’s differentiated technology platform and therapeutic approach, coupled with deep scientific expertise and focus on clinical development, positions the Company to navigate towards delivering treatments that improve the lives of people with autoimmunity. For more information, visit www.barinthusbio.com.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68" w:before="0" w:after="0"/>
        <w:jc w:val="left"/>
        <w:rPr/>
      </w:pPr>
      <w:r>
        <w:rPr>
          <w:rFonts w:ascii="Times New Roman;serif" w:hAnsi="Times New Roman;serif"/>
          <w:b w:val="false"/>
          <w:color w:val="000000"/>
          <w:sz w:val="20"/>
        </w:rPr>
        <w:t>This press release contains forward-looking statements regarding Barinthus Bio within the meaning of the Private Securities Litigation Reform Act of 1995, as amended, which can generally be identified as such by use of the words “may,” “will,” “plan,” “forward,” “encouraging,” “believe,” “potential,” “expect,” and similar expressions, although not all forward-looking statements contain these identifying words. These forward-looking statements include, without limitation, express or implied statements regarding future expectations, plans and prospects, including product development activities and clinical trials, including timing for readouts of any preliminary, interim or final data for any of our programs, and the anticipated presentation of clinical data for our programs, the Company’s cash runway and cash burn, the Company’s ability to develop and advance current and future product candidates and programs, the Company’s ability to establish and maintain collaborations or strategic relationships, the Company’s ability to regain and maintain compliance with the continued listing requirements of Nasdaq, the proposed transaction with Clywedog, the expected timing of the closing of the proposed transaction, the ability of the parties to complete the proposed transaction considering the various closing conditions, the expected benefits of the proposed transaction, the competitive ability and position of the combined company after completion of the proposed transaction, the anticipated impact of the proposed transaction on the combined company</w:t>
      </w:r>
      <w:r>
        <w:rPr>
          <w:color w:val="000000"/>
          <w:shd w:fill="FFFFFF" w:val="clear"/>
        </w:rPr>
        <w:t>’</w:t>
      </w:r>
      <w:r>
        <w:rPr>
          <w:rFonts w:ascii="Times New Roman;serif" w:hAnsi="Times New Roman;serif"/>
          <w:b w:val="false"/>
          <w:color w:val="000000"/>
          <w:sz w:val="20"/>
        </w:rPr>
        <w:t>s business and future financial and operating results, including without limitation the expected cash runway of the combined company, and the expected or estimated amount, achievability, sources, impact and timing of cost synergies and revenue, growth, operational enhancement, expansion and other value creation opportunities from the proposed transaction. Any forward-looking statements in this press release are based on management’s current expectations and beliefs and are subject to numerous risks, uncertainties and important factors that may cause actual events or results to differ materially from those expressed or implied by any forward-looking statements contained in this press release, including, without limitation, risks and uncertainties related to the success, cost and timing of the Company’s pipeline development activities and planned and ongoing clinical trials, including the risk that the timing for preliminary, interim or final data or initiation of clinical trials may be delayed, the risk that interim or topline data may not reflect final data or results, the Company’s ability to execute on strategy, regulatory developments, the risk that the Company may not achieve the anticipated benefits of our pipeline prioritization and corporate restructuring, the Company’s ability to fund its operations and access capital, the Company’s cash runway, including the risk that the estimate of the cash runway may be incorrect, the risk that the proposed transaction may not be completed in a timely manner or at all, which may adversely affect our business and the price of our securities, the risk that that the proposed transaction may involve unexpected costs, liabilities or delays, or divert management</w:t>
      </w:r>
      <w:r>
        <w:rPr>
          <w:color w:val="000000"/>
          <w:shd w:fill="FFFFFF" w:val="clear"/>
        </w:rPr>
        <w:t>’</w:t>
      </w:r>
      <w:r>
        <w:rPr>
          <w:rFonts w:ascii="Times New Roman;serif" w:hAnsi="Times New Roman;serif"/>
          <w:b w:val="false"/>
          <w:color w:val="000000"/>
          <w:sz w:val="20"/>
        </w:rPr>
        <w:t>s attention from our ongoing business operations, the risk of any legal proceedings related to the proposed transaction or otherwise, or the impact of the proposed transaction thereupon, the risk that the anticipated benefits of the proposed transaction may otherwise not be fully realized or may take longer to realize than expected, risks relating to the value of the combined company securities to be issued in the proposed transaction, the risk that the Company may be unable to regain compliance with the continued listing requirements of Nasdaq, the risks associated with global economic uncertainty, including disruptions in the banking industry, the conflicts in Ukraine, Iran, Israel and Gaza, the disruptions in U.S. federal government operations, tariffs imposed by the U.S. and other countries, and the other risks identified in the Company’s filings with the Securities and Exchange Commission (the “SEC”), including the Company’s most recent annual report on Form 10-K and subsequent filings the Company may make with the SEC. The Company cautions you not to place undue reliance on any forward-looking statements, which speak only as of the date they are made. The Company expressly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56"/>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transaction, the combined company has filed with the SEC and mailed or otherwise provided to Barinthus Bio's investors and security holders a registration statement on Form S-4 that contains a joint proxy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56" w:before="0" w:after="0"/>
        <w:jc w:val="left"/>
        <w:rPr/>
      </w:pPr>
      <w:r>
        <w:rPr>
          <w:rFonts w:ascii="Times New Roman;serif" w:hAnsi="Times New Roman;serif"/>
          <w:b w:val="false"/>
          <w:color w:val="000000"/>
          <w:sz w:val="20"/>
        </w:rPr>
        <w:t xml:space="preserve">statement/prospectus (the </w:t>
      </w:r>
      <w:r>
        <w:rPr>
          <w:color w:val="000000"/>
          <w:shd w:fill="FFFFFF" w:val="clear"/>
        </w:rPr>
        <w:t>“</w:t>
      </w:r>
      <w:r>
        <w:rPr>
          <w:rFonts w:ascii="Times New Roman;serif" w:hAnsi="Times New Roman;serif"/>
          <w:b w:val="false"/>
          <w:color w:val="000000"/>
          <w:sz w:val="20"/>
        </w:rPr>
        <w:t>Registration Statement”). BARINTHUS BIO</w:t>
      </w:r>
      <w:r>
        <w:rPr>
          <w:color w:val="000000"/>
          <w:shd w:fill="FFFFFF" w:val="clear"/>
        </w:rPr>
        <w:t>’</w:t>
      </w:r>
      <w:r>
        <w:rPr>
          <w:rFonts w:ascii="Times New Roman;serif" w:hAnsi="Times New Roman;serif"/>
          <w:b w:val="false"/>
          <w:color w:val="000000"/>
          <w:sz w:val="20"/>
        </w:rPr>
        <w:t>S INVESTORS AND SECURITY HOLDERS ARE URGED TO CAREFULLY READ THE REGISTRATION STATEMENT IN ITS ENTIRETY AND ANY OTHER DOCUMENTS FILED OR THAT WILL BE FILED BY BARINTHUS BIO WITH THE SEC IN CONNECTION WITH THE PROPOSED TRANSACTION OR INCORPORATED BY REFERENCE THEREIN BECAUSE THEY CONTAIN OR WILL CONTAIN IMPORTANT INFORMATION ABOUT THE PROPOSED TRANSACTION AND THE PARTIES TO THE PROPOSED TRANSACTION.</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rPr>
        <w:t>Investors and security holders may obtain a free copy of the Registration Statement and other documents that the combined company files with the SEC (when available) from the SEC</w:t>
      </w:r>
      <w:r>
        <w:rPr>
          <w:color w:val="000000"/>
          <w:shd w:fill="FFFFFF" w:val="clear"/>
        </w:rPr>
        <w:t>’</w:t>
      </w:r>
      <w:r>
        <w:rPr>
          <w:rFonts w:ascii="Times New Roman;serif" w:hAnsi="Times New Roman;serif"/>
          <w:b w:val="false"/>
          <w:color w:val="000000"/>
          <w:sz w:val="20"/>
        </w:rPr>
        <w:t>s website at www.sec.gov or at investors.barinthusbio.com.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is not intended to and shall not constitute an offer to buy or sell or the solicitation of an offer to buy or sell any securities, nor shall there be any offer, solicitation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56" w:before="0" w:after="0"/>
        <w:jc w:val="left"/>
        <w:rPr/>
      </w:pPr>
      <w:r>
        <w:rPr>
          <w:rFonts w:ascii="Times New Roman;serif" w:hAnsi="Times New Roman;serif"/>
          <w:b w:val="false"/>
          <w:color w:val="000000"/>
          <w:sz w:val="20"/>
        </w:rPr>
        <w:t>Clywedog, Barinthus Bio and their respective directors, executive officers, other members of management, certain employees and other persons may be deemed to be participants in the solicitation of proxies from the security holders of Barinthus Bio in connection with the proposed transaction. Security holders may obtain information regarding the names, affiliations and interests of Barinthus Bio</w:t>
      </w:r>
      <w:r>
        <w:rPr>
          <w:color w:val="000000"/>
          <w:shd w:fill="FFFFFF" w:val="clear"/>
        </w:rPr>
        <w:t>’</w:t>
      </w:r>
      <w:r>
        <w:rPr>
          <w:rFonts w:ascii="Times New Roman;serif" w:hAnsi="Times New Roman;serif"/>
          <w:b w:val="false"/>
          <w:color w:val="000000"/>
          <w:sz w:val="20"/>
        </w:rPr>
        <w:t>s directors and executive officers in Registration Statement. To the extent holdings of Barinthus Bio</w:t>
      </w:r>
      <w:r>
        <w:rPr>
          <w:color w:val="000000"/>
          <w:shd w:fill="FFFFFF" w:val="clear"/>
        </w:rPr>
        <w:t>’</w:t>
      </w:r>
      <w:r>
        <w:rPr>
          <w:rFonts w:ascii="Times New Roman;serif" w:hAnsi="Times New Roman;serif"/>
          <w:b w:val="false"/>
          <w:color w:val="000000"/>
          <w:sz w:val="20"/>
        </w:rPr>
        <w:t>s securities by Barinthus Bio</w:t>
      </w:r>
      <w:r>
        <w:rPr>
          <w:color w:val="000000"/>
          <w:shd w:fill="FFFFFF" w:val="clear"/>
        </w:rPr>
        <w:t>’</w:t>
      </w:r>
      <w:r>
        <w:rPr>
          <w:rFonts w:ascii="Times New Roman;serif" w:hAnsi="Times New Roman;serif"/>
          <w:b w:val="false"/>
          <w:color w:val="000000"/>
          <w:sz w:val="20"/>
        </w:rPr>
        <w:t>s directors and executive officers have changed since the amounts set forth in the Registration Statement, such changes have been or will be reflected on subsequent Statements of Changes in Beneficial Ownership on Form 4 filed with the SEC. Additional information regarding the interests of such individuals in the proposed transaction is included in the Registration Statement. These documents (when available) may be obtained free of charge from the SEC</w:t>
      </w:r>
      <w:r>
        <w:rPr>
          <w:color w:val="000000"/>
          <w:shd w:fill="FFFFFF" w:val="clear"/>
        </w:rPr>
        <w:t>’</w:t>
      </w:r>
      <w:r>
        <w:rPr>
          <w:rFonts w:ascii="Times New Roman;serif" w:hAnsi="Times New Roman;serif"/>
          <w:b w:val="false"/>
          <w:color w:val="000000"/>
          <w:sz w:val="20"/>
        </w:rPr>
        <w:t xml:space="preserve">s website at </w:t>
      </w:r>
      <w:r>
        <w:rPr>
          <w:rFonts w:ascii="Times New Roman;serif" w:hAnsi="Times New Roman;serif"/>
          <w:b w:val="false"/>
          <w:color w:val="0000FF"/>
          <w:sz w:val="20"/>
        </w:rPr>
        <w:t>www.sec.gov</w:t>
      </w:r>
      <w:r>
        <w:rPr>
          <w:color w:val="000000"/>
        </w:rPr>
        <w:t xml:space="preserve"> </w:t>
      </w:r>
      <w:r>
        <w:rPr>
          <w:rFonts w:ascii="Times New Roman;serif" w:hAnsi="Times New Roman;serif"/>
          <w:b w:val="false"/>
          <w:color w:val="000000"/>
          <w:sz w:val="20"/>
        </w:rPr>
        <w:t>and Barinthus Bio</w:t>
      </w:r>
      <w:r>
        <w:rPr>
          <w:color w:val="000000"/>
          <w:shd w:fill="FFFFFF" w:val="clear"/>
        </w:rPr>
        <w:t>’</w:t>
      </w:r>
      <w:r>
        <w:rPr>
          <w:rFonts w:ascii="Times New Roman;serif" w:hAnsi="Times New Roman;serif"/>
          <w:b w:val="false"/>
          <w:color w:val="000000"/>
          <w:sz w:val="20"/>
        </w:rPr>
        <w:t>s website at investors.barinthusbio.com.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0" w:after="0"/>
        <w:jc w:val="center"/>
        <w:rPr/>
      </w:pPr>
      <w:r>
        <w:rPr>
          <w:rFonts w:ascii="Times New Roman;serif" w:hAnsi="Times New Roman;serif"/>
          <w:b/>
          <w:color w:val="000000"/>
          <w:sz w:val="20"/>
        </w:rPr>
        <w:t>BARINTHUS BIOTHERAPEUTICS PLC</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CONSOLIDATED BALANCE SHEETS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(IN THOUSANDS, EXCEPT NUMBER OF SHARES AND PER SHARE AMOUNTS)</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52"/>
        <w:gridCol w:w="2363"/>
        <w:gridCol w:w="2378"/>
        <w:gridCol w:w="196"/>
        <w:gridCol w:w="646"/>
        <w:gridCol w:w="109"/>
        <w:gridCol w:w="109"/>
        <w:gridCol w:w="109"/>
        <w:gridCol w:w="109"/>
        <w:gridCol w:w="222"/>
        <w:gridCol w:w="733"/>
        <w:gridCol w:w="123"/>
        <w:gridCol w:w="156"/>
      </w:tblGrid>
      <w:tr>
        <w:trPr/>
        <w:tc>
          <w:tcPr>
            <w:tcW w:w="2952"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 of</w:t>
              <w:b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 of</w:t>
              <w:br/>
              <w:t>December 31,</w:t>
              <w:b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70,456 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incentives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77,790 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98,169 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23,877 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Ordinary shares, £0.000025 nominal value; as at June 30, 2026 40,848,893 shares authorized, issued and outstanding and as at December 31, 2025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Deferred A shares, £1 nominal value; as at June 30, 2026 63,443 shares authorized, issued and outstanding and as at December 31, 2025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393,944 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(304,092)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 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attributable to Barinthus Biotherapeutics plc shareholders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57,073 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74,208 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74,292 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81,893 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98,169 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center"/>
        <w:rPr/>
      </w:pPr>
      <w:r>
        <w:rPr>
          <w:rFonts w:ascii="Times New Roman;serif" w:hAnsi="Times New Roman;serif"/>
          <w:b/>
          <w:color w:val="000000"/>
          <w:sz w:val="20"/>
        </w:rPr>
        <w:t>BARINTHUS BIOTHERAPEUTICS PLC</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CONSOLIDATED STATEMENTS OF OPERATIONS AND COMPREHENSIVE LOSS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(IN THOUSANDS, EXCEPT NUMBER OF SHARES AND PER SHARE AMOUNTS)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89"/>
        <w:gridCol w:w="1464"/>
        <w:gridCol w:w="1470"/>
        <w:gridCol w:w="214"/>
        <w:gridCol w:w="779"/>
        <w:gridCol w:w="119"/>
        <w:gridCol w:w="109"/>
        <w:gridCol w:w="109"/>
        <w:gridCol w:w="109"/>
        <w:gridCol w:w="214"/>
        <w:gridCol w:w="779"/>
        <w:gridCol w:w="119"/>
        <w:gridCol w:w="109"/>
        <w:gridCol w:w="109"/>
        <w:gridCol w:w="109"/>
        <w:gridCol w:w="214"/>
        <w:gridCol w:w="779"/>
        <w:gridCol w:w="119"/>
        <w:gridCol w:w="109"/>
        <w:gridCol w:w="109"/>
        <w:gridCol w:w="109"/>
        <w:gridCol w:w="214"/>
        <w:gridCol w:w="776"/>
        <w:gridCol w:w="175"/>
      </w:tblGrid>
      <w:tr>
        <w:trPr/>
        <w:tc>
          <w:tcPr>
            <w:tcW w:w="178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11,024 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23,337 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17,145 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44,266 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(11,019)</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(23,324)</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(17,094)</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(43,924)</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income/(expense):</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incentives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3,093 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(10,622)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(21,151)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(16,172)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(40,831)</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(10,599)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(21,126)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(16,133)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(40,784)</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Barinthus Biotherapeutics plc shareholders</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(10,580)</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(21,124)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(16,111)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(40,772)</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Weighted-average ordinary shares outstanding, basic </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40,343,521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40,304,584</w:t>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ordinary shares outstanding, diluted</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40,848,893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40,343,521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40,848,893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40,304,584</w:t>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ordinary shareholders, basic</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ordinary shareholders, diluted</w:t>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7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(40,784)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(loss)/gain – foreign currency translation adjustments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(9,777)</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(12,831)</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(18,147)</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(27,843)</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loss/(gain) attributable to noncontrolling interest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Barinthus Biotherapeutics plc shareholders</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(9,759)</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(12,836)</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(18,124)</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(27,841)</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Company contact:</w:t>
      </w:r>
    </w:p>
    <w:p>
      <w:pPr>
        <w:pStyle w:val="TextBody"/>
        <w:bidi w:val="0"/>
        <w:spacing w:lineRule="auto" w:line="276"/>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ir@barinthusbio.com</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3910</Words>
  <Characters>22489</Characters>
  <CharactersWithSpaces>26142</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