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vacc-20230331x10q.htm"/>
        <w:bookmarkStart w:id="1" w:name="ksvacc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pBdr>
          <w:top w:val="single" w:sz="24" w:space="1" w:color="000000"/>
          <w:bottom w:val="single" w:sz="2"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bookmarkStart w:id="2" w:name="_fd122770_4176_4e8b_bd9e_90f350427320"/>
      <w:bookmarkEnd w:id="2"/>
      <w:r>
        <w:rPr>
          <w:rFonts w:ascii="Times New Roman;Times;serif" w:hAnsi="Times New Roman;Times;serif"/>
          <w:b/>
          <w:sz w:val="28"/>
        </w:rPr>
        <w:t>UNITED</w:t>
      </w:r>
      <w:r>
        <w:rPr>
          <w:rFonts w:ascii="Times New Roman;Times;serif" w:hAnsi="Times New Roman;Times;serif"/>
          <w:sz w:val="20"/>
        </w:rPr>
        <w:t xml:space="preserve"> </w:t>
      </w:r>
      <w:r>
        <w:rPr>
          <w:rFonts w:ascii="Times New Roman;Times;serif" w:hAnsi="Times New Roman;Times;serif"/>
          <w:b/>
          <w:sz w:val="28"/>
        </w:rPr>
        <w:t>STATES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8"/>
        </w:rPr>
        <w:t>SECURITIES</w:t>
      </w:r>
      <w:r>
        <w:rPr>
          <w:rFonts w:ascii="Times New Roman;Times;serif" w:hAnsi="Times New Roman;Times;serif"/>
          <w:sz w:val="20"/>
        </w:rPr>
        <w:t xml:space="preserve"> </w:t>
      </w:r>
      <w:r>
        <w:rPr>
          <w:rFonts w:ascii="Times New Roman;Times;serif" w:hAnsi="Times New Roman;Times;serif"/>
          <w:b/>
          <w:sz w:val="28"/>
        </w:rPr>
        <w:t>AND</w:t>
      </w:r>
      <w:r>
        <w:rPr>
          <w:rFonts w:ascii="Times New Roman;Times;serif" w:hAnsi="Times New Roman;Times;serif"/>
          <w:sz w:val="20"/>
        </w:rPr>
        <w:t xml:space="preserve"> </w:t>
      </w:r>
      <w:r>
        <w:rPr>
          <w:rFonts w:ascii="Times New Roman;Times;serif" w:hAnsi="Times New Roman;Times;serif"/>
          <w:b/>
          <w:sz w:val="28"/>
        </w:rPr>
        <w:t>EXCHANGE</w:t>
      </w:r>
      <w:r>
        <w:rPr>
          <w:rFonts w:ascii="Times New Roman;Times;serif" w:hAnsi="Times New Roman;Times;serif"/>
          <w:sz w:val="20"/>
        </w:rPr>
        <w:t xml:space="preserve"> </w:t>
      </w:r>
      <w:r>
        <w:rPr>
          <w:rFonts w:ascii="Times New Roman;Times;serif" w:hAnsi="Times New Roman;Times;serif"/>
          <w:b/>
          <w:sz w:val="28"/>
        </w:rPr>
        <w:t>COMMISSION</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b/>
          <w:sz w:val="22"/>
        </w:rPr>
        <w:t>WASHINGTON</w:t>
      </w:r>
      <w:r>
        <w:rPr>
          <w:rFonts w:ascii="Times New Roman;Times;serif" w:hAnsi="Times New Roman;Times;serif"/>
          <w:sz w:val="22"/>
        </w:rPr>
        <w:t xml:space="preserve">, </w:t>
      </w:r>
      <w:r>
        <w:rPr>
          <w:rFonts w:ascii="Times New Roman;Times;serif" w:hAnsi="Times New Roman;Times;serif"/>
          <w:b/>
          <w:sz w:val="22"/>
        </w:rPr>
        <w:t>DC</w:t>
      </w:r>
      <w:r>
        <w:rPr>
          <w:rFonts w:ascii="Times New Roman;Times;serif" w:hAnsi="Times New Roman;Times;serif"/>
          <w:sz w:val="20"/>
        </w:rPr>
        <w:t xml:space="preserve"> </w:t>
      </w:r>
      <w:r>
        <w:rPr>
          <w:rFonts w:ascii="Times New Roman;Times;serif" w:hAnsi="Times New Roman;Times;serif"/>
          <w:b/>
          <w:sz w:val="22"/>
        </w:rPr>
        <w:t>20549</w:t>
      </w:r>
    </w:p>
    <w:p>
      <w:pPr>
        <w:pStyle w:val="TextBody"/>
        <w:spacing w:before="0" w:after="0"/>
        <w:ind w:left="0" w:right="0" w:hanging="0"/>
        <w:jc w:val="center"/>
        <w:rPr/>
      </w:pPr>
      <w:r>
        <w:rPr/>
        <w:t>​</w:t>
      </w:r>
    </w:p>
    <w:p>
      <w:pPr>
        <w:pStyle w:val="TextBody"/>
        <w:pBdr>
          <w:top w:val="single" w:sz="8"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30"/>
        </w:rPr>
      </w:pPr>
      <w:r>
        <w:rPr>
          <w:rFonts w:ascii="Times New Roman;Times;serif" w:hAnsi="Times New Roman;Times;serif"/>
          <w:b/>
          <w:sz w:val="30"/>
        </w:rPr>
        <w:t>FORM</w:t>
      </w:r>
      <w:r>
        <w:rPr>
          <w:rFonts w:ascii="Times New Roman;Times;serif" w:hAnsi="Times New Roman;Times;serif"/>
          <w:sz w:val="30"/>
        </w:rPr>
        <w:t xml:space="preserve"> </w:t>
      </w:r>
      <w:r>
        <w:rPr>
          <w:rFonts w:ascii="Times New Roman;Times;serif" w:hAnsi="Times New Roman;Times;serif"/>
          <w:b/>
          <w:sz w:val="30"/>
        </w:rPr>
        <w:t>10-Q</w:t>
      </w:r>
    </w:p>
    <w:p>
      <w:pPr>
        <w:pStyle w:val="TextBody"/>
        <w:spacing w:before="0" w:after="0"/>
        <w:ind w:left="0" w:right="0" w:hanging="0"/>
        <w:jc w:val="center"/>
        <w:rPr/>
      </w:pPr>
      <w:r>
        <w:rPr/>
        <w:t>​</w:t>
      </w:r>
    </w:p>
    <w:p>
      <w:pPr>
        <w:pStyle w:val="TextBody"/>
        <w:pBdr>
          <w:top w:val="single" w:sz="8" w:space="1" w:color="000000"/>
        </w:pBdr>
        <w:spacing w:before="0" w:after="0"/>
        <w:ind w:left="0" w:right="0" w:hanging="0"/>
        <w:jc w:val="center"/>
        <w:rPr/>
      </w:pPr>
      <w:r>
        <w:rPr/>
        <w:t>​</w:t>
      </w:r>
    </w:p>
    <w:p>
      <w:pPr>
        <w:pStyle w:val="TextBody"/>
        <w:spacing w:before="0" w:after="120"/>
        <w:ind w:left="0" w:right="0" w:hanging="0"/>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Mark</w:t>
      </w:r>
      <w:r>
        <w:rPr>
          <w:rFonts w:ascii="Times New Roman;Times;serif" w:hAnsi="Times New Roman;Times;serif"/>
          <w:sz w:val="18"/>
        </w:rPr>
        <w:t xml:space="preserve"> </w:t>
      </w:r>
      <w:r>
        <w:rPr>
          <w:rFonts w:ascii="Times New Roman;Times;serif" w:hAnsi="Times New Roman;Times;serif"/>
          <w:b/>
          <w:sz w:val="18"/>
        </w:rPr>
        <w:t>One</w:t>
      </w:r>
      <w:r>
        <w:rPr>
          <w:rFonts w:ascii="Times New Roman;Times;serif" w:hAnsi="Times New Roman;Times;serif"/>
          <w:sz w:val="18"/>
        </w:rPr>
        <w:t>)</w:t>
      </w:r>
    </w:p>
    <w:p>
      <w:pPr>
        <w:pStyle w:val="TextBody"/>
        <w:spacing w:before="0" w:after="100"/>
        <w:ind w:left="0" w:right="0" w:hanging="0"/>
        <w:rPr/>
      </w:pPr>
      <w:r>
        <w:rPr>
          <w:caps w:val="false"/>
          <w:smallCaps w:val="false"/>
        </w:rPr>
        <w:t>☒</w:t>
      </w:r>
      <w:r>
        <w:rPr>
          <w:rFonts w:ascii="Times New Roman;Times;serif" w:hAnsi="Times New Roman;Times;serif"/>
          <w:b/>
          <w:sz w:val="18"/>
        </w:rPr>
        <w:t>QUARTERLY</w:t>
      </w:r>
      <w:r>
        <w:rPr>
          <w:rFonts w:ascii="Times New Roman;Times;serif" w:hAnsi="Times New Roman;Times;serif"/>
          <w:sz w:val="20"/>
        </w:rPr>
        <w:t xml:space="preserve"> </w:t>
      </w:r>
      <w:r>
        <w:rPr>
          <w:rFonts w:ascii="Times New Roman;Times;serif" w:hAnsi="Times New Roman;Times;serif"/>
          <w:b/>
          <w:sz w:val="18"/>
        </w:rPr>
        <w:t>REPORT</w:t>
      </w:r>
      <w:r>
        <w:rPr>
          <w:rFonts w:ascii="Times New Roman;Times;serif" w:hAnsi="Times New Roman;Times;serif"/>
          <w:sz w:val="20"/>
        </w:rPr>
        <w:t xml:space="preserve"> </w:t>
      </w:r>
      <w:r>
        <w:rPr>
          <w:rFonts w:ascii="Times New Roman;Times;serif" w:hAnsi="Times New Roman;Times;serif"/>
          <w:b/>
          <w:sz w:val="18"/>
        </w:rPr>
        <w:t>PURSUANT</w:t>
      </w:r>
      <w:r>
        <w:rPr>
          <w:rFonts w:ascii="Times New Roman;Times;serif" w:hAnsi="Times New Roman;Times;serif"/>
          <w:sz w:val="20"/>
        </w:rPr>
        <w:t xml:space="preserve"> </w:t>
      </w:r>
      <w:r>
        <w:rPr>
          <w:rFonts w:ascii="Times New Roman;Times;serif" w:hAnsi="Times New Roman;Times;serif"/>
          <w:b/>
          <w:sz w:val="18"/>
        </w:rPr>
        <w:t>TO</w:t>
      </w:r>
      <w:r>
        <w:rPr>
          <w:rFonts w:ascii="Times New Roman;Times;serif" w:hAnsi="Times New Roman;Times;serif"/>
          <w:sz w:val="20"/>
        </w:rPr>
        <w:t xml:space="preserve"> </w:t>
      </w:r>
      <w:r>
        <w:rPr>
          <w:rFonts w:ascii="Times New Roman;Times;serif" w:hAnsi="Times New Roman;Times;serif"/>
          <w:b/>
          <w:sz w:val="18"/>
        </w:rPr>
        <w:t>SECTION</w:t>
      </w:r>
      <w:r>
        <w:rPr>
          <w:rFonts w:ascii="Times New Roman;Times;serif" w:hAnsi="Times New Roman;Times;serif"/>
          <w:sz w:val="20"/>
        </w:rPr>
        <w:t xml:space="preserve"> </w:t>
      </w:r>
      <w:r>
        <w:rPr>
          <w:rFonts w:ascii="Times New Roman;Times;serif" w:hAnsi="Times New Roman;Times;serif"/>
          <w:b/>
          <w:sz w:val="18"/>
        </w:rPr>
        <w:t>13</w:t>
      </w:r>
      <w:r>
        <w:rPr>
          <w:rFonts w:ascii="Times New Roman;Times;serif" w:hAnsi="Times New Roman;Times;serif"/>
          <w:sz w:val="20"/>
        </w:rPr>
        <w:t xml:space="preserve"> </w:t>
      </w:r>
      <w:r>
        <w:rPr>
          <w:rFonts w:ascii="Times New Roman;Times;serif" w:hAnsi="Times New Roman;Times;serif"/>
          <w:b/>
          <w:sz w:val="18"/>
        </w:rPr>
        <w:t>OR</w:t>
      </w:r>
      <w:r>
        <w:rPr>
          <w:rFonts w:ascii="Times New Roman;Times;serif" w:hAnsi="Times New Roman;Times;serif"/>
          <w:sz w:val="20"/>
        </w:rPr>
        <w:t xml:space="preserve"> </w:t>
      </w:r>
      <w:r>
        <w:rPr>
          <w:rFonts w:ascii="Times New Roman;Times;serif" w:hAnsi="Times New Roman;Times;serif"/>
          <w:b/>
          <w:sz w:val="18"/>
        </w:rPr>
        <w:t>15</w:t>
      </w:r>
      <w:r>
        <w:rPr>
          <w:rFonts w:ascii="Times New Roman;Times;serif" w:hAnsi="Times New Roman;Times;serif"/>
          <w:sz w:val="18"/>
        </w:rPr>
        <w:t>(</w:t>
      </w:r>
      <w:r>
        <w:rPr>
          <w:rFonts w:ascii="Times New Roman;Times;serif" w:hAnsi="Times New Roman;Times;serif"/>
          <w:b/>
          <w:sz w:val="18"/>
        </w:rPr>
        <w:t>d</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THE</w:t>
      </w:r>
      <w:r>
        <w:rPr>
          <w:rFonts w:ascii="Times New Roman;Times;serif" w:hAnsi="Times New Roman;Times;serif"/>
          <w:sz w:val="20"/>
        </w:rPr>
        <w:t xml:space="preserve"> </w:t>
      </w:r>
      <w:r>
        <w:rPr>
          <w:rFonts w:ascii="Times New Roman;Times;serif" w:hAnsi="Times New Roman;Times;serif"/>
          <w:b/>
          <w:sz w:val="18"/>
        </w:rPr>
        <w:t>SECURITIES</w:t>
      </w:r>
      <w:r>
        <w:rPr>
          <w:rFonts w:ascii="Times New Roman;Times;serif" w:hAnsi="Times New Roman;Times;serif"/>
          <w:sz w:val="20"/>
        </w:rPr>
        <w:t xml:space="preserve"> </w:t>
      </w:r>
      <w:r>
        <w:rPr>
          <w:rFonts w:ascii="Times New Roman;Times;serif" w:hAnsi="Times New Roman;Times;serif"/>
          <w:b/>
          <w:sz w:val="18"/>
        </w:rPr>
        <w:t>EXCHANGE</w:t>
      </w:r>
      <w:r>
        <w:rPr>
          <w:rFonts w:ascii="Times New Roman;Times;serif" w:hAnsi="Times New Roman;Times;serif"/>
          <w:sz w:val="20"/>
        </w:rPr>
        <w:t xml:space="preserve"> </w:t>
      </w:r>
      <w:r>
        <w:rPr>
          <w:rFonts w:ascii="Times New Roman;Times;serif" w:hAnsi="Times New Roman;Times;serif"/>
          <w:b/>
          <w:sz w:val="18"/>
        </w:rPr>
        <w:t>ACT</w:t>
      </w:r>
      <w:r>
        <w:rPr>
          <w:rFonts w:ascii="Times New Roman;Times;serif" w:hAnsi="Times New Roman;Times;serif"/>
          <w:sz w:val="20"/>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1934</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b/>
          <w:sz w:val="18"/>
        </w:rPr>
        <w:t>For</w:t>
      </w:r>
      <w:r>
        <w:rPr>
          <w:rFonts w:ascii="Times New Roman;Times;serif" w:hAnsi="Times New Roman;Times;serif"/>
          <w:sz w:val="20"/>
        </w:rPr>
        <w:t xml:space="preserve"> </w:t>
      </w:r>
      <w:r>
        <w:rPr>
          <w:rFonts w:ascii="Times New Roman;Times;serif" w:hAnsi="Times New Roman;Times;serif"/>
          <w:b/>
          <w:sz w:val="18"/>
        </w:rPr>
        <w:t>the</w:t>
      </w:r>
      <w:r>
        <w:rPr>
          <w:rFonts w:ascii="Times New Roman;Times;serif" w:hAnsi="Times New Roman;Times;serif"/>
          <w:sz w:val="20"/>
        </w:rPr>
        <w:t xml:space="preserve"> </w:t>
      </w:r>
      <w:r>
        <w:rPr>
          <w:rFonts w:ascii="Times New Roman;Times;serif" w:hAnsi="Times New Roman;Times;serif"/>
          <w:b/>
          <w:sz w:val="18"/>
        </w:rPr>
        <w:t>quarterly</w:t>
      </w:r>
      <w:r>
        <w:rPr>
          <w:rFonts w:ascii="Times New Roman;Times;serif" w:hAnsi="Times New Roman;Times;serif"/>
          <w:sz w:val="20"/>
        </w:rPr>
        <w:t xml:space="preserve"> </w:t>
      </w:r>
      <w:r>
        <w:rPr>
          <w:rFonts w:ascii="Times New Roman;Times;serif" w:hAnsi="Times New Roman;Times;serif"/>
          <w:b/>
          <w:sz w:val="18"/>
        </w:rPr>
        <w:t>period</w:t>
      </w:r>
      <w:r>
        <w:rPr>
          <w:rFonts w:ascii="Times New Roman;Times;serif" w:hAnsi="Times New Roman;Times;serif"/>
          <w:sz w:val="20"/>
        </w:rPr>
        <w:t xml:space="preserve"> </w:t>
      </w:r>
      <w:r>
        <w:rPr>
          <w:rFonts w:ascii="Times New Roman;Times;serif" w:hAnsi="Times New Roman;Times;serif"/>
          <w:b/>
          <w:sz w:val="18"/>
        </w:rPr>
        <w:t>ended</w:t>
      </w:r>
      <w:r>
        <w:rPr>
          <w:rFonts w:ascii="Times New Roman;Times;serif" w:hAnsi="Times New Roman;Times;serif"/>
          <w:sz w:val="20"/>
        </w:rPr>
        <w:t xml:space="preserve"> </w:t>
      </w:r>
      <w:r>
        <w:rPr>
          <w:rFonts w:ascii="Times New Roman;Times;serif" w:hAnsi="Times New Roman;Times;serif"/>
          <w:b/>
          <w:sz w:val="18"/>
        </w:rPr>
        <w:t>March 31, 2023</w:t>
      </w:r>
    </w:p>
    <w:p>
      <w:pPr>
        <w:pStyle w:val="TextBody"/>
        <w:spacing w:before="0" w:after="10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spacing w:before="0" w:after="100"/>
        <w:ind w:left="0" w:right="0" w:hanging="0"/>
        <w:rPr/>
      </w:pPr>
      <w:r>
        <w:rPr>
          <w:caps w:val="false"/>
          <w:smallCaps w:val="false"/>
        </w:rPr>
        <w:t>☐</w:t>
      </w:r>
      <w:r>
        <w:rPr>
          <w:rFonts w:ascii="Times New Roman;Times;serif" w:hAnsi="Times New Roman;Times;serif"/>
          <w:b/>
          <w:sz w:val="18"/>
        </w:rPr>
        <w:t>TRANSITION</w:t>
      </w:r>
      <w:r>
        <w:rPr>
          <w:rFonts w:ascii="Times New Roman;Times;serif" w:hAnsi="Times New Roman;Times;serif"/>
          <w:sz w:val="20"/>
        </w:rPr>
        <w:t xml:space="preserve"> </w:t>
      </w:r>
      <w:r>
        <w:rPr>
          <w:rFonts w:ascii="Times New Roman;Times;serif" w:hAnsi="Times New Roman;Times;serif"/>
          <w:b/>
          <w:sz w:val="18"/>
        </w:rPr>
        <w:t>REPORT</w:t>
      </w:r>
      <w:r>
        <w:rPr>
          <w:rFonts w:ascii="Times New Roman;Times;serif" w:hAnsi="Times New Roman;Times;serif"/>
          <w:sz w:val="20"/>
        </w:rPr>
        <w:t xml:space="preserve"> </w:t>
      </w:r>
      <w:r>
        <w:rPr>
          <w:rFonts w:ascii="Times New Roman;Times;serif" w:hAnsi="Times New Roman;Times;serif"/>
          <w:b/>
          <w:sz w:val="18"/>
        </w:rPr>
        <w:t>PURSUANT</w:t>
      </w:r>
      <w:r>
        <w:rPr>
          <w:rFonts w:ascii="Times New Roman;Times;serif" w:hAnsi="Times New Roman;Times;serif"/>
          <w:sz w:val="20"/>
        </w:rPr>
        <w:t xml:space="preserve"> </w:t>
      </w:r>
      <w:r>
        <w:rPr>
          <w:rFonts w:ascii="Times New Roman;Times;serif" w:hAnsi="Times New Roman;Times;serif"/>
          <w:b/>
          <w:sz w:val="18"/>
        </w:rPr>
        <w:t>TO</w:t>
      </w:r>
      <w:r>
        <w:rPr>
          <w:rFonts w:ascii="Times New Roman;Times;serif" w:hAnsi="Times New Roman;Times;serif"/>
          <w:sz w:val="20"/>
        </w:rPr>
        <w:t xml:space="preserve"> </w:t>
      </w:r>
      <w:r>
        <w:rPr>
          <w:rFonts w:ascii="Times New Roman;Times;serif" w:hAnsi="Times New Roman;Times;serif"/>
          <w:b/>
          <w:sz w:val="18"/>
        </w:rPr>
        <w:t>SECTION</w:t>
      </w:r>
      <w:r>
        <w:rPr>
          <w:rFonts w:ascii="Times New Roman;Times;serif" w:hAnsi="Times New Roman;Times;serif"/>
          <w:sz w:val="20"/>
        </w:rPr>
        <w:t xml:space="preserve"> </w:t>
      </w:r>
      <w:r>
        <w:rPr>
          <w:rFonts w:ascii="Times New Roman;Times;serif" w:hAnsi="Times New Roman;Times;serif"/>
          <w:b/>
          <w:sz w:val="18"/>
        </w:rPr>
        <w:t>13</w:t>
      </w:r>
      <w:r>
        <w:rPr>
          <w:rFonts w:ascii="Times New Roman;Times;serif" w:hAnsi="Times New Roman;Times;serif"/>
          <w:sz w:val="20"/>
        </w:rPr>
        <w:t xml:space="preserve"> </w:t>
      </w:r>
      <w:r>
        <w:rPr>
          <w:rFonts w:ascii="Times New Roman;Times;serif" w:hAnsi="Times New Roman;Times;serif"/>
          <w:b/>
          <w:sz w:val="18"/>
        </w:rPr>
        <w:t>OR</w:t>
      </w:r>
      <w:r>
        <w:rPr>
          <w:rFonts w:ascii="Times New Roman;Times;serif" w:hAnsi="Times New Roman;Times;serif"/>
          <w:sz w:val="20"/>
        </w:rPr>
        <w:t xml:space="preserve"> </w:t>
      </w:r>
      <w:r>
        <w:rPr>
          <w:rFonts w:ascii="Times New Roman;Times;serif" w:hAnsi="Times New Roman;Times;serif"/>
          <w:b/>
          <w:sz w:val="18"/>
        </w:rPr>
        <w:t>15</w:t>
      </w:r>
      <w:r>
        <w:rPr>
          <w:rFonts w:ascii="Times New Roman;Times;serif" w:hAnsi="Times New Roman;Times;serif"/>
          <w:sz w:val="18"/>
        </w:rPr>
        <w:t>(</w:t>
      </w:r>
      <w:r>
        <w:rPr>
          <w:rFonts w:ascii="Times New Roman;Times;serif" w:hAnsi="Times New Roman;Times;serif"/>
          <w:b/>
          <w:sz w:val="18"/>
        </w:rPr>
        <w:t>d</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THE</w:t>
      </w:r>
      <w:r>
        <w:rPr>
          <w:rFonts w:ascii="Times New Roman;Times;serif" w:hAnsi="Times New Roman;Times;serif"/>
          <w:sz w:val="20"/>
        </w:rPr>
        <w:t xml:space="preserve"> </w:t>
      </w:r>
      <w:r>
        <w:rPr>
          <w:rFonts w:ascii="Times New Roman;Times;serif" w:hAnsi="Times New Roman;Times;serif"/>
          <w:b/>
          <w:sz w:val="18"/>
        </w:rPr>
        <w:t>SECURITIES</w:t>
      </w:r>
      <w:r>
        <w:rPr>
          <w:rFonts w:ascii="Times New Roman;Times;serif" w:hAnsi="Times New Roman;Times;serif"/>
          <w:sz w:val="20"/>
        </w:rPr>
        <w:t xml:space="preserve"> </w:t>
      </w:r>
      <w:r>
        <w:rPr>
          <w:rFonts w:ascii="Times New Roman;Times;serif" w:hAnsi="Times New Roman;Times;serif"/>
          <w:b/>
          <w:sz w:val="18"/>
        </w:rPr>
        <w:t>EXCHANGE</w:t>
      </w:r>
      <w:r>
        <w:rPr>
          <w:rFonts w:ascii="Times New Roman;Times;serif" w:hAnsi="Times New Roman;Times;serif"/>
          <w:sz w:val="20"/>
        </w:rPr>
        <w:t xml:space="preserve"> </w:t>
      </w:r>
      <w:r>
        <w:rPr>
          <w:rFonts w:ascii="Times New Roman;Times;serif" w:hAnsi="Times New Roman;Times;serif"/>
          <w:b/>
          <w:sz w:val="18"/>
        </w:rPr>
        <w:t>ACT</w:t>
      </w:r>
      <w:r>
        <w:rPr>
          <w:rFonts w:ascii="Times New Roman;Times;serif" w:hAnsi="Times New Roman;Times;serif"/>
          <w:sz w:val="20"/>
        </w:rPr>
        <w:t xml:space="preserve"> </w:t>
      </w:r>
      <w:r>
        <w:rPr>
          <w:rFonts w:ascii="Times New Roman;Times;serif" w:hAnsi="Times New Roman;Times;serif"/>
          <w:b/>
          <w:sz w:val="18"/>
        </w:rPr>
        <w:t>OF</w:t>
      </w:r>
      <w:r>
        <w:rPr>
          <w:rFonts w:ascii="Times New Roman;Times;serif" w:hAnsi="Times New Roman;Times;serif"/>
          <w:sz w:val="20"/>
        </w:rPr>
        <w:t xml:space="preserve"> </w:t>
      </w:r>
      <w:r>
        <w:rPr>
          <w:rFonts w:ascii="Times New Roman;Times;serif" w:hAnsi="Times New Roman;Times;serif"/>
          <w:b/>
          <w:sz w:val="18"/>
        </w:rPr>
        <w:t>1934</w:t>
      </w:r>
    </w:p>
    <w:p>
      <w:pPr>
        <w:pStyle w:val="TextBody"/>
        <w:spacing w:before="0" w:after="100"/>
        <w:ind w:left="0" w:right="0" w:hanging="0"/>
        <w:jc w:val="center"/>
        <w:rPr>
          <w:rFonts w:ascii="Times New Roman;Times;serif" w:hAnsi="Times New Roman;Times;serif"/>
          <w:sz w:val="18"/>
        </w:rPr>
      </w:pPr>
      <w:r>
        <w:rPr>
          <w:rFonts w:ascii="Times New Roman;Times;serif" w:hAnsi="Times New Roman;Times;serif"/>
          <w:b/>
          <w:sz w:val="18"/>
        </w:rPr>
        <w:t>For</w:t>
      </w:r>
      <w:r>
        <w:rPr>
          <w:rFonts w:ascii="Times New Roman;Times;serif" w:hAnsi="Times New Roman;Times;serif"/>
          <w:sz w:val="18"/>
        </w:rPr>
        <w:t xml:space="preserve"> </w:t>
      </w:r>
      <w:r>
        <w:rPr>
          <w:rFonts w:ascii="Times New Roman;Times;serif" w:hAnsi="Times New Roman;Times;serif"/>
          <w:b/>
          <w:sz w:val="18"/>
        </w:rPr>
        <w:t>the</w:t>
      </w:r>
      <w:r>
        <w:rPr>
          <w:rFonts w:ascii="Times New Roman;Times;serif" w:hAnsi="Times New Roman;Times;serif"/>
          <w:sz w:val="18"/>
        </w:rPr>
        <w:t xml:space="preserve"> </w:t>
      </w:r>
      <w:r>
        <w:rPr>
          <w:rFonts w:ascii="Times New Roman;Times;serif" w:hAnsi="Times New Roman;Times;serif"/>
          <w:b/>
          <w:sz w:val="18"/>
        </w:rPr>
        <w:t>transition</w:t>
      </w:r>
      <w:r>
        <w:rPr>
          <w:rFonts w:ascii="Times New Roman;Times;serif" w:hAnsi="Times New Roman;Times;serif"/>
          <w:sz w:val="18"/>
        </w:rPr>
        <w:t xml:space="preserve"> </w:t>
      </w:r>
      <w:r>
        <w:rPr>
          <w:rFonts w:ascii="Times New Roman;Times;serif" w:hAnsi="Times New Roman;Times;serif"/>
          <w:b/>
          <w:sz w:val="18"/>
        </w:rPr>
        <w:t>period</w:t>
      </w:r>
      <w:r>
        <w:rPr>
          <w:rFonts w:ascii="Times New Roman;Times;serif" w:hAnsi="Times New Roman;Times;serif"/>
          <w:sz w:val="18"/>
        </w:rPr>
        <w:t xml:space="preserve"> </w:t>
      </w:r>
      <w:r>
        <w:rPr>
          <w:rFonts w:ascii="Times New Roman;Times;serif" w:hAnsi="Times New Roman;Times;serif"/>
          <w:b/>
          <w:sz w:val="18"/>
        </w:rPr>
        <w:t>from</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xml:space="preserve">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8"/>
        </w:rPr>
        <w:t>Commission</w:t>
      </w:r>
      <w:r>
        <w:rPr>
          <w:rFonts w:ascii="Times New Roman;Times;serif" w:hAnsi="Times New Roman;Times;serif"/>
          <w:sz w:val="20"/>
        </w:rPr>
        <w:t xml:space="preserve"> </w:t>
      </w:r>
      <w:r>
        <w:rPr>
          <w:rFonts w:ascii="Times New Roman;Times;serif" w:hAnsi="Times New Roman;Times;serif"/>
          <w:b/>
          <w:sz w:val="18"/>
        </w:rPr>
        <w:t>File</w:t>
      </w:r>
      <w:r>
        <w:rPr>
          <w:rFonts w:ascii="Times New Roman;Times;serif" w:hAnsi="Times New Roman;Times;serif"/>
          <w:sz w:val="20"/>
        </w:rPr>
        <w:t xml:space="preserve"> </w:t>
      </w:r>
      <w:r>
        <w:rPr>
          <w:rFonts w:ascii="Times New Roman;Times;serif" w:hAnsi="Times New Roman;Times;serif"/>
          <w:b/>
          <w:sz w:val="18"/>
        </w:rPr>
        <w:t>Number</w:t>
      </w:r>
      <w:r>
        <w:rPr>
          <w:rFonts w:ascii="Times New Roman;Times;serif" w:hAnsi="Times New Roman;Times;serif"/>
          <w:sz w:val="18"/>
        </w:rPr>
        <w:t xml:space="preserve">: </w:t>
      </w:r>
      <w:r>
        <w:rPr>
          <w:rFonts w:ascii="Times New Roman;Times;serif" w:hAnsi="Times New Roman;Times;serif"/>
          <w:b/>
          <w:sz w:val="18"/>
        </w:rPr>
        <w:t>001-40367</w:t>
      </w:r>
    </w:p>
    <w:p>
      <w:pPr>
        <w:pStyle w:val="TextBody"/>
        <w:spacing w:before="0" w:after="0"/>
        <w:ind w:left="0" w:right="0" w:hanging="0"/>
        <w:jc w:val="center"/>
        <w:rPr/>
      </w:pPr>
      <w:r>
        <w:rPr/>
        <w:t>​</w:t>
      </w:r>
    </w:p>
    <w:p>
      <w:pPr>
        <w:pStyle w:val="TextBody"/>
        <w:pBdr>
          <w:top w:val="single" w:sz="8"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40"/>
        </w:rPr>
      </w:pPr>
      <w:r>
        <w:rPr>
          <w:rFonts w:ascii="Times New Roman;Times;serif" w:hAnsi="Times New Roman;Times;serif"/>
          <w:b/>
          <w:i w:val="false"/>
          <w:caps w:val="false"/>
          <w:smallCaps w:val="false"/>
          <w:sz w:val="40"/>
        </w:rPr>
        <w:t>VACCITECH</w:t>
      </w:r>
      <w:r>
        <w:rPr>
          <w:rFonts w:ascii="Times New Roman;Times;serif" w:hAnsi="Times New Roman;Times;serif"/>
          <w:caps w:val="false"/>
          <w:smallCaps w:val="false"/>
          <w:sz w:val="40"/>
        </w:rPr>
        <w:t xml:space="preserve"> </w:t>
      </w:r>
      <w:r>
        <w:rPr>
          <w:rFonts w:ascii="Times New Roman;Times;serif" w:hAnsi="Times New Roman;Times;serif"/>
          <w:b/>
          <w:i w:val="false"/>
          <w:caps w:val="false"/>
          <w:smallCaps w:val="false"/>
          <w:sz w:val="40"/>
        </w:rPr>
        <w:t>PLC</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Exact</w:t>
      </w:r>
      <w:r>
        <w:rPr>
          <w:rFonts w:ascii="Times New Roman;Times;serif" w:hAnsi="Times New Roman;Times;serif"/>
          <w:sz w:val="18"/>
        </w:rPr>
        <w:t xml:space="preserve"> </w:t>
      </w:r>
      <w:r>
        <w:rPr>
          <w:rFonts w:ascii="Times New Roman;Times;serif" w:hAnsi="Times New Roman;Times;serif"/>
          <w:b/>
          <w:sz w:val="18"/>
        </w:rPr>
        <w:t>Name</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18"/>
        </w:rPr>
        <w:t xml:space="preserve"> </w:t>
      </w:r>
      <w:r>
        <w:rPr>
          <w:rFonts w:ascii="Times New Roman;Times;serif" w:hAnsi="Times New Roman;Times;serif"/>
          <w:b/>
          <w:sz w:val="18"/>
        </w:rPr>
        <w:t>Registrant</w:t>
      </w:r>
      <w:r>
        <w:rPr>
          <w:rFonts w:ascii="Times New Roman;Times;serif" w:hAnsi="Times New Roman;Times;serif"/>
          <w:sz w:val="18"/>
        </w:rPr>
        <w:t xml:space="preserve"> </w:t>
      </w:r>
      <w:r>
        <w:rPr>
          <w:rFonts w:ascii="Times New Roman;Times;serif" w:hAnsi="Times New Roman;Times;serif"/>
          <w:b/>
          <w:sz w:val="18"/>
        </w:rPr>
        <w:t>as</w:t>
      </w:r>
      <w:r>
        <w:rPr>
          <w:rFonts w:ascii="Times New Roman;Times;serif" w:hAnsi="Times New Roman;Times;serif"/>
          <w:sz w:val="18"/>
        </w:rPr>
        <w:t xml:space="preserve"> </w:t>
      </w:r>
      <w:r>
        <w:rPr>
          <w:rFonts w:ascii="Times New Roman;Times;serif" w:hAnsi="Times New Roman;Times;serif"/>
          <w:b/>
          <w:sz w:val="18"/>
        </w:rPr>
        <w:t>Specified</w:t>
      </w:r>
      <w:r>
        <w:rPr>
          <w:rFonts w:ascii="Times New Roman;Times;serif" w:hAnsi="Times New Roman;Times;serif"/>
          <w:sz w:val="18"/>
        </w:rPr>
        <w:t xml:space="preserve"> </w:t>
      </w:r>
      <w:r>
        <w:rPr>
          <w:rFonts w:ascii="Times New Roman;Times;serif" w:hAnsi="Times New Roman;Times;serif"/>
          <w:b/>
          <w:sz w:val="18"/>
        </w:rPr>
        <w:t>in</w:t>
      </w:r>
      <w:r>
        <w:rPr>
          <w:rFonts w:ascii="Times New Roman;Times;serif" w:hAnsi="Times New Roman;Times;serif"/>
          <w:sz w:val="18"/>
        </w:rPr>
        <w:t xml:space="preserve"> </w:t>
      </w:r>
      <w:r>
        <w:rPr>
          <w:rFonts w:ascii="Times New Roman;Times;serif" w:hAnsi="Times New Roman;Times;serif"/>
          <w:b/>
          <w:sz w:val="18"/>
        </w:rPr>
        <w:t>its</w:t>
      </w:r>
      <w:r>
        <w:rPr>
          <w:rFonts w:ascii="Times New Roman;Times;serif" w:hAnsi="Times New Roman;Times;serif"/>
          <w:sz w:val="18"/>
        </w:rPr>
        <w:t xml:space="preserve"> </w:t>
      </w:r>
      <w:r>
        <w:rPr>
          <w:rFonts w:ascii="Times New Roman;Times;serif" w:hAnsi="Times New Roman;Times;serif"/>
          <w:b/>
          <w:sz w:val="18"/>
        </w:rPr>
        <w:t>Charter</w:t>
      </w:r>
      <w:r>
        <w:rPr>
          <w:rFonts w:ascii="Times New Roman;Times;serif" w:hAnsi="Times New Roman;Times;serif"/>
          <w:sz w:val="18"/>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ntQzAaHgrUCvkDrQA2AiPw_4_1"/>
      <w:bookmarkStart w:id="4" w:name="Tc_qT8puqo2-kq5_fo-LkXJig_4_0"/>
      <w:bookmarkStart w:id="5" w:name="Tc_HbRHTXJEqUy5gcluycAYwQ_3_0"/>
      <w:bookmarkStart w:id="6" w:name="Tc_nwkmTq39PUWORW3OMdbvwQ_2_1"/>
      <w:bookmarkStart w:id="7" w:name="Tc_edqMn1xTyUaiCouIoeuA6Q_2_0"/>
      <w:bookmarkStart w:id="8" w:name="Tc_CZrhIAIjlUWGJqDyVWlUww_1_1"/>
      <w:bookmarkStart w:id="9" w:name="Tc_Yz70gV4FN0-ni4gbWDTrdg_1_0"/>
      <w:bookmarkStart w:id="10" w:name="_cd696671_a83b_4c02_a848_2841a3a828f6"/>
      <w:bookmarkStart w:id="11" w:name="Tc_ntQzAaHgrUCvkDrQA2AiPw_4_1"/>
      <w:bookmarkStart w:id="12" w:name="Tc_qT8puqo2-kq5_fo-LkXJig_4_0"/>
      <w:bookmarkStart w:id="13" w:name="Tc_HbRHTXJEqUy5gcluycAYwQ_3_0"/>
      <w:bookmarkStart w:id="14" w:name="Tc_nwkmTq39PUWORW3OMdbvwQ_2_1"/>
      <w:bookmarkStart w:id="15" w:name="Tc_edqMn1xTyUaiCouIoeuA6Q_2_0"/>
      <w:bookmarkStart w:id="16" w:name="Tc_CZrhIAIjlUWGJqDyVWlUww_1_1"/>
      <w:bookmarkStart w:id="17" w:name="Tc_Yz70gV4FN0-ni4gbWDTrdg_1_0"/>
      <w:bookmarkStart w:id="18" w:name="_cd696671_a83b_4c02_a848_2841a3a828f6"/>
      <w:bookmarkEnd w:id="11"/>
      <w:bookmarkEnd w:id="12"/>
      <w:bookmarkEnd w:id="13"/>
      <w:bookmarkEnd w:id="14"/>
      <w:bookmarkEnd w:id="15"/>
      <w:bookmarkEnd w:id="16"/>
      <w:bookmarkEnd w:id="17"/>
      <w:bookmarkEnd w:id="18"/>
    </w:p>
    <w:tbl>
      <w:tblPr>
        <w:tblW w:w="5177" w:type="dxa"/>
        <w:jc w:val="left"/>
        <w:tblInd w:w="0" w:type="dxa"/>
        <w:tblCellMar>
          <w:top w:w="0" w:type="dxa"/>
          <w:left w:w="0" w:type="dxa"/>
          <w:bottom w:w="0" w:type="dxa"/>
          <w:right w:w="0" w:type="dxa"/>
        </w:tblCellMar>
      </w:tblPr>
      <w:tblGrid>
        <w:gridCol w:w="3616"/>
        <w:gridCol w:w="1561"/>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shd w:fill="auto" w:val="clear"/>
            <w:vAlign w:val="center"/>
          </w:tcPr>
          <w:p>
            <w:pPr>
              <w:pStyle w:val="TableContents"/>
              <w:spacing w:before="0" w:after="283"/>
              <w:ind w:left="0" w:right="0" w:hanging="0"/>
              <w:rPr>
                <w:sz w:val="4"/>
                <w:szCs w:val="4"/>
              </w:rPr>
            </w:pPr>
            <w:r>
              <w:rPr>
                <w:sz w:val="4"/>
                <w:szCs w:val="4"/>
              </w:rPr>
            </w:r>
          </w:p>
        </w:tc>
      </w:tr>
      <w:tr>
        <w:trPr/>
        <w:tc>
          <w:tcPr>
            <w:tcW w:w="36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England</w:t>
            </w:r>
            <w:r>
              <w:rPr>
                <w:rFonts w:ascii="Times New Roman;Times;serif" w:hAnsi="Times New Roman;Times;serif"/>
                <w:sz w:val="20"/>
              </w:rPr>
              <w:t xml:space="preserve"> </w:t>
            </w:r>
            <w:r>
              <w:rPr>
                <w:rFonts w:ascii="Times New Roman;Times;serif" w:hAnsi="Times New Roman;Times;serif"/>
                <w:b/>
                <w:sz w:val="18"/>
              </w:rPr>
              <w:t>and</w:t>
            </w:r>
            <w:r>
              <w:rPr>
                <w:rFonts w:ascii="Times New Roman;Times;serif" w:hAnsi="Times New Roman;Times;serif"/>
                <w:sz w:val="20"/>
              </w:rPr>
              <w:t xml:space="preserve"> </w:t>
            </w:r>
            <w:r>
              <w:rPr>
                <w:rFonts w:ascii="Times New Roman;Times;serif" w:hAnsi="Times New Roman;Times;serif"/>
                <w:b/>
                <w:sz w:val="18"/>
              </w:rPr>
              <w:t>Wales</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b/>
                <w:sz w:val="18"/>
              </w:rPr>
              <w:t>Not</w:t>
            </w:r>
            <w:r>
              <w:rPr>
                <w:rFonts w:ascii="Times New Roman;Times;serif" w:hAnsi="Times New Roman;Times;serif"/>
                <w:sz w:val="18"/>
              </w:rPr>
              <w:t xml:space="preserve"> </w:t>
            </w:r>
            <w:r>
              <w:rPr>
                <w:rFonts w:ascii="Times New Roman;Times;serif" w:hAnsi="Times New Roman;Times;serif"/>
                <w:b/>
                <w:sz w:val="18"/>
              </w:rPr>
              <w:t>Applicable</w:t>
            </w:r>
          </w:p>
        </w:tc>
      </w:tr>
      <w:tr>
        <w:trPr/>
        <w:tc>
          <w:tcPr>
            <w:tcW w:w="36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State</w:t>
            </w:r>
            <w:r>
              <w:rPr>
                <w:rFonts w:ascii="Times New Roman;Times;serif" w:hAnsi="Times New Roman;Times;serif"/>
                <w:sz w:val="18"/>
              </w:rPr>
              <w:t xml:space="preserve"> </w:t>
            </w:r>
            <w:r>
              <w:rPr>
                <w:rFonts w:ascii="Times New Roman;Times;serif" w:hAnsi="Times New Roman;Times;serif"/>
                <w:b/>
                <w:sz w:val="18"/>
              </w:rPr>
              <w:t>or</w:t>
            </w:r>
            <w:r>
              <w:rPr>
                <w:rFonts w:ascii="Times New Roman;Times;serif" w:hAnsi="Times New Roman;Times;serif"/>
                <w:sz w:val="18"/>
              </w:rPr>
              <w:t xml:space="preserve"> </w:t>
            </w:r>
            <w:r>
              <w:rPr>
                <w:rFonts w:ascii="Times New Roman;Times;serif" w:hAnsi="Times New Roman;Times;serif"/>
                <w:b/>
                <w:sz w:val="18"/>
              </w:rPr>
              <w:t>other</w:t>
            </w:r>
            <w:r>
              <w:rPr>
                <w:rFonts w:ascii="Times New Roman;Times;serif" w:hAnsi="Times New Roman;Times;serif"/>
                <w:sz w:val="18"/>
              </w:rPr>
              <w:t xml:space="preserve"> </w:t>
            </w:r>
            <w:r>
              <w:rPr>
                <w:rFonts w:ascii="Times New Roman;Times;serif" w:hAnsi="Times New Roman;Times;serif"/>
                <w:b/>
                <w:sz w:val="18"/>
              </w:rPr>
              <w:t>jurisdiction</w:t>
            </w:r>
            <w:r>
              <w:rPr>
                <w:rFonts w:ascii="Times New Roman;Times;serif" w:hAnsi="Times New Roman;Times;serif"/>
                <w:sz w:val="18"/>
              </w:rPr>
              <w:t xml:space="preserve"> </w:t>
            </w:r>
            <w:r>
              <w:rPr>
                <w:rFonts w:ascii="Times New Roman;Times;serif" w:hAnsi="Times New Roman;Times;serif"/>
                <w:b/>
                <w:sz w:val="18"/>
              </w:rPr>
              <w:t>of</w:t>
              <w:br/>
              <w:t>incorporation</w:t>
            </w:r>
            <w:r>
              <w:rPr>
                <w:rFonts w:ascii="Times New Roman;Times;serif" w:hAnsi="Times New Roman;Times;serif"/>
                <w:sz w:val="18"/>
              </w:rPr>
              <w:t xml:space="preserve"> </w:t>
            </w:r>
            <w:r>
              <w:rPr>
                <w:rFonts w:ascii="Times New Roman;Times;serif" w:hAnsi="Times New Roman;Times;serif"/>
                <w:b/>
                <w:sz w:val="18"/>
              </w:rPr>
              <w:t>or</w:t>
            </w:r>
            <w:r>
              <w:rPr>
                <w:rFonts w:ascii="Times New Roman;Times;serif" w:hAnsi="Times New Roman;Times;serif"/>
                <w:sz w:val="18"/>
              </w:rPr>
              <w:t xml:space="preserve"> </w:t>
            </w:r>
            <w:r>
              <w:rPr>
                <w:rFonts w:ascii="Times New Roman;Times;serif" w:hAnsi="Times New Roman;Times;serif"/>
                <w:b/>
                <w:sz w:val="18"/>
              </w:rPr>
              <w:t>organization</w:t>
            </w:r>
            <w:r>
              <w:rPr>
                <w:rFonts w:ascii="Times New Roman;Times;serif" w:hAnsi="Times New Roman;Times;serif"/>
                <w:sz w:val="18"/>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I</w:t>
            </w:r>
            <w:r>
              <w:rPr>
                <w:rFonts w:ascii="Times New Roman;Times;serif" w:hAnsi="Times New Roman;Times;serif"/>
                <w:sz w:val="18"/>
              </w:rPr>
              <w:t>.</w:t>
            </w:r>
            <w:r>
              <w:rPr>
                <w:rFonts w:ascii="Times New Roman;Times;serif" w:hAnsi="Times New Roman;Times;serif"/>
                <w:b/>
                <w:sz w:val="18"/>
              </w:rPr>
              <w:t>R</w:t>
            </w:r>
            <w:r>
              <w:rPr>
                <w:rFonts w:ascii="Times New Roman;Times;serif" w:hAnsi="Times New Roman;Times;serif"/>
                <w:sz w:val="18"/>
              </w:rPr>
              <w:t>.</w:t>
            </w:r>
            <w:r>
              <w:rPr>
                <w:rFonts w:ascii="Times New Roman;Times;serif" w:hAnsi="Times New Roman;Times;serif"/>
                <w:b/>
                <w:sz w:val="18"/>
              </w:rPr>
              <w:t>S</w:t>
            </w:r>
            <w:r>
              <w:rPr>
                <w:rFonts w:ascii="Times New Roman;Times;serif" w:hAnsi="Times New Roman;Times;serif"/>
                <w:sz w:val="18"/>
              </w:rPr>
              <w:t xml:space="preserve">. </w:t>
            </w:r>
            <w:r>
              <w:rPr>
                <w:rFonts w:ascii="Times New Roman;Times;serif" w:hAnsi="Times New Roman;Times;serif"/>
                <w:b/>
                <w:sz w:val="18"/>
              </w:rPr>
              <w:t>Employer</w:t>
              <w:br/>
              <w:t>Identification</w:t>
            </w:r>
            <w:r>
              <w:rPr>
                <w:rFonts w:ascii="Times New Roman;Times;serif" w:hAnsi="Times New Roman;Times;serif"/>
                <w:sz w:val="18"/>
              </w:rPr>
              <w:t xml:space="preserve"> </w:t>
            </w:r>
            <w:r>
              <w:rPr>
                <w:rFonts w:ascii="Times New Roman;Times;serif" w:hAnsi="Times New Roman;Times;serif"/>
                <w:b/>
                <w:sz w:val="18"/>
              </w:rPr>
              <w:t>No</w:t>
            </w:r>
            <w:r>
              <w:rPr>
                <w:rFonts w:ascii="Times New Roman;Times;serif" w:hAnsi="Times New Roman;Times;serif"/>
                <w:sz w:val="18"/>
              </w:rPr>
              <w:t>.)</w:t>
            </w:r>
          </w:p>
        </w:tc>
      </w:tr>
      <w:tr>
        <w:trPr/>
        <w:tc>
          <w:tcPr>
            <w:tcW w:w="361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Unit 6-10, Zeus Building Rutherford Avenue,</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Harwell, Didcot, United Kingdom</w:t>
            </w:r>
            <w:r>
              <w:rPr>
                <w:rFonts w:ascii="Times New Roman;Times;serif" w:hAnsi="Times New Roman;Times;serif"/>
                <w:sz w:val="20"/>
              </w:rPr>
              <w:t xml:space="preserve"> </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OX11 0DF</w:t>
            </w:r>
          </w:p>
        </w:tc>
      </w:tr>
      <w:tr>
        <w:trPr/>
        <w:tc>
          <w:tcPr>
            <w:tcW w:w="361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Address</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18"/>
              </w:rPr>
              <w:t xml:space="preserve"> </w:t>
            </w:r>
            <w:r>
              <w:rPr>
                <w:rFonts w:ascii="Times New Roman;Times;serif" w:hAnsi="Times New Roman;Times;serif"/>
                <w:b/>
                <w:sz w:val="18"/>
              </w:rPr>
              <w:t>principal</w:t>
            </w:r>
            <w:r>
              <w:rPr>
                <w:rFonts w:ascii="Times New Roman;Times;serif" w:hAnsi="Times New Roman;Times;serif"/>
                <w:sz w:val="18"/>
              </w:rPr>
              <w:t xml:space="preserve"> </w:t>
            </w:r>
            <w:r>
              <w:rPr>
                <w:rFonts w:ascii="Times New Roman;Times;serif" w:hAnsi="Times New Roman;Times;serif"/>
                <w:b/>
                <w:sz w:val="18"/>
              </w:rPr>
              <w:t>executive</w:t>
            </w:r>
            <w:r>
              <w:rPr>
                <w:rFonts w:ascii="Times New Roman;Times;serif" w:hAnsi="Times New Roman;Times;serif"/>
                <w:sz w:val="18"/>
              </w:rPr>
              <w:t xml:space="preserve"> </w:t>
            </w:r>
            <w:r>
              <w:rPr>
                <w:rFonts w:ascii="Times New Roman;Times;serif" w:hAnsi="Times New Roman;Times;serif"/>
                <w:b/>
                <w:sz w:val="18"/>
              </w:rPr>
              <w:t>offices</w:t>
            </w:r>
            <w:r>
              <w:rPr>
                <w:rFonts w:ascii="Times New Roman;Times;serif" w:hAnsi="Times New Roman;Times;serif"/>
                <w:sz w:val="18"/>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w:t>
            </w:r>
            <w:r>
              <w:rPr>
                <w:rFonts w:ascii="Times New Roman;Times;serif" w:hAnsi="Times New Roman;Times;serif"/>
                <w:b/>
                <w:sz w:val="18"/>
              </w:rPr>
              <w:t>Zip</w:t>
            </w:r>
            <w:r>
              <w:rPr>
                <w:rFonts w:ascii="Times New Roman;Times;serif" w:hAnsi="Times New Roman;Times;serif"/>
                <w:sz w:val="18"/>
              </w:rPr>
              <w:t xml:space="preserve"> </w:t>
            </w:r>
            <w:r>
              <w:rPr>
                <w:rFonts w:ascii="Times New Roman;Times;serif" w:hAnsi="Times New Roman;Times;serif"/>
                <w:b/>
                <w:sz w:val="18"/>
              </w:rPr>
              <w:t>Code</w:t>
            </w:r>
            <w:r>
              <w:rPr>
                <w:rFonts w:ascii="Times New Roman;Times;serif" w:hAnsi="Times New Roman;Times;serif"/>
                <w:sz w:val="18"/>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8"/>
        </w:rPr>
        <w:t>Registrant</w:t>
      </w:r>
      <w:r>
        <w:rPr>
          <w:rFonts w:ascii="Times New Roman;Times;serif" w:hAnsi="Times New Roman;Times;serif"/>
          <w:sz w:val="20"/>
        </w:rPr>
        <w:t>’</w:t>
      </w:r>
      <w:r>
        <w:rPr>
          <w:rFonts w:ascii="Times New Roman;Times;serif" w:hAnsi="Times New Roman;Times;serif"/>
          <w:b/>
          <w:sz w:val="18"/>
        </w:rPr>
        <w:t>s</w:t>
      </w:r>
      <w:r>
        <w:rPr>
          <w:rFonts w:ascii="Times New Roman;Times;serif" w:hAnsi="Times New Roman;Times;serif"/>
          <w:sz w:val="20"/>
        </w:rPr>
        <w:t xml:space="preserve"> </w:t>
      </w:r>
      <w:r>
        <w:rPr>
          <w:rFonts w:ascii="Times New Roman;Times;serif" w:hAnsi="Times New Roman;Times;serif"/>
          <w:b/>
          <w:sz w:val="18"/>
        </w:rPr>
        <w:t>telephone</w:t>
      </w:r>
      <w:r>
        <w:rPr>
          <w:rFonts w:ascii="Times New Roman;Times;serif" w:hAnsi="Times New Roman;Times;serif"/>
          <w:sz w:val="20"/>
        </w:rPr>
        <w:t xml:space="preserve"> </w:t>
      </w:r>
      <w:r>
        <w:rPr>
          <w:rFonts w:ascii="Times New Roman;Times;serif" w:hAnsi="Times New Roman;Times;serif"/>
          <w:b/>
          <w:sz w:val="18"/>
        </w:rPr>
        <w:t>number</w:t>
      </w:r>
      <w:r>
        <w:rPr>
          <w:rFonts w:ascii="Times New Roman;Times;serif" w:hAnsi="Times New Roman;Times;serif"/>
          <w:sz w:val="18"/>
        </w:rPr>
        <w:t xml:space="preserve">, </w:t>
      </w:r>
      <w:r>
        <w:rPr>
          <w:rFonts w:ascii="Times New Roman;Times;serif" w:hAnsi="Times New Roman;Times;serif"/>
          <w:b/>
          <w:sz w:val="18"/>
        </w:rPr>
        <w:t>including</w:t>
      </w:r>
      <w:r>
        <w:rPr>
          <w:rFonts w:ascii="Times New Roman;Times;serif" w:hAnsi="Times New Roman;Times;serif"/>
          <w:sz w:val="20"/>
        </w:rPr>
        <w:t xml:space="preserve"> </w:t>
      </w:r>
      <w:r>
        <w:rPr>
          <w:rFonts w:ascii="Times New Roman;Times;serif" w:hAnsi="Times New Roman;Times;serif"/>
          <w:b/>
          <w:sz w:val="18"/>
        </w:rPr>
        <w:t>area</w:t>
      </w:r>
      <w:r>
        <w:rPr>
          <w:rFonts w:ascii="Times New Roman;Times;serif" w:hAnsi="Times New Roman;Times;serif"/>
          <w:sz w:val="20"/>
        </w:rPr>
        <w:t xml:space="preserve"> </w:t>
      </w:r>
      <w:r>
        <w:rPr>
          <w:rFonts w:ascii="Times New Roman;Times;serif" w:hAnsi="Times New Roman;Times;serif"/>
          <w:b/>
          <w:sz w:val="18"/>
        </w:rPr>
        <w:t>code</w:t>
      </w:r>
      <w:r>
        <w:rPr>
          <w:rFonts w:ascii="Times New Roman;Times;serif" w:hAnsi="Times New Roman;Times;serif"/>
          <w:sz w:val="18"/>
        </w:rPr>
        <w:t xml:space="preserve">: </w:t>
      </w:r>
      <w:r>
        <w:rPr>
          <w:rFonts w:ascii="Times New Roman;Times;serif" w:hAnsi="Times New Roman;Times;serif"/>
          <w:b/>
          <w:sz w:val="18"/>
        </w:rPr>
        <w:t>+44</w:t>
      </w:r>
      <w:r>
        <w:rPr>
          <w:rFonts w:ascii="Times New Roman;Times;serif" w:hAnsi="Times New Roman;Times;serif"/>
          <w:sz w:val="20"/>
        </w:rPr>
        <w:t xml:space="preserve"> </w:t>
      </w:r>
      <w:r>
        <w:rPr>
          <w:rFonts w:ascii="Times New Roman;Times;serif" w:hAnsi="Times New Roman;Times;serif"/>
          <w:b/>
          <w:sz w:val="18"/>
        </w:rPr>
        <w:t>(0)</w:t>
      </w:r>
      <w:r>
        <w:rPr>
          <w:rFonts w:ascii="Times New Roman;Times;serif" w:hAnsi="Times New Roman;Times;serif"/>
          <w:sz w:val="20"/>
        </w:rPr>
        <w:t xml:space="preserve"> </w:t>
      </w:r>
      <w:r>
        <w:rPr>
          <w:rFonts w:ascii="Times New Roman;Times;serif" w:hAnsi="Times New Roman;Times;serif"/>
          <w:b/>
          <w:sz w:val="18"/>
        </w:rPr>
        <w:t>1865 818 808</w:t>
      </w:r>
    </w:p>
    <w:p>
      <w:pPr>
        <w:pStyle w:val="TextBody"/>
        <w:spacing w:before="0" w:after="0"/>
        <w:ind w:left="0" w:right="0" w:hanging="0"/>
        <w:jc w:val="center"/>
        <w:rPr/>
      </w:pPr>
      <w:r>
        <w:rPr/>
        <w:t>​</w:t>
      </w:r>
    </w:p>
    <w:p>
      <w:pPr>
        <w:pStyle w:val="TextBody"/>
        <w:pBdr>
          <w:bottom w:val="single" w:sz="2" w:space="1" w:color="000000"/>
        </w:pBdr>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b/>
          <w:sz w:val="18"/>
        </w:rPr>
        <w:t>Securities</w:t>
      </w:r>
      <w:r>
        <w:rPr>
          <w:rFonts w:ascii="Times New Roman;Times;serif" w:hAnsi="Times New Roman;Times;serif"/>
          <w:sz w:val="18"/>
        </w:rPr>
        <w:t xml:space="preserve"> </w:t>
      </w:r>
      <w:r>
        <w:rPr>
          <w:rFonts w:ascii="Times New Roman;Times;serif" w:hAnsi="Times New Roman;Times;serif"/>
          <w:b/>
          <w:sz w:val="18"/>
        </w:rPr>
        <w:t>registered</w:t>
      </w:r>
      <w:r>
        <w:rPr>
          <w:rFonts w:ascii="Times New Roman;Times;serif" w:hAnsi="Times New Roman;Times;serif"/>
          <w:sz w:val="18"/>
        </w:rPr>
        <w:t xml:space="preserve"> </w:t>
      </w:r>
      <w:r>
        <w:rPr>
          <w:rFonts w:ascii="Times New Roman;Times;serif" w:hAnsi="Times New Roman;Times;serif"/>
          <w:b/>
          <w:sz w:val="18"/>
        </w:rPr>
        <w:t>pursuant</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xml:space="preserve"> </w:t>
      </w:r>
      <w:r>
        <w:rPr>
          <w:rFonts w:ascii="Times New Roman;Times;serif" w:hAnsi="Times New Roman;Times;serif"/>
          <w:b/>
          <w:sz w:val="18"/>
        </w:rPr>
        <w:t>Section</w:t>
      </w:r>
      <w:r>
        <w:rPr>
          <w:rFonts w:ascii="Times New Roman;Times;serif" w:hAnsi="Times New Roman;Times;serif"/>
          <w:sz w:val="18"/>
        </w:rPr>
        <w:t xml:space="preserve"> </w:t>
      </w:r>
      <w:r>
        <w:rPr>
          <w:rFonts w:ascii="Times New Roman;Times;serif" w:hAnsi="Times New Roman;Times;serif"/>
          <w:b/>
          <w:sz w:val="18"/>
        </w:rPr>
        <w:t>12</w:t>
      </w:r>
      <w:r>
        <w:rPr>
          <w:rFonts w:ascii="Times New Roman;Times;serif" w:hAnsi="Times New Roman;Times;serif"/>
          <w:sz w:val="18"/>
        </w:rPr>
        <w:t>(</w:t>
      </w:r>
      <w:r>
        <w:rPr>
          <w:rFonts w:ascii="Times New Roman;Times;serif" w:hAnsi="Times New Roman;Times;serif"/>
          <w:b/>
          <w:sz w:val="18"/>
        </w:rPr>
        <w:t>b</w:t>
      </w:r>
      <w:r>
        <w:rPr>
          <w:rFonts w:ascii="Times New Roman;Times;serif" w:hAnsi="Times New Roman;Times;serif"/>
          <w:sz w:val="18"/>
        </w:rPr>
        <w:t xml:space="preserve">) </w:t>
      </w:r>
      <w:r>
        <w:rPr>
          <w:rFonts w:ascii="Times New Roman;Times;serif" w:hAnsi="Times New Roman;Times;serif"/>
          <w:b/>
          <w:sz w:val="18"/>
        </w:rPr>
        <w:t>of</w:t>
      </w:r>
      <w:r>
        <w:rPr>
          <w:rFonts w:ascii="Times New Roman;Times;serif" w:hAnsi="Times New Roman;Times;serif"/>
          <w:sz w:val="18"/>
        </w:rPr>
        <w:t xml:space="preserve"> </w:t>
      </w:r>
      <w:r>
        <w:rPr>
          <w:rFonts w:ascii="Times New Roman;Times;serif" w:hAnsi="Times New Roman;Times;serif"/>
          <w:b/>
          <w:sz w:val="18"/>
        </w:rPr>
        <w:t>the</w:t>
      </w:r>
      <w:r>
        <w:rPr>
          <w:rFonts w:ascii="Times New Roman;Times;serif" w:hAnsi="Times New Roman;Times;serif"/>
          <w:sz w:val="18"/>
        </w:rPr>
        <w:t xml:space="preserve"> </w:t>
      </w:r>
      <w:r>
        <w:rPr>
          <w:rFonts w:ascii="Times New Roman;Times;serif" w:hAnsi="Times New Roman;Times;serif"/>
          <w:b/>
          <w:sz w:val="18"/>
        </w:rPr>
        <w:t>Act</w:t>
      </w:r>
      <w:r>
        <w:rPr>
          <w:rFonts w:ascii="Times New Roman;Times;serif" w:hAnsi="Times New Roman;Times;serif"/>
          <w:sz w:val="18"/>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9" w:name="Tc_ehiGSjTLWkO8pEuwhYNZAQ_3_0"/>
      <w:bookmarkStart w:id="20" w:name="Tc_yX3O8iD6KUChCLW0G7HDmQ_2_2"/>
      <w:bookmarkStart w:id="21" w:name="Tc_xhkQlw573kyuEPcoOgNUJg_2_0"/>
      <w:bookmarkStart w:id="22" w:name="Tc_w67BIKCn1UCoH0b0vQKKkg_1_2"/>
      <w:bookmarkStart w:id="23" w:name="Tc_fxf96A9ci0itFIpH9vn-dQ_1_1"/>
      <w:bookmarkStart w:id="24" w:name="Tc_WckJCorVckqBFZaifCkAwQ_1_0"/>
      <w:bookmarkStart w:id="25" w:name="_5ce94054_46df_4e7e_8864_112221010551"/>
      <w:bookmarkStart w:id="26" w:name="Tc_ehiGSjTLWkO8pEuwhYNZAQ_3_0"/>
      <w:bookmarkStart w:id="27" w:name="Tc_yX3O8iD6KUChCLW0G7HDmQ_2_2"/>
      <w:bookmarkStart w:id="28" w:name="Tc_xhkQlw573kyuEPcoOgNUJg_2_0"/>
      <w:bookmarkStart w:id="29" w:name="Tc_w67BIKCn1UCoH0b0vQKKkg_1_2"/>
      <w:bookmarkStart w:id="30" w:name="Tc_fxf96A9ci0itFIpH9vn-dQ_1_1"/>
      <w:bookmarkStart w:id="31" w:name="Tc_WckJCorVckqBFZaifCkAwQ_1_0"/>
      <w:bookmarkStart w:id="32" w:name="_5ce94054_46df_4e7e_8864_112221010551"/>
      <w:bookmarkEnd w:id="26"/>
      <w:bookmarkEnd w:id="27"/>
      <w:bookmarkEnd w:id="28"/>
      <w:bookmarkEnd w:id="29"/>
      <w:bookmarkEnd w:id="30"/>
      <w:bookmarkEnd w:id="31"/>
      <w:bookmarkEnd w:id="32"/>
    </w:p>
    <w:tbl>
      <w:tblPr>
        <w:tblW w:w="8748" w:type="dxa"/>
        <w:jc w:val="left"/>
        <w:tblInd w:w="0" w:type="dxa"/>
        <w:tblCellMar>
          <w:top w:w="0" w:type="dxa"/>
          <w:left w:w="0" w:type="dxa"/>
          <w:bottom w:w="0" w:type="dxa"/>
          <w:right w:w="0" w:type="dxa"/>
        </w:tblCellMar>
      </w:tblPr>
      <w:tblGrid>
        <w:gridCol w:w="4021"/>
        <w:gridCol w:w="1456"/>
        <w:gridCol w:w="3271"/>
      </w:tblGrid>
      <w:tr>
        <w:trPr/>
        <w:tc>
          <w:tcPr>
            <w:tcW w:w="4021"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283"/>
              <w:ind w:left="0" w:right="0" w:hanging="0"/>
              <w:rPr>
                <w:sz w:val="4"/>
                <w:szCs w:val="4"/>
              </w:rPr>
            </w:pPr>
            <w:r>
              <w:rPr>
                <w:sz w:val="4"/>
                <w:szCs w:val="4"/>
              </w:rPr>
            </w:r>
          </w:p>
        </w:tc>
        <w:tc>
          <w:tcPr>
            <w:tcW w:w="3271" w:type="dxa"/>
            <w:tcBorders/>
            <w:shd w:fill="auto" w:val="clear"/>
            <w:vAlign w:val="center"/>
          </w:tcPr>
          <w:p>
            <w:pPr>
              <w:pStyle w:val="TableContents"/>
              <w:spacing w:before="0" w:after="283"/>
              <w:ind w:left="0" w:right="0" w:hanging="0"/>
              <w:rPr>
                <w:sz w:val="4"/>
                <w:szCs w:val="4"/>
              </w:rPr>
            </w:pPr>
            <w:r>
              <w:rPr>
                <w:sz w:val="4"/>
                <w:szCs w:val="4"/>
              </w:rPr>
            </w:r>
          </w:p>
        </w:tc>
      </w:tr>
      <w:tr>
        <w:trPr/>
        <w:tc>
          <w:tcPr>
            <w:tcW w:w="402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402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American Depositary Shares*</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VACC</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Global Market</w:t>
            </w:r>
          </w:p>
        </w:tc>
      </w:tr>
      <w:tr>
        <w:trPr/>
        <w:tc>
          <w:tcPr>
            <w:tcW w:w="402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Ordinary shares, nominal value £0.000025</w:t>
            </w:r>
            <w:r>
              <w:rPr>
                <w:rFonts w:ascii="Times New Roman;Times;serif" w:hAnsi="Times New Roman;Times;serif"/>
                <w:sz w:val="20"/>
              </w:rPr>
              <w:t xml:space="preserve"> </w:t>
            </w:r>
            <w:r>
              <w:rPr>
                <w:rFonts w:ascii="Times New Roman;Times;serif" w:hAnsi="Times New Roman;Times;serif"/>
                <w:sz w:val="18"/>
              </w:rPr>
              <w:t>per share**</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r>
              <w:rPr/>
              <w:t>​</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60"/>
        <w:ind w:left="0" w:right="0" w:hanging="0"/>
        <w:rPr>
          <w:rFonts w:ascii="Times New Roman;Times;serif" w:hAnsi="Times New Roman;Times;serif"/>
          <w:sz w:val="18"/>
        </w:rPr>
      </w:pPr>
      <w:r>
        <w:rPr>
          <w:rFonts w:ascii="Times New Roman;Times;serif" w:hAnsi="Times New Roman;Times;serif"/>
          <w:sz w:val="18"/>
        </w:rPr>
        <w:t xml:space="preserve">*American Depositary Shares may be evidenced by American Depositary Receipts. Each American Depositary Share represents one (1) ordinary share. </w:t>
      </w:r>
    </w:p>
    <w:p>
      <w:pPr>
        <w:pStyle w:val="TextBody"/>
        <w:spacing w:before="0" w:after="60"/>
        <w:ind w:left="0" w:right="0" w:hanging="0"/>
        <w:rPr>
          <w:rFonts w:ascii="Times New Roman;Times;serif" w:hAnsi="Times New Roman;Times;serif"/>
          <w:sz w:val="18"/>
        </w:rPr>
      </w:pPr>
      <w:r>
        <w:rPr>
          <w:rFonts w:ascii="Times New Roman;Times;serif" w:hAnsi="Times New Roman;Times;serif"/>
          <w:sz w:val="18"/>
        </w:rPr>
        <w:t xml:space="preserve">**Not for trading, but only in connection with the listing of American Depositary Shares on The Nasdaq Global Market. </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87" w:type="dxa"/>
        <w:jc w:val="left"/>
        <w:tblInd w:w="0" w:type="dxa"/>
        <w:tblCellMar>
          <w:top w:w="0" w:type="dxa"/>
          <w:left w:w="0" w:type="dxa"/>
          <w:bottom w:w="0" w:type="dxa"/>
          <w:right w:w="0" w:type="dxa"/>
        </w:tblCellMar>
      </w:tblPr>
      <w:tblGrid>
        <w:gridCol w:w="1876"/>
        <w:gridCol w:w="2311"/>
      </w:tblGrid>
      <w:tr>
        <w:trPr/>
        <w:tc>
          <w:tcPr>
            <w:tcW w:w="187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283"/>
              <w:ind w:left="0" w:right="0" w:hanging="0"/>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 ☐</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As of May 5, 2023, the registrant had 38,369,838 ordinary shares, nominal value £0.000025 per share, outstanding.</w:t>
      </w:r>
    </w:p>
    <w:p>
      <w:pPr>
        <w:pStyle w:val="TextBody"/>
        <w:spacing w:before="0" w:after="0"/>
        <w:ind w:left="0" w:right="0" w:hanging="0"/>
        <w:rPr/>
      </w:pPr>
      <w:r>
        <w:rPr/>
        <w:t>​</w:t>
      </w:r>
    </w:p>
    <w:p>
      <w:pPr>
        <w:pStyle w:val="TextBody"/>
        <w:pBdr>
          <w:top w:val="single" w:sz="2"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3" w:name="TOC"/>
      <w:bookmarkStart w:id="34" w:name="TableofContents_120091"/>
      <w:bookmarkStart w:id="35" w:name="_868ee145_919b_432d_9317_daeb0d4c7fcf"/>
      <w:bookmarkEnd w:id="33"/>
      <w:bookmarkEnd w:id="34"/>
      <w:bookmarkEnd w:id="35"/>
      <w:r>
        <w:rPr>
          <w:rFonts w:ascii="Times New Roman;Times;serif" w:hAnsi="Times New Roman;Times;serif"/>
          <w:b/>
          <w:sz w:val="20"/>
        </w:rPr>
        <w:t>Table of Contents</w:t>
      </w:r>
    </w:p>
    <w:p>
      <w:pPr>
        <w:pStyle w:val="TextBody"/>
        <w:spacing w:before="0" w:after="0"/>
        <w:ind w:left="0" w:right="0" w:hanging="0"/>
        <w:rPr/>
      </w:pPr>
      <w:r>
        <w:rPr/>
        <w:t>​</w:t>
      </w:r>
    </w:p>
    <w:tbl>
      <w:tblPr>
        <w:tblW w:w="8703" w:type="dxa"/>
        <w:jc w:val="left"/>
        <w:tblInd w:w="0" w:type="dxa"/>
        <w:tblCellMar>
          <w:top w:w="0" w:type="dxa"/>
          <w:left w:w="0" w:type="dxa"/>
          <w:bottom w:w="0" w:type="dxa"/>
          <w:right w:w="0" w:type="dxa"/>
        </w:tblCellMar>
      </w:tblPr>
      <w:tblGrid>
        <w:gridCol w:w="766"/>
        <w:gridCol w:w="7366"/>
        <w:gridCol w:w="571"/>
      </w:tblGrid>
      <w:tr>
        <w:trPr/>
        <w:tc>
          <w:tcPr>
            <w:tcW w:w="8132" w:type="dxa"/>
            <w:gridSpan w:val="2"/>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32" w:type="dxa"/>
            <w:gridSpan w:val="2"/>
            <w:tcBorders/>
            <w:shd w:fill="auto" w:val="clear"/>
            <w:vAlign w:val="center"/>
          </w:tcPr>
          <w:p>
            <w:pPr>
              <w:pStyle w:val="TableContents"/>
              <w:spacing w:before="0" w:after="0"/>
              <w:ind w:left="0" w:right="0" w:hanging="0"/>
              <w:rPr/>
            </w:pPr>
            <w:hyperlink w:anchor="PARTI_654583">
              <w:r>
                <w:rPr>
                  <w:rStyle w:val="InternetLink"/>
                  <w:rFonts w:ascii="Times New Roman;Times;serif" w:hAnsi="Times New Roman;Times;serif"/>
                  <w:b/>
                  <w:i w:val="false"/>
                  <w:caps w:val="false"/>
                  <w:smallCaps w:val="false"/>
                  <w:sz w:val="20"/>
                </w:rPr>
                <w:t>PART I - FINANCIAL INFORMATION</w:t>
              </w:r>
            </w:hyperlink>
          </w:p>
        </w:tc>
        <w:tc>
          <w:tcPr>
            <w:tcW w:w="5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66" w:type="dxa"/>
            <w:tcBorders/>
            <w:shd w:fill="auto" w:val="clear"/>
            <w:vAlign w:val="center"/>
          </w:tcPr>
          <w:p>
            <w:pPr>
              <w:pStyle w:val="TableContents"/>
              <w:spacing w:before="0" w:after="0"/>
              <w:ind w:left="0" w:right="0" w:hanging="0"/>
              <w:rPr/>
            </w:pPr>
            <w:hyperlink w:anchor="Item1FinancialStatements_153571">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before="0" w:after="0"/>
              <w:ind w:left="0" w:right="0" w:hanging="0"/>
              <w:rPr/>
            </w:pPr>
            <w:hyperlink w:anchor="Item1FinancialStatements_153571">
              <w:r>
                <w:rPr>
                  <w:rStyle w:val="InternetLink"/>
                  <w:rFonts w:ascii="Times New Roman;Times;serif" w:hAnsi="Times New Roman;Times;serif"/>
                  <w:b w:val="false"/>
                  <w:i w:val="false"/>
                  <w:caps w:val="false"/>
                  <w:smallCaps w:val="false"/>
                  <w:sz w:val="20"/>
                </w:rPr>
                <w:t>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66" w:type="dxa"/>
            <w:tcBorders/>
            <w:shd w:fill="auto"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66"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66" w:type="dxa"/>
            <w:tcBorders/>
            <w:shd w:fill="auto" w:val="clear"/>
            <w:vAlign w:val="center"/>
          </w:tcPr>
          <w:p>
            <w:pPr>
              <w:pStyle w:val="TableContents"/>
              <w:spacing w:before="0" w:after="0"/>
              <w:ind w:left="0" w:right="0" w:hanging="0"/>
              <w:rPr/>
            </w:pPr>
            <w:hyperlink w:anchor="Item4ControlsandProcedures_768627">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before="0" w:after="0"/>
              <w:ind w:left="0" w:right="0" w:hanging="0"/>
              <w:rPr/>
            </w:pPr>
            <w:hyperlink w:anchor="Item4ControlsandProcedures_768627">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32" w:type="dxa"/>
            <w:gridSpan w:val="2"/>
            <w:tcBorders/>
            <w:shd w:fill="auto" w:val="clear"/>
            <w:vAlign w:val="center"/>
          </w:tcPr>
          <w:p>
            <w:pPr>
              <w:pStyle w:val="TableContents"/>
              <w:spacing w:before="0" w:after="0"/>
              <w:ind w:left="0" w:right="0" w:hanging="0"/>
              <w:rPr/>
            </w:pPr>
            <w:hyperlink w:anchor="PARTIIOTHERINFORMATION_959754">
              <w:r>
                <w:rPr>
                  <w:rStyle w:val="InternetLink"/>
                  <w:rFonts w:ascii="Times New Roman;Times;serif" w:hAnsi="Times New Roman;Times;serif"/>
                  <w:b/>
                  <w:i w:val="false"/>
                  <w:caps w:val="false"/>
                  <w:smallCaps w:val="false"/>
                  <w:sz w:val="20"/>
                </w:rPr>
                <w:t>PART II - OTHER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66" w:type="dxa"/>
            <w:tcBorders/>
            <w:shd w:fill="auto" w:val="clear"/>
            <w:vAlign w:val="center"/>
          </w:tcPr>
          <w:p>
            <w:pPr>
              <w:pStyle w:val="TableContents"/>
              <w:spacing w:before="0" w:after="0"/>
              <w:ind w:left="0" w:right="0" w:hanging="0"/>
              <w:rPr/>
            </w:pPr>
            <w:hyperlink w:anchor="Item1LegalProceedings_995656">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before="0" w:after="0"/>
              <w:ind w:left="0" w:right="0" w:hanging="0"/>
              <w:rPr/>
            </w:pPr>
            <w:hyperlink w:anchor="Item1LegalProceedings_995656">
              <w:r>
                <w:rPr>
                  <w:rStyle w:val="InternetLink"/>
                  <w:rFonts w:ascii="Times New Roman;Times;serif" w:hAnsi="Times New Roman;Times;serif"/>
                  <w:b w:val="false"/>
                  <w:i w:val="false"/>
                  <w:caps w:val="false"/>
                  <w:smallCaps w:val="false"/>
                  <w:sz w:val="20"/>
                </w:rPr>
                <w:t>Legal Proceedings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66" w:type="dxa"/>
            <w:tcBorders/>
            <w:shd w:fill="auto" w:val="clear"/>
            <w:vAlign w:val="center"/>
          </w:tcPr>
          <w:p>
            <w:pPr>
              <w:pStyle w:val="TableContents"/>
              <w:spacing w:before="0" w:after="0"/>
              <w:ind w:left="0" w:right="0" w:hanging="0"/>
              <w:rPr/>
            </w:pPr>
            <w:hyperlink w:anchor="Item1ARiskFactors_790842">
              <w:r>
                <w:rPr>
                  <w:rStyle w:val="InternetLink"/>
                  <w:rFonts w:ascii="Times New Roman;Times;serif" w:hAnsi="Times New Roman;Times;serif"/>
                  <w:b w:val="false"/>
                  <w:i w:val="false"/>
                  <w:caps w:val="false"/>
                  <w:smallCaps w:val="false"/>
                  <w:sz w:val="20"/>
                </w:rPr>
                <w:t>Item 1A</w:t>
              </w:r>
            </w:hyperlink>
          </w:p>
        </w:tc>
        <w:tc>
          <w:tcPr>
            <w:tcW w:w="7366" w:type="dxa"/>
            <w:tcBorders/>
            <w:shd w:fill="auto" w:val="clear"/>
            <w:vAlign w:val="center"/>
          </w:tcPr>
          <w:p>
            <w:pPr>
              <w:pStyle w:val="TableContents"/>
              <w:spacing w:before="0" w:after="0"/>
              <w:ind w:left="0" w:right="0" w:hanging="0"/>
              <w:rPr/>
            </w:pPr>
            <w:hyperlink w:anchor="Item1ARiskFactors_790842">
              <w:r>
                <w:rPr>
                  <w:rStyle w:val="InternetLink"/>
                  <w:rFonts w:ascii="Times New Roman;Times;serif" w:hAnsi="Times New Roman;Times;serif"/>
                  <w:b w:val="false"/>
                  <w:i w:val="false"/>
                  <w:caps w:val="false"/>
                  <w:smallCaps w:val="false"/>
                  <w:sz w:val="20"/>
                </w:rPr>
                <w:t>Risk Factors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66"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66" w:type="dxa"/>
            <w:tcBorders/>
            <w:shd w:fill="auto" w:val="clear"/>
            <w:vAlign w:val="center"/>
          </w:tcPr>
          <w:p>
            <w:pPr>
              <w:pStyle w:val="TableContents"/>
              <w:spacing w:before="0" w:after="0"/>
              <w:ind w:left="0" w:right="0" w:hanging="0"/>
              <w:rPr/>
            </w:pPr>
            <w:hyperlink w:anchor="Item3DefaultsUponSeniorSecurities_525046">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rPr/>
            </w:pPr>
            <w:hyperlink w:anchor="Item3DefaultsUponSeniorSecurities_5250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6" w:type="dxa"/>
            <w:tcBorders/>
            <w:shd w:fill="auto" w:val="clear"/>
            <w:vAlign w:val="center"/>
          </w:tcPr>
          <w:p>
            <w:pPr>
              <w:pStyle w:val="TableContents"/>
              <w:spacing w:before="0" w:after="0"/>
              <w:ind w:left="0" w:right="0" w:hanging="0"/>
              <w:rPr/>
            </w:pPr>
            <w:hyperlink w:anchor="Item4MineSafetyDisclosures_489189">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before="0" w:after="0"/>
              <w:ind w:left="0" w:right="0" w:hanging="0"/>
              <w:rPr/>
            </w:pPr>
            <w:hyperlink w:anchor="Item4MineSafetyDisclosures_489189">
              <w:r>
                <w:rPr>
                  <w:rStyle w:val="InternetLink"/>
                  <w:rFonts w:ascii="Times New Roman;Times;serif" w:hAnsi="Times New Roman;Times;serif"/>
                  <w:b w:val="false"/>
                  <w:i w:val="false"/>
                  <w:caps w:val="false"/>
                  <w:smallCaps w:val="false"/>
                  <w:sz w:val="20"/>
                </w:rPr>
                <w:t>Mine Safety Disclosures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6" w:type="dxa"/>
            <w:tcBorders/>
            <w:shd w:fill="auto" w:val="clear"/>
            <w:vAlign w:val="center"/>
          </w:tcPr>
          <w:p>
            <w:pPr>
              <w:pStyle w:val="TableContents"/>
              <w:spacing w:before="0" w:after="0"/>
              <w:ind w:left="0" w:right="0" w:hanging="0"/>
              <w:rPr/>
            </w:pPr>
            <w:hyperlink w:anchor="Item5OtherInformation_906757">
              <w:r>
                <w:rPr>
                  <w:rStyle w:val="InternetLink"/>
                  <w:rFonts w:ascii="Times New Roman;Times;serif" w:hAnsi="Times New Roman;Times;serif"/>
                  <w:b w:val="false"/>
                  <w:i w:val="false"/>
                  <w:caps w:val="false"/>
                  <w:smallCaps w:val="false"/>
                  <w:sz w:val="20"/>
                </w:rPr>
                <w:t>Item 5.</w:t>
              </w:r>
            </w:hyperlink>
          </w:p>
        </w:tc>
        <w:tc>
          <w:tcPr>
            <w:tcW w:w="7366" w:type="dxa"/>
            <w:tcBorders/>
            <w:shd w:fill="auto" w:val="clear"/>
            <w:vAlign w:val="center"/>
          </w:tcPr>
          <w:p>
            <w:pPr>
              <w:pStyle w:val="TableContents"/>
              <w:spacing w:before="0" w:after="0"/>
              <w:ind w:left="0" w:right="0" w:hanging="0"/>
              <w:rPr/>
            </w:pPr>
            <w:hyperlink w:anchor="Item5OtherInformation_906757">
              <w:r>
                <w:rPr>
                  <w:rStyle w:val="InternetLink"/>
                  <w:rFonts w:ascii="Times New Roman;Times;serif" w:hAnsi="Times New Roman;Times;serif"/>
                  <w:b w:val="false"/>
                  <w:i w:val="false"/>
                  <w:caps w:val="false"/>
                  <w:smallCaps w:val="false"/>
                  <w:sz w:val="20"/>
                </w:rPr>
                <w:t>Other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6" w:type="dxa"/>
            <w:tcBorders/>
            <w:shd w:fill="auto" w:val="clear"/>
            <w:vAlign w:val="center"/>
          </w:tcPr>
          <w:p>
            <w:pPr>
              <w:pStyle w:val="TableContents"/>
              <w:spacing w:before="0" w:after="0"/>
              <w:ind w:left="0" w:right="0" w:hanging="0"/>
              <w:rPr/>
            </w:pPr>
            <w:hyperlink w:anchor="Item6Exhibits_432907">
              <w:r>
                <w:rPr>
                  <w:rStyle w:val="InternetLink"/>
                  <w:rFonts w:ascii="Times New Roman;Times;serif" w:hAnsi="Times New Roman;Times;serif"/>
                  <w:b w:val="false"/>
                  <w:i w:val="false"/>
                  <w:caps w:val="false"/>
                  <w:smallCaps w:val="false"/>
                  <w:sz w:val="20"/>
                </w:rPr>
                <w:t>Item 6.</w:t>
              </w:r>
            </w:hyperlink>
          </w:p>
        </w:tc>
        <w:tc>
          <w:tcPr>
            <w:tcW w:w="7366" w:type="dxa"/>
            <w:tcBorders/>
            <w:shd w:fill="auto" w:val="clear"/>
            <w:vAlign w:val="center"/>
          </w:tcPr>
          <w:p>
            <w:pPr>
              <w:pStyle w:val="TableContents"/>
              <w:spacing w:before="0" w:after="0"/>
              <w:ind w:left="0" w:right="0" w:hanging="0"/>
              <w:rPr/>
            </w:pPr>
            <w:hyperlink w:anchor="Item6Exhibits_432907">
              <w:r>
                <w:rPr>
                  <w:rStyle w:val="InternetLink"/>
                  <w:rFonts w:ascii="Times New Roman;Times;serif" w:hAnsi="Times New Roman;Times;serif"/>
                  <w:b w:val="false"/>
                  <w:i w:val="false"/>
                  <w:caps w:val="false"/>
                  <w:smallCaps w:val="false"/>
                  <w:sz w:val="20"/>
                </w:rPr>
                <w:t>Exhibits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32" w:type="dxa"/>
            <w:gridSpan w:val="2"/>
            <w:tcBorders/>
            <w:shd w:fill="auto" w:val="clear"/>
            <w:vAlign w:val="center"/>
          </w:tcPr>
          <w:p>
            <w:pPr>
              <w:pStyle w:val="TableContents"/>
              <w:spacing w:before="0" w:after="0"/>
              <w:ind w:left="0" w:right="0" w:hanging="0"/>
              <w:rPr/>
            </w:pPr>
            <w:hyperlink w:anchor="SIGNATURES_509116">
              <w:r>
                <w:rPr>
                  <w:rStyle w:val="InternetLink"/>
                  <w:rFonts w:ascii="Times New Roman;Times;serif" w:hAnsi="Times New Roman;Times;serif"/>
                  <w:b/>
                  <w:i w:val="false"/>
                  <w:caps w:val="false"/>
                  <w:smallCaps w:val="false"/>
                  <w:sz w:val="20"/>
                </w:rPr>
                <w:t>SIGNATURES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own various trademark registrations and applications, and unregistered trademarks, including our name, our corporate logo and technologies acquired as part of our acquisition of Avidea Technologies, Inc. in December 2021. We have an exclusive license to use and display the Vaccitech registered trademark in order to commercialize Vaccitech in the United Kingdom. All other trade names, trademarks and service marks of other companies appearing in this Quarterly Report on Form 10-Q, or this Quarterly Report, are the property of their respective holders. Solely for convenience, the trademarks and trade names in this Quarterly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From time to time, we may use our website, our Twitter account at @Vaccitechplc and our LinkedIn account at linkedin.com/company/Vaccitech-plc 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Twitter posts and our LinkedIn posts are not incorporated into, and does not form a part of, this Quarterly Report.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6" w:name="PARTI_654583"/>
      <w:bookmarkStart w:id="37" w:name="_d74f6bea_0d69_4ba1_ba63_cbffd77f9133"/>
      <w:bookmarkEnd w:id="36"/>
      <w:bookmarkEnd w:id="37"/>
      <w:r>
        <w:rPr>
          <w:rFonts w:ascii="Times New Roman;Times;serif" w:hAnsi="Times New Roman;Times;serif"/>
          <w:b/>
          <w:sz w:val="20"/>
        </w:rPr>
        <w:t>PART I -  FINANCIAL INFORMATION</w:t>
      </w:r>
    </w:p>
    <w:p>
      <w:pPr>
        <w:pStyle w:val="TextBody"/>
        <w:spacing w:before="0" w:after="240"/>
        <w:ind w:left="0" w:right="0" w:hanging="0"/>
        <w:rPr>
          <w:rFonts w:ascii="Times New Roman;Times;serif" w:hAnsi="Times New Roman;Times;serif"/>
          <w:b/>
          <w:sz w:val="20"/>
        </w:rPr>
      </w:pPr>
      <w:bookmarkStart w:id="38" w:name="Item1FinancialStatements_153571"/>
      <w:bookmarkEnd w:id="38"/>
      <w:r>
        <w:rPr>
          <w:rFonts w:ascii="Times New Roman;Times;serif" w:hAnsi="Times New Roman;Times;serif"/>
          <w:b/>
          <w:sz w:val="20"/>
        </w:rPr>
        <w:t>Item 1.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CONDENSED CONSOLIDATED FINANCIAL STATEMENTS (UNAUDITED)</w:t>
      </w:r>
    </w:p>
    <w:p>
      <w:pPr>
        <w:pStyle w:val="TextBody"/>
        <w:spacing w:before="0" w:after="0"/>
        <w:ind w:left="0" w:right="0" w:hanging="0"/>
        <w:rPr/>
      </w:pPr>
      <w:r>
        <w:rPr/>
        <w:t>​</w:t>
      </w:r>
    </w:p>
    <w:tbl>
      <w:tblPr>
        <w:tblW w:w="7228" w:type="dxa"/>
        <w:jc w:val="left"/>
        <w:tblInd w:w="0" w:type="dxa"/>
        <w:tblCellMar>
          <w:top w:w="0" w:type="dxa"/>
          <w:left w:w="0" w:type="dxa"/>
          <w:bottom w:w="28" w:type="dxa"/>
          <w:right w:w="0" w:type="dxa"/>
        </w:tblCellMar>
      </w:tblPr>
      <w:tblGrid>
        <w:gridCol w:w="6331"/>
        <w:gridCol w:w="326"/>
        <w:gridCol w:w="571"/>
      </w:tblGrid>
      <w:tr>
        <w:trPr/>
        <w:tc>
          <w:tcPr>
            <w:tcW w:w="6331" w:type="dxa"/>
            <w:tcBorders>
              <w:bottom w:val="single" w:sz="2" w:space="0" w:color="000000"/>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Financial Statements (Unaudited)</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6331" w:type="dxa"/>
            <w:tcBorders>
              <w:top w:val="single" w:sz="2" w:space="0" w:color="000000"/>
            </w:tcBorders>
            <w:shd w:fill="auto" w:val="clear"/>
            <w:tcMar>
              <w:top w:w="28" w:type="dxa"/>
              <w:bottom w:w="0" w:type="dxa"/>
            </w:tcMar>
            <w:vAlign w:val="center"/>
          </w:tcPr>
          <w:p>
            <w:pPr>
              <w:pStyle w:val="TableContents"/>
              <w:pBdr/>
              <w:spacing w:before="0" w:after="0"/>
              <w:ind w:left="0" w:right="0" w:hanging="0"/>
              <w:rPr/>
            </w:pPr>
            <w:hyperlink w:anchor="CONDENSEDCONSOLIDATEDBALANCESHEETS_17844">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shd w:fill="auto" w:val="clear"/>
            <w:tcMar>
              <w:bottom w:w="0" w:type="dxa"/>
            </w:tcMar>
            <w:vAlign w:val="center"/>
          </w:tcPr>
          <w:p>
            <w:pPr>
              <w:pStyle w:val="TableContents"/>
              <w:spacing w:before="0" w:after="0"/>
              <w:ind w:left="0" w:right="0" w:hanging="0"/>
              <w:jc w:val="right"/>
              <w:rPr/>
            </w:pPr>
            <w:r>
              <w:rPr/>
              <w:t>​</w:t>
            </w:r>
          </w:p>
        </w:tc>
        <w:tc>
          <w:tcPr>
            <w:tcW w:w="571"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r>
        <w:trPr/>
        <w:tc>
          <w:tcPr>
            <w:tcW w:w="6331" w:type="dxa"/>
            <w:tcBorders/>
            <w:shd w:fill="auto" w:val="clear"/>
            <w:tcMar>
              <w:bottom w:w="0" w:type="dxa"/>
            </w:tcMar>
            <w:vAlign w:val="center"/>
          </w:tcPr>
          <w:p>
            <w:pPr>
              <w:pStyle w:val="TableContents"/>
              <w:pBdr/>
              <w:spacing w:before="0" w:after="0"/>
              <w:ind w:left="0" w:right="0" w:hanging="0"/>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326" w:type="dxa"/>
            <w:tcBorders/>
            <w:shd w:fill="auto" w:val="clear"/>
            <w:tcMar>
              <w:bottom w:w="0" w:type="dxa"/>
            </w:tcMar>
            <w:vAlign w:val="center"/>
          </w:tcPr>
          <w:p>
            <w:pPr>
              <w:pStyle w:val="TableContents"/>
              <w:spacing w:before="0" w:after="0"/>
              <w:ind w:left="0" w:right="0" w:hanging="0"/>
              <w:jc w:val="right"/>
              <w:rPr/>
            </w:pPr>
            <w:r>
              <w:rPr/>
              <w:t>​</w:t>
            </w:r>
          </w:p>
        </w:tc>
        <w:tc>
          <w:tcPr>
            <w:tcW w:w="57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6331" w:type="dxa"/>
            <w:tcBorders/>
            <w:shd w:fill="auto" w:val="clear"/>
            <w:tcMar>
              <w:bottom w:w="0" w:type="dxa"/>
            </w:tcMar>
            <w:vAlign w:val="center"/>
          </w:tcPr>
          <w:p>
            <w:pPr>
              <w:pStyle w:val="TableContents"/>
              <w:pBdr/>
              <w:spacing w:before="0" w:after="0"/>
              <w:ind w:left="0" w:right="0" w:hanging="0"/>
              <w:rPr/>
            </w:pPr>
            <w:hyperlink w:anchor="CONDENSEDCONSOLIDATEDSTATEMENTSOFCHANGES">
              <w:r>
                <w:rPr>
                  <w:rStyle w:val="InternetLink"/>
                  <w:rFonts w:ascii="Times New Roman;Times;serif" w:hAnsi="Times New Roman;Times;serif"/>
                  <w:b w:val="false"/>
                  <w:i w:val="false"/>
                  <w:caps w:val="false"/>
                  <w:smallCaps w:val="false"/>
                  <w:sz w:val="20"/>
                </w:rPr>
                <w:t xml:space="preserve">Condensed Consolidated Statements of Changes in Shareholders’ Equity </w:t>
              </w:r>
            </w:hyperlink>
          </w:p>
        </w:tc>
        <w:tc>
          <w:tcPr>
            <w:tcW w:w="326" w:type="dxa"/>
            <w:tcBorders/>
            <w:shd w:fill="auto" w:val="clear"/>
            <w:tcMar>
              <w:bottom w:w="0" w:type="dxa"/>
            </w:tcMar>
            <w:vAlign w:val="center"/>
          </w:tcPr>
          <w:p>
            <w:pPr>
              <w:pStyle w:val="TableContents"/>
              <w:spacing w:before="0" w:after="0"/>
              <w:ind w:left="0" w:right="0" w:hanging="0"/>
              <w:jc w:val="right"/>
              <w:rPr/>
            </w:pPr>
            <w:r>
              <w:rPr/>
              <w:t>​</w:t>
            </w:r>
          </w:p>
        </w:tc>
        <w:tc>
          <w:tcPr>
            <w:tcW w:w="57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6331" w:type="dxa"/>
            <w:tcBorders/>
            <w:shd w:fill="auto" w:val="clear"/>
            <w:tcMar>
              <w:bottom w:w="0" w:type="dxa"/>
            </w:tcMar>
            <w:vAlign w:val="center"/>
          </w:tcPr>
          <w:p>
            <w:pPr>
              <w:pStyle w:val="TableContents"/>
              <w:pBdr/>
              <w:spacing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shd w:fill="auto" w:val="clear"/>
            <w:tcMar>
              <w:bottom w:w="0" w:type="dxa"/>
            </w:tcMar>
            <w:vAlign w:val="center"/>
          </w:tcPr>
          <w:p>
            <w:pPr>
              <w:pStyle w:val="TableContents"/>
              <w:spacing w:before="0" w:after="0"/>
              <w:ind w:left="0" w:right="0" w:hanging="0"/>
              <w:jc w:val="right"/>
              <w:rPr/>
            </w:pPr>
            <w:r>
              <w:rPr/>
              <w:t>​</w:t>
            </w:r>
          </w:p>
        </w:tc>
        <w:tc>
          <w:tcPr>
            <w:tcW w:w="57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6331" w:type="dxa"/>
            <w:tcBorders/>
            <w:shd w:fill="auto" w:val="clear"/>
            <w:tcMar>
              <w:bottom w:w="0" w:type="dxa"/>
            </w:tcMar>
            <w:vAlign w:val="center"/>
          </w:tcPr>
          <w:p>
            <w:pPr>
              <w:pStyle w:val="TableContents"/>
              <w:pBdr/>
              <w:spacing w:before="0" w:after="0"/>
              <w:ind w:left="0" w:right="0" w:hanging="0"/>
              <w:rPr/>
            </w:pPr>
            <w:hyperlink w:anchor="a1NatureofBusinessandBasisofPresentatio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shd w:fill="auto" w:val="clear"/>
            <w:tcMar>
              <w:bottom w:w="0" w:type="dxa"/>
            </w:tcMar>
            <w:vAlign w:val="center"/>
          </w:tcPr>
          <w:p>
            <w:pPr>
              <w:pStyle w:val="TableContents"/>
              <w:spacing w:before="0" w:after="0"/>
              <w:ind w:left="0" w:right="0" w:hanging="0"/>
              <w:jc w:val="right"/>
              <w:rPr/>
            </w:pPr>
            <w:r>
              <w:rPr/>
              <w:t>​</w:t>
            </w:r>
          </w:p>
        </w:tc>
        <w:tc>
          <w:tcPr>
            <w:tcW w:w="57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9" w:name="_0b5afe8b_b763_485f_b915_68650c8b774e"/>
      <w:bookmarkEnd w:id="39"/>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40" w:name="CONDENSEDCONSOLIDATEDBALANCESHEETS_17844"/>
      <w:bookmarkEnd w:id="40"/>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NUMBER OF SHARES AND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41" w:name="Tc_aVOCIEWWRUuzIFta-e5EIg_43_5"/>
      <w:bookmarkStart w:id="42" w:name="Tc_WEmGw_iozk6R71rN_lDtDQ_43_2"/>
      <w:bookmarkStart w:id="43" w:name="Tc_8BouESwbTkGeS4gXJDOUyg_43_0"/>
      <w:bookmarkStart w:id="44" w:name="Tc_cBeo_G6f3k2_kOdYxQb-tw_42_5"/>
      <w:bookmarkStart w:id="45" w:name="Tc_48cHvBBZHkaWnBnzybOWKA_42_2"/>
      <w:bookmarkStart w:id="46" w:name="Tc_PbdyuqyJQU2EBxUww4Iixg_42_0"/>
      <w:bookmarkStart w:id="47" w:name="Tc_jM89OIuk-E2CPLQI2mgLUg_41_0"/>
      <w:bookmarkStart w:id="48" w:name="Tc_kY1FIugGKkuvH7sBnbp5lQ_40_0"/>
      <w:bookmarkStart w:id="49" w:name="Tc_H0pL_IdL_U-VxaXWX3Kf0Q_39_0"/>
      <w:bookmarkStart w:id="50" w:name="Tc_vqCaKZR_n02YVTQO9C5j9w_38_0"/>
      <w:bookmarkStart w:id="51" w:name="Tc_U9Go4u5KO0mEObE0q073Rw_37_0"/>
      <w:bookmarkStart w:id="52" w:name="Tc_WNYlJgvweU2Hvh0y0UviUg_36_7"/>
      <w:bookmarkStart w:id="53" w:name="Tc_kKCZShMH5UqazgOoOTOw7Q_36_3"/>
      <w:bookmarkStart w:id="54" w:name="Tc_Ab4TE52R0UaWXCgvTo839A_36_0"/>
      <w:bookmarkStart w:id="55" w:name="Tc_DH500Q0DdEuP0UCyixkbSw_35_3"/>
      <w:bookmarkStart w:id="56" w:name="Tc_1uiE5bJsu0SyGtBGa-Hw7w_35_0"/>
      <w:bookmarkStart w:id="57" w:name="Tc_PrUAuSpQiE6NTLc8k5wmNg_34_0"/>
      <w:bookmarkStart w:id="58" w:name="Tc_qdgVzc2Di0WViIhMWyvALA_33_0"/>
      <w:bookmarkStart w:id="59" w:name="Tc_w44fzJRRR0yzDPRzVYDwaQ_32_0"/>
      <w:bookmarkStart w:id="60" w:name="Tc_ui_DCdBavE-BJnHdPSlGnw_31_0"/>
      <w:bookmarkStart w:id="61" w:name="Tc_nt02D6ZpS06AsrUlDhyXkw_30_5"/>
      <w:bookmarkStart w:id="62" w:name="Tc_ZMGo3bUhGUSGAXkwYnWHgA_30_2"/>
      <w:bookmarkStart w:id="63" w:name="Tc_9Ap3PczQwUqszipz35fOfQ_30_0"/>
      <w:bookmarkStart w:id="64" w:name="Tc_UM8TDCGDZ06Ez-uaE5GG5g_29_0"/>
      <w:bookmarkStart w:id="65" w:name="Tc_qSDZXABYo0yjAa7HwTYp0g_28_0"/>
      <w:bookmarkStart w:id="66" w:name="Tc_iQEHBxlRPUilH38ShgN-DQ_27_0"/>
      <w:bookmarkStart w:id="67" w:name="Tc_J40lYjtJRUid-3t4AWXuvA_26_0"/>
      <w:bookmarkStart w:id="68" w:name="Tc_pRSjl2kfR0W5IlCIftXHIA_25_0"/>
      <w:bookmarkStart w:id="69" w:name="Tc_KJ-viS8toEmEYpr9HRv5xw_24_0"/>
      <w:bookmarkStart w:id="70" w:name="Tc_8VFnKxQFuky_BjQP9I_aeQ_23_0"/>
      <w:bookmarkStart w:id="71" w:name="Tc_DlCGpun0m06ydA_b2rbR5w_22_0"/>
      <w:bookmarkStart w:id="72" w:name="Tc_Yzcm1bhbsUSUX_Mp63XRRw_21_5"/>
      <w:bookmarkStart w:id="73" w:name="Tc_mZJDAoPyJEigXic--NwvIA_21_2"/>
      <w:bookmarkStart w:id="74" w:name="Tc_UgOE6sgjIkCf0wkLjMmMUg_21_0"/>
      <w:bookmarkStart w:id="75" w:name="Tc_OykVqnr4Lk22u-JI98_RFg_20_0"/>
      <w:bookmarkStart w:id="76" w:name="Tc_CiAIuHqBHEW6SpwK2toF2w_18_0"/>
      <w:bookmarkStart w:id="77" w:name="Tc_iDzYP--zeEub3z6JvuRQlQ_16_5"/>
      <w:bookmarkStart w:id="78" w:name="Tc_BiY1Q4rnrkqrml9YnsVFug_16_2"/>
      <w:bookmarkStart w:id="79" w:name="Tc_z2dG7io2FkK3S954GuV89w_16_0"/>
      <w:bookmarkStart w:id="80" w:name="Tc_c6nUO4Bj6k-iZzPsKE2cdw_15_0"/>
      <w:bookmarkStart w:id="81" w:name="Tc_IB9Bv-0OF0yTASM00O8vCA_14_0"/>
      <w:bookmarkStart w:id="82" w:name="Tc_Ca2gZvZbBkGaStUlCTPl6A_13_0"/>
      <w:bookmarkStart w:id="83" w:name="Tc_A3Eue1TRJkWkJcgV6mUJqg_12_0"/>
      <w:bookmarkStart w:id="84" w:name="Tc_JUsBgDQrA0m4pH9udOxCjw_11_0"/>
      <w:bookmarkStart w:id="85" w:name="Tc_0WWzMTq-N0y7sgYp9A2LnQ_10_0"/>
      <w:bookmarkStart w:id="86" w:name="Tc_Q_CCnIAGvEqeUNwRuqmgcQ_9_0"/>
      <w:bookmarkStart w:id="87" w:name="Tc_hXtxSlyBIk2Q76alxNZJhA_8_0"/>
      <w:bookmarkStart w:id="88" w:name="Tc_E46sT_0hZkClee_8Y2xbLQ_7_0"/>
      <w:bookmarkStart w:id="89" w:name="Tc__8o01k2a5EeRbxrIbTVHzQ_6_0"/>
      <w:bookmarkStart w:id="90" w:name="Tc_SPli8gJiTkiGYJEKgX6cVg_5_5"/>
      <w:bookmarkStart w:id="91" w:name="Tc_FLjq9QON7kiLOxtxh0EF5w_5_2"/>
      <w:bookmarkStart w:id="92" w:name="Tc_jGFi3fhjk0mFg-OrlPt9Vg_5_0"/>
      <w:bookmarkStart w:id="93" w:name="Tc_tigpSWTshkSnVDfHaVTR-w_4_0"/>
      <w:bookmarkStart w:id="94" w:name="Tc_Q2AP_oyhfkiWTILCfjwLoA_3_0"/>
      <w:bookmarkStart w:id="95" w:name="Tc_VgbQ6HhUxk2erUo5Kb8WZg_2_5"/>
      <w:bookmarkStart w:id="96" w:name="Tc_w9y_5BusqUOvjZhpugkxbw_2_2"/>
      <w:bookmarkStart w:id="97" w:name="Tc_wXDFralaq02boo4Q8JptGA_1_5"/>
      <w:bookmarkStart w:id="98" w:name="Tc_bcPOXAtPlEWZg_tRWb3dMQ_1_2"/>
      <w:bookmarkStart w:id="99" w:name="_5ee6aea8_0a02_4d0c_a35b_0cb509fcce7b"/>
      <w:bookmarkStart w:id="100" w:name="Tc_aVOCIEWWRUuzIFta-e5EIg_43_5"/>
      <w:bookmarkStart w:id="101" w:name="Tc_WEmGw_iozk6R71rN_lDtDQ_43_2"/>
      <w:bookmarkStart w:id="102" w:name="Tc_8BouESwbTkGeS4gXJDOUyg_43_0"/>
      <w:bookmarkStart w:id="103" w:name="Tc_cBeo_G6f3k2_kOdYxQb-tw_42_5"/>
      <w:bookmarkStart w:id="104" w:name="Tc_48cHvBBZHkaWnBnzybOWKA_42_2"/>
      <w:bookmarkStart w:id="105" w:name="Tc_PbdyuqyJQU2EBxUww4Iixg_42_0"/>
      <w:bookmarkStart w:id="106" w:name="Tc_jM89OIuk-E2CPLQI2mgLUg_41_0"/>
      <w:bookmarkStart w:id="107" w:name="Tc_kY1FIugGKkuvH7sBnbp5lQ_40_0"/>
      <w:bookmarkStart w:id="108" w:name="Tc_H0pL_IdL_U-VxaXWX3Kf0Q_39_0"/>
      <w:bookmarkStart w:id="109" w:name="Tc_vqCaKZR_n02YVTQO9C5j9w_38_0"/>
      <w:bookmarkStart w:id="110" w:name="Tc_U9Go4u5KO0mEObE0q073Rw_37_0"/>
      <w:bookmarkStart w:id="111" w:name="Tc_WNYlJgvweU2Hvh0y0UviUg_36_7"/>
      <w:bookmarkStart w:id="112" w:name="Tc_kKCZShMH5UqazgOoOTOw7Q_36_3"/>
      <w:bookmarkStart w:id="113" w:name="Tc_Ab4TE52R0UaWXCgvTo839A_36_0"/>
      <w:bookmarkStart w:id="114" w:name="Tc_DH500Q0DdEuP0UCyixkbSw_35_3"/>
      <w:bookmarkStart w:id="115" w:name="Tc_1uiE5bJsu0SyGtBGa-Hw7w_35_0"/>
      <w:bookmarkStart w:id="116" w:name="Tc_PrUAuSpQiE6NTLc8k5wmNg_34_0"/>
      <w:bookmarkStart w:id="117" w:name="Tc_qdgVzc2Di0WViIhMWyvALA_33_0"/>
      <w:bookmarkStart w:id="118" w:name="Tc_w44fzJRRR0yzDPRzVYDwaQ_32_0"/>
      <w:bookmarkStart w:id="119" w:name="Tc_ui_DCdBavE-BJnHdPSlGnw_31_0"/>
      <w:bookmarkStart w:id="120" w:name="Tc_nt02D6ZpS06AsrUlDhyXkw_30_5"/>
      <w:bookmarkStart w:id="121" w:name="Tc_ZMGo3bUhGUSGAXkwYnWHgA_30_2"/>
      <w:bookmarkStart w:id="122" w:name="Tc_9Ap3PczQwUqszipz35fOfQ_30_0"/>
      <w:bookmarkStart w:id="123" w:name="Tc_UM8TDCGDZ06Ez-uaE5GG5g_29_0"/>
      <w:bookmarkStart w:id="124" w:name="Tc_qSDZXABYo0yjAa7HwTYp0g_28_0"/>
      <w:bookmarkStart w:id="125" w:name="Tc_iQEHBxlRPUilH38ShgN-DQ_27_0"/>
      <w:bookmarkStart w:id="126" w:name="Tc_J40lYjtJRUid-3t4AWXuvA_26_0"/>
      <w:bookmarkStart w:id="127" w:name="Tc_pRSjl2kfR0W5IlCIftXHIA_25_0"/>
      <w:bookmarkStart w:id="128" w:name="Tc_KJ-viS8toEmEYpr9HRv5xw_24_0"/>
      <w:bookmarkStart w:id="129" w:name="Tc_8VFnKxQFuky_BjQP9I_aeQ_23_0"/>
      <w:bookmarkStart w:id="130" w:name="Tc_DlCGpun0m06ydA_b2rbR5w_22_0"/>
      <w:bookmarkStart w:id="131" w:name="Tc_Yzcm1bhbsUSUX_Mp63XRRw_21_5"/>
      <w:bookmarkStart w:id="132" w:name="Tc_mZJDAoPyJEigXic--NwvIA_21_2"/>
      <w:bookmarkStart w:id="133" w:name="Tc_UgOE6sgjIkCf0wkLjMmMUg_21_0"/>
      <w:bookmarkStart w:id="134" w:name="Tc_OykVqnr4Lk22u-JI98_RFg_20_0"/>
      <w:bookmarkStart w:id="135" w:name="Tc_CiAIuHqBHEW6SpwK2toF2w_18_0"/>
      <w:bookmarkStart w:id="136" w:name="Tc_iDzYP--zeEub3z6JvuRQlQ_16_5"/>
      <w:bookmarkStart w:id="137" w:name="Tc_BiY1Q4rnrkqrml9YnsVFug_16_2"/>
      <w:bookmarkStart w:id="138" w:name="Tc_z2dG7io2FkK3S954GuV89w_16_0"/>
      <w:bookmarkStart w:id="139" w:name="Tc_c6nUO4Bj6k-iZzPsKE2cdw_15_0"/>
      <w:bookmarkStart w:id="140" w:name="Tc_IB9Bv-0OF0yTASM00O8vCA_14_0"/>
      <w:bookmarkStart w:id="141" w:name="Tc_Ca2gZvZbBkGaStUlCTPl6A_13_0"/>
      <w:bookmarkStart w:id="142" w:name="Tc_A3Eue1TRJkWkJcgV6mUJqg_12_0"/>
      <w:bookmarkStart w:id="143" w:name="Tc_JUsBgDQrA0m4pH9udOxCjw_11_0"/>
      <w:bookmarkStart w:id="144" w:name="Tc_0WWzMTq-N0y7sgYp9A2LnQ_10_0"/>
      <w:bookmarkStart w:id="145" w:name="Tc_Q_CCnIAGvEqeUNwRuqmgcQ_9_0"/>
      <w:bookmarkStart w:id="146" w:name="Tc_hXtxSlyBIk2Q76alxNZJhA_8_0"/>
      <w:bookmarkStart w:id="147" w:name="Tc_E46sT_0hZkClee_8Y2xbLQ_7_0"/>
      <w:bookmarkStart w:id="148" w:name="Tc__8o01k2a5EeRbxrIbTVHzQ_6_0"/>
      <w:bookmarkStart w:id="149" w:name="Tc_SPli8gJiTkiGYJEKgX6cVg_5_5"/>
      <w:bookmarkStart w:id="150" w:name="Tc_FLjq9QON7kiLOxtxh0EF5w_5_2"/>
      <w:bookmarkStart w:id="151" w:name="Tc_jGFi3fhjk0mFg-OrlPt9Vg_5_0"/>
      <w:bookmarkStart w:id="152" w:name="Tc_tigpSWTshkSnVDfHaVTR-w_4_0"/>
      <w:bookmarkStart w:id="153" w:name="Tc_Q2AP_oyhfkiWTILCfjwLoA_3_0"/>
      <w:bookmarkStart w:id="154" w:name="Tc_VgbQ6HhUxk2erUo5Kb8WZg_2_5"/>
      <w:bookmarkStart w:id="155" w:name="Tc_w9y_5BusqUOvjZhpugkxbw_2_2"/>
      <w:bookmarkStart w:id="156" w:name="Tc_wXDFralaq02boo4Q8JptGA_1_5"/>
      <w:bookmarkStart w:id="157" w:name="Tc_bcPOXAtPlEWZg_tRWb3dMQ_1_2"/>
      <w:bookmarkStart w:id="158" w:name="_5ee6aea8_0a02_4d0c_a35b_0cb509fcce7b"/>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539" w:type="dxa"/>
        <w:jc w:val="left"/>
        <w:tblInd w:w="0" w:type="dxa"/>
        <w:tblCellMar>
          <w:top w:w="0" w:type="dxa"/>
          <w:left w:w="0" w:type="dxa"/>
          <w:bottom w:w="0" w:type="dxa"/>
          <w:right w:w="0" w:type="dxa"/>
        </w:tblCellMar>
      </w:tblPr>
      <w:tblGrid>
        <w:gridCol w:w="7590"/>
        <w:gridCol w:w="326"/>
        <w:gridCol w:w="196"/>
        <w:gridCol w:w="786"/>
        <w:gridCol w:w="326"/>
        <w:gridCol w:w="227"/>
        <w:gridCol w:w="875"/>
        <w:gridCol w:w="213"/>
      </w:tblGrid>
      <w:tr>
        <w:trPr/>
        <w:tc>
          <w:tcPr>
            <w:tcW w:w="75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819650" cy="175260"/>
                      <wp:effectExtent l="0" t="0" r="0" b="0"/>
                      <wp:wrapNone/>
                      <wp:docPr id="1" name="Frame1"/>
                      <a:graphic xmlns:a="http://schemas.openxmlformats.org/drawingml/2006/main">
                        <a:graphicData uri="http://schemas.microsoft.com/office/word/2010/wordprocessingShape">
                          <wps:wsp>
                            <wps:cNvSpPr txBox="1"/>
                            <wps:spPr>
                              <a:xfrm>
                                <a:off x="0" y="0"/>
                                <a:ext cx="4819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9110" cy="175260"/>
                      <wp:effectExtent l="0" t="0" r="0" b="0"/>
                      <wp:wrapNone/>
                      <wp:docPr id="4" name="Frame4"/>
                      <a:graphic xmlns:a="http://schemas.openxmlformats.org/drawingml/2006/main">
                        <a:graphicData uri="http://schemas.microsoft.com/office/word/2010/wordprocessingShape">
                          <wps:wsp>
                            <wps:cNvSpPr txBox="1"/>
                            <wps:spPr>
                              <a:xfrm>
                                <a:off x="0" y="0"/>
                                <a:ext cx="499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4145" cy="175260"/>
                      <wp:effectExtent l="0" t="0" r="0" b="0"/>
                      <wp:wrapNone/>
                      <wp:docPr id="6" name="Frame6"/>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55625" cy="175260"/>
                      <wp:effectExtent l="0" t="0" r="0" b="0"/>
                      <wp:wrapNone/>
                      <wp:docPr id="7" name="Frame7"/>
                      <a:graphic xmlns:a="http://schemas.openxmlformats.org/drawingml/2006/main">
                        <a:graphicData uri="http://schemas.microsoft.com/office/word/2010/wordprocessingShape">
                          <wps:wsp>
                            <wps:cNvSpPr txBox="1"/>
                            <wps:spPr>
                              <a:xfrm>
                                <a:off x="0" y="0"/>
                                <a:ext cx="555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5255" cy="175260"/>
                      <wp:effectExtent l="0" t="0" r="0" b="0"/>
                      <wp:wrapNone/>
                      <wp:docPr id="8" name="Frame8"/>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1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13" w:type="dxa"/>
            <w:tcBorders/>
            <w:shd w:fill="auto" w:val="clear"/>
            <w:vAlign w:val="center"/>
          </w:tcPr>
          <w:p>
            <w:pPr>
              <w:pStyle w:val="TableContents"/>
              <w:spacing w:before="0" w:after="0"/>
              <w:ind w:left="0" w:right="0" w:hanging="0"/>
              <w:jc w:val="center"/>
              <w:rPr/>
            </w:pPr>
            <w:r>
              <w:rPr/>
              <w:t> </w:t>
            </w:r>
          </w:p>
        </w:tc>
      </w:tr>
      <w:tr>
        <w:trPr/>
        <w:tc>
          <w:tcPr>
            <w:tcW w:w="75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13" w:type="dxa"/>
            <w:tcBorders/>
            <w:shd w:fill="auto" w:val="clear"/>
            <w:vAlign w:val="center"/>
          </w:tcPr>
          <w:p>
            <w:pPr>
              <w:pStyle w:val="TableContents"/>
              <w:spacing w:before="0" w:after="0"/>
              <w:ind w:left="0" w:right="0" w:hanging="0"/>
              <w:jc w:val="center"/>
              <w:rPr/>
            </w:pPr>
            <w:r>
              <w:rPr/>
              <w:t> </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pPr>
            <w:r>
              <w:rPr/>
              <w:t>  </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27"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191,328</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194,385</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323</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 - related parties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5,524</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Research and development incentives receivable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2,501</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4,541</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5,896</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8,268</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200,665</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213,041</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12,209</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12,209</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12,712</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7,957</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27,479</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28,269</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Right of use assets,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7,723</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7,753</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976</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261,816</w:t>
            </w:r>
          </w:p>
        </w:tc>
        <w:tc>
          <w:tcPr>
            <w:tcW w:w="326"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270,205</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LIABILITIES AND SHAREHOLDERS’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4,327</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3,748</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7,012</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8,061</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liability - current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649</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11,988</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12,242</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pPr>
            <w:r>
              <w:rPr/>
              <w:t>​</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liability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10,005</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8,340</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Contingent consideration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1,710</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1,711</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tax liability,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3,230</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3,746</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1,314</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28,247</w:t>
            </w:r>
          </w:p>
        </w:tc>
        <w:tc>
          <w:tcPr>
            <w:tcW w:w="326"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27,004</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Commitments and contingencies (Note 14)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pPr>
            <w:r>
              <w:rPr/>
              <w:t>​</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pPr>
            <w:r>
              <w:rPr/>
              <w:t>​</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Ordinary shares, £0.000025</w:t>
            </w:r>
            <w:r>
              <w:rPr>
                <w:rFonts w:ascii="Times New Roman;Times;serif" w:hAnsi="Times New Roman;Times;serif"/>
                <w:sz w:val="20"/>
              </w:rPr>
              <w:t xml:space="preserve"> </w:t>
            </w:r>
            <w:r>
              <w:rPr>
                <w:rFonts w:ascii="Times New Roman;Times;serif" w:hAnsi="Times New Roman;Times;serif"/>
                <w:sz w:val="16"/>
              </w:rPr>
              <w:t>nominal value; 38,357,025</w:t>
            </w:r>
            <w:r>
              <w:rPr>
                <w:rFonts w:ascii="Times New Roman;Times;serif" w:hAnsi="Times New Roman;Times;serif"/>
                <w:sz w:val="20"/>
              </w:rPr>
              <w:t xml:space="preserve"> </w:t>
            </w:r>
            <w:r>
              <w:rPr>
                <w:rFonts w:ascii="Times New Roman;Times;serif" w:hAnsi="Times New Roman;Times;serif"/>
                <w:sz w:val="16"/>
              </w:rPr>
              <w:t xml:space="preserve">shares authorized,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(December 31, 2022: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and outstanding: 37,683,531)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Deferred A shares, £1</w:t>
            </w:r>
            <w:r>
              <w:rPr>
                <w:rFonts w:ascii="Times New Roman;Times;serif" w:hAnsi="Times New Roman;Times;serif"/>
                <w:sz w:val="20"/>
              </w:rPr>
              <w:t xml:space="preserve"> </w:t>
            </w:r>
            <w:r>
              <w:rPr>
                <w:rFonts w:ascii="Times New Roman;Times;serif" w:hAnsi="Times New Roman;Times;serif"/>
                <w:sz w:val="16"/>
              </w:rPr>
              <w:t>nominal value; 63,443</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outstanding (December 31, 2022: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and outstanding: 63,443)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Deferred B shares, £0.01</w:t>
            </w:r>
            <w:r>
              <w:rPr>
                <w:rFonts w:ascii="Times New Roman;Times;serif" w:hAnsi="Times New Roman;Times;serif"/>
                <w:sz w:val="20"/>
              </w:rPr>
              <w:t xml:space="preserve"> </w:t>
            </w:r>
            <w:r>
              <w:rPr>
                <w:rFonts w:ascii="Times New Roman;Times;serif" w:hAnsi="Times New Roman;Times;serif"/>
                <w:sz w:val="16"/>
              </w:rPr>
              <w:t>nominal value; nil</w:t>
            </w:r>
            <w:r>
              <w:rPr>
                <w:rFonts w:ascii="Times New Roman;Times;serif" w:hAnsi="Times New Roman;Times;serif"/>
                <w:sz w:val="20"/>
              </w:rPr>
              <w:t xml:space="preserve"> </w:t>
            </w:r>
            <w:r>
              <w:rPr>
                <w:rFonts w:ascii="Times New Roman;Times;serif" w:hAnsi="Times New Roman;Times;serif"/>
                <w:sz w:val="16"/>
              </w:rPr>
              <w:t xml:space="preserve">shares authorized,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(December 31, 2022:authorized,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570,987)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Deferred C shares, £0.000007</w:t>
            </w:r>
            <w:r>
              <w:rPr>
                <w:rFonts w:ascii="Times New Roman;Times;serif" w:hAnsi="Times New Roman;Times;serif"/>
                <w:sz w:val="20"/>
              </w:rPr>
              <w:t xml:space="preserve"> </w:t>
            </w:r>
            <w:r>
              <w:rPr>
                <w:rFonts w:ascii="Times New Roman;Times;serif" w:hAnsi="Times New Roman;Times;serif"/>
                <w:sz w:val="16"/>
              </w:rPr>
              <w:t>nominal value, nil</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outstanding (December 31, 2022: </w:t>
            </w:r>
            <w:r>
              <w:rPr>
                <w:rFonts w:ascii="Times New Roman;Times;serif" w:hAnsi="Times New Roman;Times;serif"/>
                <w:b w:val="false"/>
                <w:i w:val="false"/>
                <w:caps w:val="false"/>
                <w:smallCaps w:val="false"/>
                <w:sz w:val="16"/>
              </w:rPr>
              <w:t>authorized</w:t>
            </w:r>
            <w:r>
              <w:rPr>
                <w:rFonts w:ascii="Times New Roman;Times;serif" w:hAnsi="Times New Roman;Times;serif"/>
                <w:sz w:val="16"/>
              </w:rPr>
              <w:t xml:space="preserve">,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and outstanding: 27,828,231)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w:t>
            </w:r>
          </w:p>
        </w:tc>
        <w:tc>
          <w:tcPr>
            <w:tcW w:w="213" w:type="dxa"/>
            <w:tcBorders/>
            <w:shd w:fill="auto" w:val="clear"/>
            <w:vAlign w:val="center"/>
          </w:tcPr>
          <w:p>
            <w:pPr>
              <w:pStyle w:val="TableContents"/>
              <w:spacing w:lineRule="auto" w:line="240" w:before="0" w:after="0"/>
              <w:ind w:left="0" w:right="0" w:hanging="0"/>
              <w:rPr>
                <w:rFonts w:ascii="Times New Roman;Times;serif" w:hAnsi="Times New Roman;Times;serif"/>
                <w:sz w:val="12"/>
              </w:rPr>
            </w:pPr>
            <w:r>
              <w:rPr>
                <w:rFonts w:ascii="Times New Roman;Times;serif" w:hAnsi="Times New Roman;Times;serif"/>
                <w:sz w:val="12"/>
              </w:rPr>
              <w:t>1</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383,523</w:t>
            </w:r>
          </w:p>
        </w:tc>
        <w:tc>
          <w:tcPr>
            <w:tcW w:w="326"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87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379,504</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(121,423)</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(103,243)</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Accumulated other comprehensive loss – 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(28,886)</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(33,460)</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shareholders’ equity attributable to Vaccitech plc shareholders’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233,301</w:t>
            </w:r>
          </w:p>
        </w:tc>
        <w:tc>
          <w:tcPr>
            <w:tcW w:w="326"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w:t>
            </w:r>
          </w:p>
        </w:tc>
        <w:tc>
          <w:tcPr>
            <w:tcW w:w="87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242,896</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Noncontrolling interest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305</w:t>
            </w:r>
          </w:p>
        </w:tc>
        <w:tc>
          <w:tcPr>
            <w:tcW w:w="213" w:type="dxa"/>
            <w:tcBorders/>
            <w:shd w:fill="CCEEFF" w:val="clear"/>
            <w:vAlign w:val="center"/>
          </w:tcPr>
          <w:p>
            <w:pPr>
              <w:pStyle w:val="TableContents"/>
              <w:spacing w:before="0" w:after="0"/>
              <w:ind w:left="0" w:right="0" w:hanging="0"/>
              <w:rPr/>
            </w:pPr>
            <w:r>
              <w:rPr/>
              <w:t>​</w:t>
            </w:r>
          </w:p>
        </w:tc>
      </w:tr>
      <w:tr>
        <w:trPr/>
        <w:tc>
          <w:tcPr>
            <w:tcW w:w="759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shareholders’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233,569</w:t>
            </w:r>
          </w:p>
        </w:tc>
        <w:tc>
          <w:tcPr>
            <w:tcW w:w="326"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243,201</w:t>
            </w:r>
          </w:p>
        </w:tc>
        <w:tc>
          <w:tcPr>
            <w:tcW w:w="213" w:type="dxa"/>
            <w:tcBorders/>
            <w:shd w:fill="auto" w:val="clear"/>
            <w:vAlign w:val="center"/>
          </w:tcPr>
          <w:p>
            <w:pPr>
              <w:pStyle w:val="TableContents"/>
              <w:spacing w:before="0" w:after="0"/>
              <w:ind w:left="0" w:right="0" w:hanging="0"/>
              <w:rPr/>
            </w:pPr>
            <w:r>
              <w:rPr/>
              <w:t>​</w:t>
            </w:r>
          </w:p>
        </w:tc>
      </w:tr>
      <w:tr>
        <w:trPr/>
        <w:tc>
          <w:tcPr>
            <w:tcW w:w="75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liabilities and shareholders’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261,816</w:t>
            </w:r>
          </w:p>
        </w:tc>
        <w:tc>
          <w:tcPr>
            <w:tcW w:w="326" w:type="dxa"/>
            <w:tcBorders/>
            <w:shd w:fill="CCEEFF" w:val="clear"/>
            <w:vAlign w:val="center"/>
          </w:tcPr>
          <w:p>
            <w:pPr>
              <w:pStyle w:val="TableContents"/>
              <w:spacing w:before="0" w:after="0"/>
              <w:ind w:left="0" w:right="0" w:hanging="0"/>
              <w:rPr/>
            </w:pPr>
            <w:r>
              <w:rPr/>
              <w:t>​</w:t>
            </w:r>
          </w:p>
        </w:tc>
        <w:tc>
          <w:tcPr>
            <w:tcW w:w="22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270,205</w:t>
            </w:r>
          </w:p>
        </w:tc>
        <w:tc>
          <w:tcPr>
            <w:tcW w:w="213"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lineRule="auto" w:line="240" w:before="0" w:after="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indicates amount less than thousand</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59" w:name="_9f74a1b1_280d_4e61_a2cf_5537870b97bc"/>
      <w:bookmarkEnd w:id="159"/>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160" w:name="CONDENSEDCONSOLIDATEDSTATEMENTSOFOPERATI"/>
      <w:bookmarkEnd w:id="160"/>
      <w:r>
        <w:rPr>
          <w:rFonts w:ascii="Times New Roman;Times;serif" w:hAnsi="Times New Roman;Times;serif"/>
          <w:b/>
          <w:sz w:val="20"/>
        </w:rPr>
        <w:t>CONDENSED CONSOLIDATED STATEMENTS OF OPERATIONS AND COMPREHENSIVE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NUMBER OF SHARES AND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161" w:name="Tc_CMnwFLIh6kOMjZTOf1wjMQ_31_5"/>
      <w:bookmarkStart w:id="162" w:name="Tc_ePXRkKYG60q7Wsl2dqFVlw_31_2"/>
      <w:bookmarkStart w:id="163" w:name="Tc_XtTxbvFNMEGJytfDwjtsng_31_0"/>
      <w:bookmarkStart w:id="164" w:name="Tc_BzoaIL4hAUWzLtvp1cGdrA_30_0"/>
      <w:bookmarkStart w:id="165" w:name="Tc_2CMXHy6HykevUiL0IRzT9Q_29_0"/>
      <w:bookmarkStart w:id="166" w:name="Tc_sIs2uEYhBUiTa6ufwYURvw_28_0"/>
      <w:bookmarkStart w:id="167" w:name="Tc_-Gbb338HQEuZuWdSrMwidg_27_5"/>
      <w:bookmarkStart w:id="168" w:name="Tc_7RlpPfTmsEqAsgwa_rjH1A_27_2"/>
      <w:bookmarkStart w:id="169" w:name="Tc_Tml3jaCkHEe-wkmkDulAjw_27_0"/>
      <w:bookmarkStart w:id="170" w:name="Tc_QEUena48h0Kgj35GTReIfA_25_5"/>
      <w:bookmarkStart w:id="171" w:name="Tc_MQvo2NdgVUCzjbvAd8crlw_25_2"/>
      <w:bookmarkStart w:id="172" w:name="Tc_nu_3kuCjc02s3Bf9rGjPEQ_25_0"/>
      <w:bookmarkStart w:id="173" w:name="Tc_pbGuxWHqukuLJUm_bZTj6Q_24_5"/>
      <w:bookmarkStart w:id="174" w:name="Tc_6NgC5sZug0mFco1RUG_1xQ_24_2"/>
      <w:bookmarkStart w:id="175" w:name="Tc_7F7a6ek-dEGlTaHj3JvCqg_24_0"/>
      <w:bookmarkStart w:id="176" w:name="Tc_sDM4d-4O70mmhvMKUGMkBw_23_0"/>
      <w:bookmarkStart w:id="177" w:name="Tc_2RctwTg_7EOaZEk8LjAv8Q_22_0"/>
      <w:bookmarkStart w:id="178" w:name="Tc_rHcIohXXxEmLGI0wXIgZwg_20_0"/>
      <w:bookmarkStart w:id="179" w:name="Tc_SGMQ_5Ye_ESdu_Hh2wlxwg_19_0"/>
      <w:bookmarkStart w:id="180" w:name="Tc_7EKPdbInOUWgkyPQAW0xjg_18_0"/>
      <w:bookmarkStart w:id="181" w:name="Tc_gsqxvMqvW0a37sQbTYSdKw_17_0"/>
      <w:bookmarkStart w:id="182" w:name="Tc_iykrIQBnZke390mzl0Fscw_16_0"/>
      <w:bookmarkStart w:id="183" w:name="Tc_2OYa3Gdv_E-hVIA9sDTUFw_15_0"/>
      <w:bookmarkStart w:id="184" w:name="Tc_tr0_NmK9t02uGmpOpmi0Lg_14_0"/>
      <w:bookmarkStart w:id="185" w:name="Tc_zQsS1LBWPUikbMrhQCFe8Q_13_3"/>
      <w:bookmarkStart w:id="186" w:name="Tc_IqjTEkD10UqfCoT5sMnFOA_13_0"/>
      <w:bookmarkStart w:id="187" w:name="Tc_-PSCyusF3k6QwnGejtTWvw_12_0"/>
      <w:bookmarkStart w:id="188" w:name="Tc_fCfHTzyZ6UmAnZNF8bhW5A_11_0"/>
      <w:bookmarkStart w:id="189" w:name="Tc_Bzgv-njzn0mduhWtTrF3Sw_10_0"/>
      <w:bookmarkStart w:id="190" w:name="Tc_vhp6hsd53E2MbKSSTRSlYA_9_0"/>
      <w:bookmarkStart w:id="191" w:name="Tc_IIDVUTy3pkGknSiqm-8ifw_8_0"/>
      <w:bookmarkStart w:id="192" w:name="Tc_MWHbvyBOGUi5udUZflqdYA_7_0"/>
      <w:bookmarkStart w:id="193" w:name="Tc_AiIPEY3eLUW3n2CoKs_55A_6_0"/>
      <w:bookmarkStart w:id="194" w:name="Tc_xQkVpo1nJEGYS-PywrhTaw_5_0"/>
      <w:bookmarkStart w:id="195" w:name="Tc_jbw6ZVu4uUiuwPTyPsu6vw_4_3"/>
      <w:bookmarkStart w:id="196" w:name="Tc_YC7B5RxaHUO3L5GazpMbog_4_0"/>
      <w:bookmarkStart w:id="197" w:name="Tc_hsyVRY5MZUqnc6arBjbCZA_3_5"/>
      <w:bookmarkStart w:id="198" w:name="Tc_qbpXED6GnEylANYRxK1C0Q_3_2"/>
      <w:bookmarkStart w:id="199" w:name="Tc_Fp4fuxaLeEC3U7vVcucEHw_3_0"/>
      <w:bookmarkStart w:id="200" w:name="Tc_lwWvQAgrIUCerKu8F5FDQA_2_6"/>
      <w:bookmarkStart w:id="201" w:name="Tc_Ekn_EFK75E6fRvBLCt9nMw_2_2"/>
      <w:bookmarkStart w:id="202" w:name="Tc_qN3twCfS90-mMa_Yf8eJ4A_1_2"/>
      <w:bookmarkStart w:id="203" w:name="_13d2e696_a21f_44fc_9932_8113ff611b61"/>
      <w:bookmarkStart w:id="204" w:name="Tc_CMnwFLIh6kOMjZTOf1wjMQ_31_5"/>
      <w:bookmarkStart w:id="205" w:name="Tc_ePXRkKYG60q7Wsl2dqFVlw_31_2"/>
      <w:bookmarkStart w:id="206" w:name="Tc_XtTxbvFNMEGJytfDwjtsng_31_0"/>
      <w:bookmarkStart w:id="207" w:name="Tc_BzoaIL4hAUWzLtvp1cGdrA_30_0"/>
      <w:bookmarkStart w:id="208" w:name="Tc_2CMXHy6HykevUiL0IRzT9Q_29_0"/>
      <w:bookmarkStart w:id="209" w:name="Tc_sIs2uEYhBUiTa6ufwYURvw_28_0"/>
      <w:bookmarkStart w:id="210" w:name="Tc_-Gbb338HQEuZuWdSrMwidg_27_5"/>
      <w:bookmarkStart w:id="211" w:name="Tc_7RlpPfTmsEqAsgwa_rjH1A_27_2"/>
      <w:bookmarkStart w:id="212" w:name="Tc_Tml3jaCkHEe-wkmkDulAjw_27_0"/>
      <w:bookmarkStart w:id="213" w:name="Tc_QEUena48h0Kgj35GTReIfA_25_5"/>
      <w:bookmarkStart w:id="214" w:name="Tc_MQvo2NdgVUCzjbvAd8crlw_25_2"/>
      <w:bookmarkStart w:id="215" w:name="Tc_nu_3kuCjc02s3Bf9rGjPEQ_25_0"/>
      <w:bookmarkStart w:id="216" w:name="Tc_pbGuxWHqukuLJUm_bZTj6Q_24_5"/>
      <w:bookmarkStart w:id="217" w:name="Tc_6NgC5sZug0mFco1RUG_1xQ_24_2"/>
      <w:bookmarkStart w:id="218" w:name="Tc_7F7a6ek-dEGlTaHj3JvCqg_24_0"/>
      <w:bookmarkStart w:id="219" w:name="Tc_sDM4d-4O70mmhvMKUGMkBw_23_0"/>
      <w:bookmarkStart w:id="220" w:name="Tc_2RctwTg_7EOaZEk8LjAv8Q_22_0"/>
      <w:bookmarkStart w:id="221" w:name="Tc_rHcIohXXxEmLGI0wXIgZwg_20_0"/>
      <w:bookmarkStart w:id="222" w:name="Tc_SGMQ_5Ye_ESdu_Hh2wlxwg_19_0"/>
      <w:bookmarkStart w:id="223" w:name="Tc_7EKPdbInOUWgkyPQAW0xjg_18_0"/>
      <w:bookmarkStart w:id="224" w:name="Tc_gsqxvMqvW0a37sQbTYSdKw_17_0"/>
      <w:bookmarkStart w:id="225" w:name="Tc_iykrIQBnZke390mzl0Fscw_16_0"/>
      <w:bookmarkStart w:id="226" w:name="Tc_2OYa3Gdv_E-hVIA9sDTUFw_15_0"/>
      <w:bookmarkStart w:id="227" w:name="Tc_tr0_NmK9t02uGmpOpmi0Lg_14_0"/>
      <w:bookmarkStart w:id="228" w:name="Tc_zQsS1LBWPUikbMrhQCFe8Q_13_3"/>
      <w:bookmarkStart w:id="229" w:name="Tc_IqjTEkD10UqfCoT5sMnFOA_13_0"/>
      <w:bookmarkStart w:id="230" w:name="Tc_-PSCyusF3k6QwnGejtTWvw_12_0"/>
      <w:bookmarkStart w:id="231" w:name="Tc_fCfHTzyZ6UmAnZNF8bhW5A_11_0"/>
      <w:bookmarkStart w:id="232" w:name="Tc_Bzgv-njzn0mduhWtTrF3Sw_10_0"/>
      <w:bookmarkStart w:id="233" w:name="Tc_vhp6hsd53E2MbKSSTRSlYA_9_0"/>
      <w:bookmarkStart w:id="234" w:name="Tc_IIDVUTy3pkGknSiqm-8ifw_8_0"/>
      <w:bookmarkStart w:id="235" w:name="Tc_MWHbvyBOGUi5udUZflqdYA_7_0"/>
      <w:bookmarkStart w:id="236" w:name="Tc_AiIPEY3eLUW3n2CoKs_55A_6_0"/>
      <w:bookmarkStart w:id="237" w:name="Tc_xQkVpo1nJEGYS-PywrhTaw_5_0"/>
      <w:bookmarkStart w:id="238" w:name="Tc_jbw6ZVu4uUiuwPTyPsu6vw_4_3"/>
      <w:bookmarkStart w:id="239" w:name="Tc_YC7B5RxaHUO3L5GazpMbog_4_0"/>
      <w:bookmarkStart w:id="240" w:name="Tc_hsyVRY5MZUqnc6arBjbCZA_3_5"/>
      <w:bookmarkStart w:id="241" w:name="Tc_qbpXED6GnEylANYRxK1C0Q_3_2"/>
      <w:bookmarkStart w:id="242" w:name="Tc_Fp4fuxaLeEC3U7vVcucEHw_3_0"/>
      <w:bookmarkStart w:id="243" w:name="Tc_lwWvQAgrIUCerKu8F5FDQA_2_6"/>
      <w:bookmarkStart w:id="244" w:name="Tc_Ekn_EFK75E6fRvBLCt9nMw_2_2"/>
      <w:bookmarkStart w:id="245" w:name="Tc_qN3twCfS90-mMa_Yf8eJ4A_1_2"/>
      <w:bookmarkStart w:id="246" w:name="_13d2e696_a21f_44fc_9932_8113ff611b61"/>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tbl>
      <w:tblPr>
        <w:tblW w:w="9641" w:type="dxa"/>
        <w:jc w:val="left"/>
        <w:tblInd w:w="0" w:type="dxa"/>
        <w:tblCellMar>
          <w:top w:w="0" w:type="dxa"/>
          <w:left w:w="0" w:type="dxa"/>
          <w:bottom w:w="0" w:type="dxa"/>
          <w:right w:w="0" w:type="dxa"/>
        </w:tblCellMar>
      </w:tblPr>
      <w:tblGrid>
        <w:gridCol w:w="6211"/>
        <w:gridCol w:w="326"/>
        <w:gridCol w:w="213"/>
        <w:gridCol w:w="1048"/>
        <w:gridCol w:w="326"/>
        <w:gridCol w:w="211"/>
        <w:gridCol w:w="1306"/>
      </w:tblGrid>
      <w:tr>
        <w:trPr/>
        <w:tc>
          <w:tcPr>
            <w:tcW w:w="6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943985" cy="175260"/>
                      <wp:effectExtent l="0" t="0" r="0" b="0"/>
                      <wp:wrapNone/>
                      <wp:docPr id="9" name="Frame9"/>
                      <a:graphic xmlns:a="http://schemas.openxmlformats.org/drawingml/2006/main">
                        <a:graphicData uri="http://schemas.microsoft.com/office/word/2010/wordprocessingShape">
                          <wps:wsp>
                            <wps:cNvSpPr txBox="1"/>
                            <wps:spPr>
                              <a:xfrm>
                                <a:off x="0" y="0"/>
                                <a:ext cx="394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5255" cy="175260"/>
                      <wp:effectExtent l="0" t="0" r="0" b="0"/>
                      <wp:wrapNone/>
                      <wp:docPr id="11" name="Frame11"/>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5480" cy="175260"/>
                      <wp:effectExtent l="0" t="0" r="0" b="0"/>
                      <wp:wrapNone/>
                      <wp:docPr id="12" name="Frame12"/>
                      <a:graphic xmlns:a="http://schemas.openxmlformats.org/drawingml/2006/main">
                        <a:graphicData uri="http://schemas.microsoft.com/office/word/2010/wordprocessingShape">
                          <wps:wsp>
                            <wps:cNvSpPr txBox="1"/>
                            <wps:spPr>
                              <a:xfrm>
                                <a:off x="0" y="0"/>
                                <a:ext cx="665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829310" cy="175260"/>
                      <wp:effectExtent l="0" t="0" r="0" b="0"/>
                      <wp:wrapNone/>
                      <wp:docPr id="15" name="Frame15"/>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2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0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2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621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License revenue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15,009</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grants and contracts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15,018</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10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pPr>
            <w:r>
              <w:rPr/>
              <w:t>​</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 </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9,814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10,701</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12,138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3,663</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21,952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14,364</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(Loss)/income from operations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(21,484)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income/(expense):</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 </w:t>
            </w:r>
          </w:p>
        </w:tc>
        <w:tc>
          <w:tcPr>
            <w:tcW w:w="104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pPr>
            <w:r>
              <w:rPr/>
              <w:t>​</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10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 </w:t>
            </w:r>
          </w:p>
        </w:tc>
        <w:tc>
          <w:tcPr>
            <w:tcW w:w="104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 incentives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income/(expense)</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(Loss)/profit before income tax</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10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(18,739)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benefit</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Net (loss)/income </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10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attributable to noncontrolling interest</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 attributable to Vaccitech plc shareholders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(18,180)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2,596</w:t>
            </w:r>
          </w:p>
        </w:tc>
      </w:tr>
      <w:tr>
        <w:trPr/>
        <w:tc>
          <w:tcPr>
            <w:tcW w:w="62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104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pPr>
            <w:r>
              <w:rPr/>
              <w:t>​</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Weighted-average ordinary shares outstanding, basic </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10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38,013,399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37,191,022</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ordinary shares outstanding, diluted</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38,013,399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38,346,668</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 per share attributable to ordinary shareholders, basic</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0.070</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 per share attributable to ordinary shareholders, diluted</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0.068</w:t>
            </w:r>
          </w:p>
        </w:tc>
      </w:tr>
      <w:tr>
        <w:trPr/>
        <w:tc>
          <w:tcPr>
            <w:tcW w:w="62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10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right"/>
              <w:rPr/>
            </w:pPr>
            <w:r>
              <w:rPr/>
              <w:t>​</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gain/(loss) – foreign currency translation adjustments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 </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(13,643)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(3,409)</w:t>
            </w:r>
          </w:p>
        </w:tc>
      </w:tr>
      <w:tr>
        <w:trPr/>
        <w:tc>
          <w:tcPr>
            <w:tcW w:w="6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Comprehensive loss attributable to noncontrolling interest</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Comprehensive loss attributable to Vaccitech plc shareholders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(13,606)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(3,372)</w:t>
            </w:r>
          </w:p>
        </w:tc>
      </w:tr>
    </w:tbl>
    <w:p>
      <w:pPr>
        <w:pStyle w:val="TextBody"/>
        <w:spacing w:before="0" w:after="240"/>
        <w:ind w:left="0" w:right="0" w:hanging="0"/>
        <w:rPr/>
      </w:pPr>
      <w:r>
        <w:rPr/>
        <w:t>​</w:t>
      </w:r>
    </w:p>
    <w:p>
      <w:pPr>
        <w:pStyle w:val="TextBody"/>
        <w:spacing w:lineRule="auto" w:line="240" w:before="0" w:after="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Includes license revenue from related parties for the three month periods ended March 31, 2023 and 2022, of $0.5 million and $15.0 million, respectively.</w:t>
      </w:r>
    </w:p>
    <w:p>
      <w:pPr>
        <w:pStyle w:val="TextBody"/>
        <w:spacing w:before="0" w:after="24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47" w:name="_ac9bdf29_432a_44d9_a6a4_30650cb2d499"/>
      <w:bookmarkEnd w:id="247"/>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CHANGES IN </w:t>
      </w:r>
    </w:p>
    <w:p>
      <w:pPr>
        <w:pStyle w:val="TextBody"/>
        <w:spacing w:before="0" w:after="0"/>
        <w:ind w:left="0" w:right="0" w:hanging="0"/>
        <w:jc w:val="center"/>
        <w:rPr>
          <w:rFonts w:ascii="Times New Roman;Times;serif" w:hAnsi="Times New Roman;Times;serif"/>
          <w:b/>
          <w:sz w:val="20"/>
        </w:rPr>
      </w:pPr>
      <w:bookmarkStart w:id="248" w:name="CONDENSEDCONSOLIDATEDSTATEMENTSOFCHANGES"/>
      <w:bookmarkEnd w:id="248"/>
      <w:r>
        <w:rPr>
          <w:rFonts w:ascii="Times New Roman;Times;serif" w:hAnsi="Times New Roman;Times;serif"/>
          <w:b/>
          <w:sz w:val="20"/>
        </w:rPr>
        <w:t>SHAREHOLDERS’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NUMBER OF SHARES)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249" w:name="Tc_rZUeS6mzgUWcI9sXZo8GTw_12_34"/>
      <w:bookmarkStart w:id="250" w:name="Tc_ybGWXSVD7E2dathpbEv3iA_12_31"/>
      <w:bookmarkStart w:id="251" w:name="Tc_uFZLDAt_-UuJdXbMsHZNIg_12_28"/>
      <w:bookmarkStart w:id="252" w:name="Tc_XxybINW8zkOMn-B9oImBfg_12_25"/>
      <w:bookmarkStart w:id="253" w:name="Tc_GyofEYXhFEaObEDG6s4jIA_12_19"/>
      <w:bookmarkStart w:id="254" w:name="Tc_H85bmPnPm0SJwh6TYKI0_w_12_14"/>
      <w:bookmarkStart w:id="255" w:name="Tc_XjTWo18YREuuOMzpsebVPw_12_9"/>
      <w:bookmarkStart w:id="256" w:name="Tc_pdTimdLDL0Kg1Lijd0fZvg_12_4"/>
      <w:bookmarkStart w:id="257" w:name="Tc_rU-Xnk2Cmk2DaA1xJOwh8Q_12_0"/>
      <w:bookmarkStart w:id="258" w:name="Tc_RA36CWTeiUmYB00-AGtqBw_11_29"/>
      <w:bookmarkStart w:id="259" w:name="Tc_G-IqJ14jCkeJ4UX7szM9Iw_11_23"/>
      <w:bookmarkStart w:id="260" w:name="Tc_WQiNpQ7_ok2yp6nEdsGCfQ_11_20"/>
      <w:bookmarkStart w:id="261" w:name="Tc_5Y7Yx7SpNUCyGXpLDRAoqA_11_17"/>
      <w:bookmarkStart w:id="262" w:name="Tc_s6z9fHurKkaKCw3qSxCL2Q_11_15"/>
      <w:bookmarkStart w:id="263" w:name="Tc_JMoCZ6O1IESe62v5i44KWQ_11_12"/>
      <w:bookmarkStart w:id="264" w:name="Tc_xBJkdMg-XEOac21LQS8_cg_11_10"/>
      <w:bookmarkStart w:id="265" w:name="Tc_-Pe0K9C450Wo61uKaBHL4Q_11_7"/>
      <w:bookmarkStart w:id="266" w:name="Tc_KaRU4ymPnkGo6h-Et92p-g_11_5"/>
      <w:bookmarkStart w:id="267" w:name="Tc_imC6DTjDvk2j-VtnNw6Jsw_11_2"/>
      <w:bookmarkStart w:id="268" w:name="Tc_ONwZdSjpZUWCRBKAfneoEQ_11_0"/>
      <w:bookmarkStart w:id="269" w:name="Tc___aKVKxAwEuAI3JWMpMyLg_10_35"/>
      <w:bookmarkStart w:id="270" w:name="Tc_R8BkiZzV8UO9vvtscj11uQ_10_32"/>
      <w:bookmarkStart w:id="271" w:name="Tc__PTArfKdFE6Q4sXAZYhYtw_10_29"/>
      <w:bookmarkStart w:id="272" w:name="Tc_A5Zs1_U1GE6tqSUP2t12rg_10_26"/>
      <w:bookmarkStart w:id="273" w:name="Tc_Jz6lKhrOvku7cLgN2bt96g_10_21"/>
      <w:bookmarkStart w:id="274" w:name="Tc_6AQqz_yDTEeHnsgVFmRFHQ_10_10"/>
      <w:bookmarkStart w:id="275" w:name="Tc_FMumo2mIiEyc-4Su7dW-0Q_10_7"/>
      <w:bookmarkStart w:id="276" w:name="Tc_ZDpua34wWUK_qZ-JLYZaog_10_5"/>
      <w:bookmarkStart w:id="277" w:name="Tc__lyiFeFxpEG_h5AYYIvQRw_10_2"/>
      <w:bookmarkStart w:id="278" w:name="Tc_MkTESLZ1REeYsM5m6AFBVQ_10_0"/>
      <w:bookmarkStart w:id="279" w:name="Tc_52NGHR41-EabpjVYztpGpg_9_26"/>
      <w:bookmarkStart w:id="280" w:name="Tc_iucWHuY5AUmmYdDRkjQuqQ_9_23"/>
      <w:bookmarkStart w:id="281" w:name="Tc_vsdIRMt520qIXPoV0vGRLQ_9_20"/>
      <w:bookmarkStart w:id="282" w:name="Tc_hdLzrcSH8kyp8_qrOFxMFQ_9_17"/>
      <w:bookmarkStart w:id="283" w:name="Tc_VTfAV9nh60SBj_ScsfridQ_9_15"/>
      <w:bookmarkStart w:id="284" w:name="Tc_UVDs0T4t80Gw08GNPcR2VQ_9_12"/>
      <w:bookmarkStart w:id="285" w:name="Tc__JyGI1G0SEOijQz23NJXCQ_9_10"/>
      <w:bookmarkStart w:id="286" w:name="Tc_1gwfJ7SDWUOXtIrjR-VAiw_9_7"/>
      <w:bookmarkStart w:id="287" w:name="Tc_R5fN5pslZUiXQOsm8jgl_Q_9_5"/>
      <w:bookmarkStart w:id="288" w:name="Tc_Vg0KmeYSmk-r4o_g-oYzMw_9_2"/>
      <w:bookmarkStart w:id="289" w:name="Tc_qUgNEMLYgU2JTh3q6lY5-A_9_0"/>
      <w:bookmarkStart w:id="290" w:name="Tc_UR-WrwPR4UeL-C5z7uV-1A_8_32"/>
      <w:bookmarkStart w:id="291" w:name="Tc_HNg66OQyiUyZiB7Bk_0RCg_8_29"/>
      <w:bookmarkStart w:id="292" w:name="Tc_WgIczIfvFEu4HsSvZ49JJg_8_26"/>
      <w:bookmarkStart w:id="293" w:name="Tc_uZUlrAT66EmpIfzBJ-bFJQ_8_20"/>
      <w:bookmarkStart w:id="294" w:name="Tc_a82Xv528VkWqkfAszHl6Qw_8_17"/>
      <w:bookmarkStart w:id="295" w:name="Tc_4TqRvID6X0aH6TSIXDColw_8_15"/>
      <w:bookmarkStart w:id="296" w:name="Tc_FsH3tW99vkeMGYa4i1uQJA_8_12"/>
      <w:bookmarkStart w:id="297" w:name="Tc_wsFPgCrra0qKoTfvuMO2eg_8_10"/>
      <w:bookmarkStart w:id="298" w:name="Tc_bX5fkGaO2ESAnmhdxeahpQ_8_7"/>
      <w:bookmarkStart w:id="299" w:name="Tc_SjXvPjl4qkOogC0YT4gVfA_8_6"/>
      <w:bookmarkStart w:id="300" w:name="Tc_1oy44SJf9E2LC-Ax7ZXkQQ_8_0"/>
      <w:bookmarkStart w:id="301" w:name="Tc_Dwp4BzLSAkCOgG6aaL7wUQ_7_32"/>
      <w:bookmarkStart w:id="302" w:name="Tc_-uzYv0UwCE6hs1iux0rH3w_7_29"/>
      <w:bookmarkStart w:id="303" w:name="Tc_xWq67U7nK0KizKoRmhj4xw_7_26"/>
      <w:bookmarkStart w:id="304" w:name="Tc_xIG7kV28FkGT3VEufrl-Pg_7_20"/>
      <w:bookmarkStart w:id="305" w:name="Tc_XK5vjoZYjkKm19qa_183fA_7_17"/>
      <w:bookmarkStart w:id="306" w:name="Tc_-kE6C7-Py0KalJATHGJ2ow_7_15"/>
      <w:bookmarkStart w:id="307" w:name="Tc_1Cf3103EM0OyGkw22P67QQ_7_12"/>
      <w:bookmarkStart w:id="308" w:name="Tc_gbY3jbIPuUSRjqS1fU93Cw_7_10"/>
      <w:bookmarkStart w:id="309" w:name="Tc_cOp_YfngzEG9SXCsB-7e7Q_7_7"/>
      <w:bookmarkStart w:id="310" w:name="Tc_DAROAU_d90eA3QFdJPKkVQ_7_5"/>
      <w:bookmarkStart w:id="311" w:name="Tc_4StihaBwYkuC-7UAqF6pdQ_7_2"/>
      <w:bookmarkStart w:id="312" w:name="Tc_R9GhmMmkpEGZ5ZDgF8mzqA_7_0"/>
      <w:bookmarkStart w:id="313" w:name="Tc_S7_8L47_yEGgduYt0qoxXg_6_34"/>
      <w:bookmarkStart w:id="314" w:name="Tc_mO7Axrt5-UGJEwJy2sy7Dw_6_31"/>
      <w:bookmarkStart w:id="315" w:name="Tc_nmaVTRNWKUu-1sBToMnlcg_6_28"/>
      <w:bookmarkStart w:id="316" w:name="Tc_jrcmXwiY-keFVwHUoATvTg_6_25"/>
      <w:bookmarkStart w:id="317" w:name="Tc_Shd5HNkMz0KlrtmRH5kGXA_6_22"/>
      <w:bookmarkStart w:id="318" w:name="Tc_2sgmLqEzdEyy4c4EHBQa4w_6_21"/>
      <w:bookmarkStart w:id="319" w:name="Tc_h5qEIMOBvk6cyoRpnRbq9g_6_19"/>
      <w:bookmarkStart w:id="320" w:name="Tc_VgA5BYmRTUesPfa_N99jXQ_6_14"/>
      <w:bookmarkStart w:id="321" w:name="Tc_8NzMwl9UjkCUv2M_ij6IFQ_6_9"/>
      <w:bookmarkStart w:id="322" w:name="Tc_mc61q1idpUOGXbv5APjWYA_6_4"/>
      <w:bookmarkStart w:id="323" w:name="Tc_U3COcU-a40GiDWaOFTlHtg_6_0"/>
      <w:bookmarkStart w:id="324" w:name="Tc_W-sJnwm8F0WFCcHcLId1ZA_5_34"/>
      <w:bookmarkStart w:id="325" w:name="Tc_SFoWJU5pAkeCGKg_ACinpQ_5_31"/>
      <w:bookmarkStart w:id="326" w:name="Tc_xTzQeaw4t0-g6oMLVue0KQ_5_28"/>
      <w:bookmarkStart w:id="327" w:name="Tc_av7ZGU59IkC8V9msgCs75A_5_25"/>
      <w:bookmarkStart w:id="328" w:name="Tc_PV5FG1dBTEKiHFNAsJjcJQ_5_22"/>
      <w:bookmarkStart w:id="329" w:name="Tc_JsiFhwuKck6chL3O1DqNAA_5_19"/>
      <w:bookmarkStart w:id="330" w:name="Tc_orMb_JalTU-wRJk01Hc6pA_5_17"/>
      <w:bookmarkStart w:id="331" w:name="Tc_GvDiGOMRfECE8kyIhGfkFg_5_14"/>
      <w:bookmarkStart w:id="332" w:name="Tc_opZPmNPCEkijRFUdehOztw_5_12"/>
      <w:bookmarkStart w:id="333" w:name="Tc_Hu-QKxdke0mpa2waKwgIbw_5_9"/>
      <w:bookmarkStart w:id="334" w:name="Tc_-ex1YogoFkebH6Lh2smQTw_5_7"/>
      <w:bookmarkStart w:id="335" w:name="Tc_zDAsOo2nO0Gm1ecVohtZ-A_5_4"/>
      <w:bookmarkStart w:id="336" w:name="Tc_VKZwPjpjM0yglXgu2EV39w_5_2"/>
      <w:bookmarkStart w:id="337" w:name="Tc_TwaoyNotzE6En7IthurD2Q_4_34"/>
      <w:bookmarkStart w:id="338" w:name="Tc_YYKWm3IqPUaTDdbGWICh4A_4_31"/>
      <w:bookmarkStart w:id="339" w:name="Tc_4pRLPxgw_Ue0HKS34GmGyA_4_28"/>
      <w:bookmarkStart w:id="340" w:name="Tc_kvb2w7Ry80mtHPw_opv8kQ_4_25"/>
      <w:bookmarkStart w:id="341" w:name="Tc_U44k2Zx0FECPjFON77qL8w_4_22"/>
      <w:bookmarkStart w:id="342" w:name="Tc_7F8nVxtef06ha85h5gWP1A_4_17"/>
      <w:bookmarkStart w:id="343" w:name="Tc_RFGzesUiI0aN5GDWq8h33A_4_12"/>
      <w:bookmarkStart w:id="344" w:name="Tc_I-fxDfHXP0O-cqhsy-b_eg_4_7"/>
      <w:bookmarkStart w:id="345" w:name="Tc_P1TDXv_ZPkSO_u6qOQSIjA_4_2"/>
      <w:bookmarkStart w:id="346" w:name="Tc_4w76NVsnaUGkW3GpXRgBZQ_3_34"/>
      <w:bookmarkStart w:id="347" w:name="Tc_vHcq6sFo-0e6f7i7WK1xhA_3_28"/>
      <w:bookmarkStart w:id="348" w:name="Tc_koOaeyGA_kmmbPlCqk2UiA_3_22"/>
      <w:bookmarkStart w:id="349" w:name="Tc_3QM1MgMBUkOkleMRpUkPNw_2_28"/>
      <w:bookmarkStart w:id="350" w:name="Tc_TceMmRRkg0WJSSuZYHro6A_1_2"/>
      <w:bookmarkStart w:id="351" w:name="_539050dd_768e_4928_8294_a590699cbcee"/>
      <w:bookmarkStart w:id="352" w:name="Tc_rZUeS6mzgUWcI9sXZo8GTw_12_34"/>
      <w:bookmarkStart w:id="353" w:name="Tc_ybGWXSVD7E2dathpbEv3iA_12_31"/>
      <w:bookmarkStart w:id="354" w:name="Tc_uFZLDAt_-UuJdXbMsHZNIg_12_28"/>
      <w:bookmarkStart w:id="355" w:name="Tc_XxybINW8zkOMn-B9oImBfg_12_25"/>
      <w:bookmarkStart w:id="356" w:name="Tc_GyofEYXhFEaObEDG6s4jIA_12_19"/>
      <w:bookmarkStart w:id="357" w:name="Tc_H85bmPnPm0SJwh6TYKI0_w_12_14"/>
      <w:bookmarkStart w:id="358" w:name="Tc_XjTWo18YREuuOMzpsebVPw_12_9"/>
      <w:bookmarkStart w:id="359" w:name="Tc_pdTimdLDL0Kg1Lijd0fZvg_12_4"/>
      <w:bookmarkStart w:id="360" w:name="Tc_rU-Xnk2Cmk2DaA1xJOwh8Q_12_0"/>
      <w:bookmarkStart w:id="361" w:name="Tc_RA36CWTeiUmYB00-AGtqBw_11_29"/>
      <w:bookmarkStart w:id="362" w:name="Tc_G-IqJ14jCkeJ4UX7szM9Iw_11_23"/>
      <w:bookmarkStart w:id="363" w:name="Tc_WQiNpQ7_ok2yp6nEdsGCfQ_11_20"/>
      <w:bookmarkStart w:id="364" w:name="Tc_5Y7Yx7SpNUCyGXpLDRAoqA_11_17"/>
      <w:bookmarkStart w:id="365" w:name="Tc_s6z9fHurKkaKCw3qSxCL2Q_11_15"/>
      <w:bookmarkStart w:id="366" w:name="Tc_JMoCZ6O1IESe62v5i44KWQ_11_12"/>
      <w:bookmarkStart w:id="367" w:name="Tc_xBJkdMg-XEOac21LQS8_cg_11_10"/>
      <w:bookmarkStart w:id="368" w:name="Tc_-Pe0K9C450Wo61uKaBHL4Q_11_7"/>
      <w:bookmarkStart w:id="369" w:name="Tc_KaRU4ymPnkGo6h-Et92p-g_11_5"/>
      <w:bookmarkStart w:id="370" w:name="Tc_imC6DTjDvk2j-VtnNw6Jsw_11_2"/>
      <w:bookmarkStart w:id="371" w:name="Tc_ONwZdSjpZUWCRBKAfneoEQ_11_0"/>
      <w:bookmarkStart w:id="372" w:name="Tc___aKVKxAwEuAI3JWMpMyLg_10_35"/>
      <w:bookmarkStart w:id="373" w:name="Tc_R8BkiZzV8UO9vvtscj11uQ_10_32"/>
      <w:bookmarkStart w:id="374" w:name="Tc__PTArfKdFE6Q4sXAZYhYtw_10_29"/>
      <w:bookmarkStart w:id="375" w:name="Tc_A5Zs1_U1GE6tqSUP2t12rg_10_26"/>
      <w:bookmarkStart w:id="376" w:name="Tc_Jz6lKhrOvku7cLgN2bt96g_10_21"/>
      <w:bookmarkStart w:id="377" w:name="Tc_6AQqz_yDTEeHnsgVFmRFHQ_10_10"/>
      <w:bookmarkStart w:id="378" w:name="Tc_FMumo2mIiEyc-4Su7dW-0Q_10_7"/>
      <w:bookmarkStart w:id="379" w:name="Tc_ZDpua34wWUK_qZ-JLYZaog_10_5"/>
      <w:bookmarkStart w:id="380" w:name="Tc__lyiFeFxpEG_h5AYYIvQRw_10_2"/>
      <w:bookmarkStart w:id="381" w:name="Tc_MkTESLZ1REeYsM5m6AFBVQ_10_0"/>
      <w:bookmarkStart w:id="382" w:name="Tc_52NGHR41-EabpjVYztpGpg_9_26"/>
      <w:bookmarkStart w:id="383" w:name="Tc_iucWHuY5AUmmYdDRkjQuqQ_9_23"/>
      <w:bookmarkStart w:id="384" w:name="Tc_vsdIRMt520qIXPoV0vGRLQ_9_20"/>
      <w:bookmarkStart w:id="385" w:name="Tc_hdLzrcSH8kyp8_qrOFxMFQ_9_17"/>
      <w:bookmarkStart w:id="386" w:name="Tc_VTfAV9nh60SBj_ScsfridQ_9_15"/>
      <w:bookmarkStart w:id="387" w:name="Tc_UVDs0T4t80Gw08GNPcR2VQ_9_12"/>
      <w:bookmarkStart w:id="388" w:name="Tc__JyGI1G0SEOijQz23NJXCQ_9_10"/>
      <w:bookmarkStart w:id="389" w:name="Tc_1gwfJ7SDWUOXtIrjR-VAiw_9_7"/>
      <w:bookmarkStart w:id="390" w:name="Tc_R5fN5pslZUiXQOsm8jgl_Q_9_5"/>
      <w:bookmarkStart w:id="391" w:name="Tc_Vg0KmeYSmk-r4o_g-oYzMw_9_2"/>
      <w:bookmarkStart w:id="392" w:name="Tc_qUgNEMLYgU2JTh3q6lY5-A_9_0"/>
      <w:bookmarkStart w:id="393" w:name="Tc_UR-WrwPR4UeL-C5z7uV-1A_8_32"/>
      <w:bookmarkStart w:id="394" w:name="Tc_HNg66OQyiUyZiB7Bk_0RCg_8_29"/>
      <w:bookmarkStart w:id="395" w:name="Tc_WgIczIfvFEu4HsSvZ49JJg_8_26"/>
      <w:bookmarkStart w:id="396" w:name="Tc_uZUlrAT66EmpIfzBJ-bFJQ_8_20"/>
      <w:bookmarkStart w:id="397" w:name="Tc_a82Xv528VkWqkfAszHl6Qw_8_17"/>
      <w:bookmarkStart w:id="398" w:name="Tc_4TqRvID6X0aH6TSIXDColw_8_15"/>
      <w:bookmarkStart w:id="399" w:name="Tc_FsH3tW99vkeMGYa4i1uQJA_8_12"/>
      <w:bookmarkStart w:id="400" w:name="Tc_wsFPgCrra0qKoTfvuMO2eg_8_10"/>
      <w:bookmarkStart w:id="401" w:name="Tc_bX5fkGaO2ESAnmhdxeahpQ_8_7"/>
      <w:bookmarkStart w:id="402" w:name="Tc_SjXvPjl4qkOogC0YT4gVfA_8_6"/>
      <w:bookmarkStart w:id="403" w:name="Tc_1oy44SJf9E2LC-Ax7ZXkQQ_8_0"/>
      <w:bookmarkStart w:id="404" w:name="Tc_Dwp4BzLSAkCOgG6aaL7wUQ_7_32"/>
      <w:bookmarkStart w:id="405" w:name="Tc_-uzYv0UwCE6hs1iux0rH3w_7_29"/>
      <w:bookmarkStart w:id="406" w:name="Tc_xWq67U7nK0KizKoRmhj4xw_7_26"/>
      <w:bookmarkStart w:id="407" w:name="Tc_xIG7kV28FkGT3VEufrl-Pg_7_20"/>
      <w:bookmarkStart w:id="408" w:name="Tc_XK5vjoZYjkKm19qa_183fA_7_17"/>
      <w:bookmarkStart w:id="409" w:name="Tc_-kE6C7-Py0KalJATHGJ2ow_7_15"/>
      <w:bookmarkStart w:id="410" w:name="Tc_1Cf3103EM0OyGkw22P67QQ_7_12"/>
      <w:bookmarkStart w:id="411" w:name="Tc_gbY3jbIPuUSRjqS1fU93Cw_7_10"/>
      <w:bookmarkStart w:id="412" w:name="Tc_cOp_YfngzEG9SXCsB-7e7Q_7_7"/>
      <w:bookmarkStart w:id="413" w:name="Tc_DAROAU_d90eA3QFdJPKkVQ_7_5"/>
      <w:bookmarkStart w:id="414" w:name="Tc_4StihaBwYkuC-7UAqF6pdQ_7_2"/>
      <w:bookmarkStart w:id="415" w:name="Tc_R9GhmMmkpEGZ5ZDgF8mzqA_7_0"/>
      <w:bookmarkStart w:id="416" w:name="Tc_S7_8L47_yEGgduYt0qoxXg_6_34"/>
      <w:bookmarkStart w:id="417" w:name="Tc_mO7Axrt5-UGJEwJy2sy7Dw_6_31"/>
      <w:bookmarkStart w:id="418" w:name="Tc_nmaVTRNWKUu-1sBToMnlcg_6_28"/>
      <w:bookmarkStart w:id="419" w:name="Tc_jrcmXwiY-keFVwHUoATvTg_6_25"/>
      <w:bookmarkStart w:id="420" w:name="Tc_Shd5HNkMz0KlrtmRH5kGXA_6_22"/>
      <w:bookmarkStart w:id="421" w:name="Tc_2sgmLqEzdEyy4c4EHBQa4w_6_21"/>
      <w:bookmarkStart w:id="422" w:name="Tc_h5qEIMOBvk6cyoRpnRbq9g_6_19"/>
      <w:bookmarkStart w:id="423" w:name="Tc_VgA5BYmRTUesPfa_N99jXQ_6_14"/>
      <w:bookmarkStart w:id="424" w:name="Tc_8NzMwl9UjkCUv2M_ij6IFQ_6_9"/>
      <w:bookmarkStart w:id="425" w:name="Tc_mc61q1idpUOGXbv5APjWYA_6_4"/>
      <w:bookmarkStart w:id="426" w:name="Tc_U3COcU-a40GiDWaOFTlHtg_6_0"/>
      <w:bookmarkStart w:id="427" w:name="Tc_W-sJnwm8F0WFCcHcLId1ZA_5_34"/>
      <w:bookmarkStart w:id="428" w:name="Tc_SFoWJU5pAkeCGKg_ACinpQ_5_31"/>
      <w:bookmarkStart w:id="429" w:name="Tc_xTzQeaw4t0-g6oMLVue0KQ_5_28"/>
      <w:bookmarkStart w:id="430" w:name="Tc_av7ZGU59IkC8V9msgCs75A_5_25"/>
      <w:bookmarkStart w:id="431" w:name="Tc_PV5FG1dBTEKiHFNAsJjcJQ_5_22"/>
      <w:bookmarkStart w:id="432" w:name="Tc_JsiFhwuKck6chL3O1DqNAA_5_19"/>
      <w:bookmarkStart w:id="433" w:name="Tc_orMb_JalTU-wRJk01Hc6pA_5_17"/>
      <w:bookmarkStart w:id="434" w:name="Tc_GvDiGOMRfECE8kyIhGfkFg_5_14"/>
      <w:bookmarkStart w:id="435" w:name="Tc_opZPmNPCEkijRFUdehOztw_5_12"/>
      <w:bookmarkStart w:id="436" w:name="Tc_Hu-QKxdke0mpa2waKwgIbw_5_9"/>
      <w:bookmarkStart w:id="437" w:name="Tc_-ex1YogoFkebH6Lh2smQTw_5_7"/>
      <w:bookmarkStart w:id="438" w:name="Tc_zDAsOo2nO0Gm1ecVohtZ-A_5_4"/>
      <w:bookmarkStart w:id="439" w:name="Tc_VKZwPjpjM0yglXgu2EV39w_5_2"/>
      <w:bookmarkStart w:id="440" w:name="Tc_TwaoyNotzE6En7IthurD2Q_4_34"/>
      <w:bookmarkStart w:id="441" w:name="Tc_YYKWm3IqPUaTDdbGWICh4A_4_31"/>
      <w:bookmarkStart w:id="442" w:name="Tc_4pRLPxgw_Ue0HKS34GmGyA_4_28"/>
      <w:bookmarkStart w:id="443" w:name="Tc_kvb2w7Ry80mtHPw_opv8kQ_4_25"/>
      <w:bookmarkStart w:id="444" w:name="Tc_U44k2Zx0FECPjFON77qL8w_4_22"/>
      <w:bookmarkStart w:id="445" w:name="Tc_7F8nVxtef06ha85h5gWP1A_4_17"/>
      <w:bookmarkStart w:id="446" w:name="Tc_RFGzesUiI0aN5GDWq8h33A_4_12"/>
      <w:bookmarkStart w:id="447" w:name="Tc_I-fxDfHXP0O-cqhsy-b_eg_4_7"/>
      <w:bookmarkStart w:id="448" w:name="Tc_P1TDXv_ZPkSO_u6qOQSIjA_4_2"/>
      <w:bookmarkStart w:id="449" w:name="Tc_4w76NVsnaUGkW3GpXRgBZQ_3_34"/>
      <w:bookmarkStart w:id="450" w:name="Tc_vHcq6sFo-0e6f7i7WK1xhA_3_28"/>
      <w:bookmarkStart w:id="451" w:name="Tc_koOaeyGA_kmmbPlCqk2UiA_3_22"/>
      <w:bookmarkStart w:id="452" w:name="Tc_3QM1MgMBUkOkleMRpUkPNw_2_28"/>
      <w:bookmarkStart w:id="453" w:name="Tc_TceMmRRkg0WJSSuZYHro6A_1_2"/>
      <w:bookmarkStart w:id="454" w:name="_539050dd_768e_4928_8294_a590699cbcee"/>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bl>
      <w:tblPr>
        <w:tblW w:w="13478" w:type="dxa"/>
        <w:jc w:val="left"/>
        <w:tblInd w:w="0" w:type="dxa"/>
        <w:tblCellMar>
          <w:top w:w="0" w:type="dxa"/>
          <w:left w:w="0" w:type="dxa"/>
          <w:bottom w:w="0" w:type="dxa"/>
          <w:right w:w="0" w:type="dxa"/>
        </w:tblCellMar>
      </w:tblPr>
      <w:tblGrid>
        <w:gridCol w:w="796"/>
        <w:gridCol w:w="206"/>
        <w:gridCol w:w="646"/>
        <w:gridCol w:w="326"/>
        <w:gridCol w:w="170"/>
        <w:gridCol w:w="356"/>
        <w:gridCol w:w="326"/>
        <w:gridCol w:w="451"/>
        <w:gridCol w:w="326"/>
        <w:gridCol w:w="170"/>
        <w:gridCol w:w="356"/>
        <w:gridCol w:w="326"/>
        <w:gridCol w:w="541"/>
        <w:gridCol w:w="326"/>
        <w:gridCol w:w="170"/>
        <w:gridCol w:w="356"/>
        <w:gridCol w:w="326"/>
        <w:gridCol w:w="691"/>
        <w:gridCol w:w="326"/>
        <w:gridCol w:w="170"/>
        <w:gridCol w:w="356"/>
        <w:gridCol w:w="326"/>
        <w:gridCol w:w="226"/>
        <w:gridCol w:w="496"/>
        <w:gridCol w:w="326"/>
        <w:gridCol w:w="186"/>
        <w:gridCol w:w="610"/>
        <w:gridCol w:w="326"/>
        <w:gridCol w:w="234"/>
        <w:gridCol w:w="682"/>
        <w:gridCol w:w="326"/>
        <w:gridCol w:w="282"/>
        <w:gridCol w:w="589"/>
        <w:gridCol w:w="326"/>
        <w:gridCol w:w="182"/>
        <w:gridCol w:w="644"/>
      </w:tblGrid>
      <w:tr>
        <w:trPr/>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5460" cy="175260"/>
                      <wp:effectExtent l="0" t="0" r="0" b="0"/>
                      <wp:wrapNone/>
                      <wp:docPr id="16" name="Frame1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0810" cy="175260"/>
                      <wp:effectExtent l="0" t="0" r="0" b="0"/>
                      <wp:wrapNone/>
                      <wp:docPr id="17" name="Frame1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10210" cy="175260"/>
                      <wp:effectExtent l="0" t="0" r="0" b="0"/>
                      <wp:wrapNone/>
                      <wp:docPr id="18" name="Frame18"/>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7950" cy="175260"/>
                      <wp:effectExtent l="0" t="0" r="0" b="0"/>
                      <wp:wrapNone/>
                      <wp:docPr id="20" name="Frame20"/>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6060" cy="175260"/>
                      <wp:effectExtent l="0" t="0" r="0" b="0"/>
                      <wp:wrapNone/>
                      <wp:docPr id="21" name="Frame21"/>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86385" cy="175260"/>
                      <wp:effectExtent l="0" t="0" r="0" b="0"/>
                      <wp:wrapNone/>
                      <wp:docPr id="23" name="Frame23"/>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07950" cy="175260"/>
                      <wp:effectExtent l="0" t="0" r="0" b="0"/>
                      <wp:wrapNone/>
                      <wp:docPr id="25" name="Frame25"/>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26060" cy="175260"/>
                      <wp:effectExtent l="0" t="0" r="0" b="0"/>
                      <wp:wrapNone/>
                      <wp:docPr id="26" name="Frame26"/>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43535" cy="175260"/>
                      <wp:effectExtent l="0" t="0" r="0" b="0"/>
                      <wp:wrapNone/>
                      <wp:docPr id="28" name="Frame28"/>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07950" cy="175260"/>
                      <wp:effectExtent l="0" t="0" r="0" b="0"/>
                      <wp:wrapNone/>
                      <wp:docPr id="30" name="Frame30"/>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26060" cy="175260"/>
                      <wp:effectExtent l="0" t="0" r="0" b="0"/>
                      <wp:wrapNone/>
                      <wp:docPr id="31" name="Frame31"/>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7950" cy="175260"/>
                      <wp:effectExtent l="0" t="0" r="0" b="0"/>
                      <wp:wrapNone/>
                      <wp:docPr id="35" name="Frame35"/>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6060" cy="175260"/>
                      <wp:effectExtent l="0" t="0" r="0" b="0"/>
                      <wp:wrapNone/>
                      <wp:docPr id="36" name="Frame36"/>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8" name="Frame38"/>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14960" cy="175260"/>
                      <wp:effectExtent l="0" t="0" r="0" b="0"/>
                      <wp:wrapNone/>
                      <wp:docPr id="39" name="Frame39"/>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18110" cy="175260"/>
                      <wp:effectExtent l="0" t="0" r="0" b="0"/>
                      <wp:wrapNone/>
                      <wp:docPr id="41" name="Frame41"/>
                      <a:graphic xmlns:a="http://schemas.openxmlformats.org/drawingml/2006/main">
                        <a:graphicData uri="http://schemas.microsoft.com/office/word/2010/wordprocessingShape">
                          <wps:wsp>
                            <wps:cNvSpPr txBox="1"/>
                            <wps:spPr>
                              <a:xfrm>
                                <a:off x="0" y="0"/>
                                <a:ext cx="118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87350" cy="175260"/>
                      <wp:effectExtent l="0" t="0" r="0" b="0"/>
                      <wp:wrapNone/>
                      <wp:docPr id="42" name="Frame42"/>
                      <a:graphic xmlns:a="http://schemas.openxmlformats.org/drawingml/2006/main">
                        <a:graphicData uri="http://schemas.microsoft.com/office/word/2010/wordprocessingShape">
                          <wps:wsp>
                            <wps:cNvSpPr txBox="1"/>
                            <wps:spPr>
                              <a:xfrm>
                                <a:off x="0" y="0"/>
                                <a:ext cx="3873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8590" cy="175260"/>
                      <wp:effectExtent l="0" t="0" r="0" b="0"/>
                      <wp:wrapNone/>
                      <wp:docPr id="44" name="Frame44"/>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3070" cy="175260"/>
                      <wp:effectExtent l="0" t="0" r="0" b="0"/>
                      <wp:wrapNone/>
                      <wp:docPr id="45" name="Frame45"/>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9070" cy="175260"/>
                      <wp:effectExtent l="0" t="0" r="0" b="0"/>
                      <wp:wrapNone/>
                      <wp:docPr id="47" name="Frame47"/>
                      <a:graphic xmlns:a="http://schemas.openxmlformats.org/drawingml/2006/main">
                        <a:graphicData uri="http://schemas.microsoft.com/office/word/2010/wordprocessingShape">
                          <wps:wsp>
                            <wps:cNvSpPr txBox="1"/>
                            <wps:spPr>
                              <a:xfrm>
                                <a:off x="0" y="0"/>
                                <a:ext cx="1790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74015" cy="175260"/>
                      <wp:effectExtent l="0" t="0" r="0" b="0"/>
                      <wp:wrapNone/>
                      <wp:docPr id="48" name="Frame48"/>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15570" cy="175260"/>
                      <wp:effectExtent l="0" t="0" r="0" b="0"/>
                      <wp:wrapNone/>
                      <wp:docPr id="50" name="Frame50"/>
                      <a:graphic xmlns:a="http://schemas.openxmlformats.org/drawingml/2006/main">
                        <a:graphicData uri="http://schemas.microsoft.com/office/word/2010/wordprocessingShape">
                          <wps:wsp>
                            <wps:cNvSpPr txBox="1"/>
                            <wps:spPr>
                              <a:xfrm>
                                <a:off x="0" y="0"/>
                                <a:ext cx="115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08940" cy="175260"/>
                      <wp:effectExtent l="0" t="0" r="0" b="0"/>
                      <wp:wrapNone/>
                      <wp:docPr id="51" name="Frame51"/>
                      <a:graphic xmlns:a="http://schemas.openxmlformats.org/drawingml/2006/main">
                        <a:graphicData uri="http://schemas.microsoft.com/office/word/2010/wordprocessingShape">
                          <wps:wsp>
                            <wps:cNvSpPr txBox="1"/>
                            <wps:spPr>
                              <a:xfrm>
                                <a:off x="0" y="0"/>
                                <a:ext cx="408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2476" w:type="dxa"/>
            <w:gridSpan w:val="3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2023</w:t>
            </w:r>
          </w:p>
        </w:tc>
      </w:tr>
      <w:tr>
        <w:trPr/>
        <w:tc>
          <w:tcPr>
            <w:tcW w:w="7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6" w:type="dxa"/>
            <w:tcBorders/>
            <w:shd w:fill="auto" w:val="clear"/>
            <w:vAlign w:val="center"/>
          </w:tcPr>
          <w:p>
            <w:pPr>
              <w:pStyle w:val="TableContents"/>
              <w:spacing w:before="0" w:after="1"/>
              <w:ind w:left="0" w:right="0" w:hanging="0"/>
              <w:rPr/>
            </w:pPr>
            <w:r>
              <w:rPr/>
              <w:t>​</w:t>
            </w:r>
          </w:p>
        </w:tc>
        <w:tc>
          <w:tcPr>
            <w:tcW w:w="61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282" w:type="dxa"/>
            <w:tcBorders/>
            <w:shd w:fill="auto" w:val="clear"/>
            <w:vAlign w:val="center"/>
          </w:tcPr>
          <w:p>
            <w:pPr>
              <w:pStyle w:val="TableContents"/>
              <w:spacing w:before="0" w:after="1"/>
              <w:ind w:left="0" w:right="0" w:hanging="0"/>
              <w:rPr/>
            </w:pPr>
            <w:r>
              <w:rPr/>
              <w:t>​</w:t>
            </w:r>
          </w:p>
        </w:tc>
        <w:tc>
          <w:tcPr>
            <w:tcW w:w="58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2" w:type="dxa"/>
            <w:tcBorders/>
            <w:shd w:fill="auto" w:val="clear"/>
            <w:vAlign w:val="center"/>
          </w:tcPr>
          <w:p>
            <w:pPr>
              <w:pStyle w:val="TableContents"/>
              <w:spacing w:before="0" w:after="1"/>
              <w:ind w:left="0" w:right="0" w:hanging="0"/>
              <w:rPr/>
            </w:pPr>
            <w:r>
              <w:rPr/>
              <w:t>​</w:t>
            </w:r>
          </w:p>
        </w:tc>
        <w:tc>
          <w:tcPr>
            <w:tcW w:w="644"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6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2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26" w:type="dxa"/>
            <w:tcBorders/>
            <w:shd w:fill="auto" w:val="clear"/>
            <w:vAlign w:val="center"/>
          </w:tcPr>
          <w:p>
            <w:pPr>
              <w:pStyle w:val="TableContents"/>
              <w:spacing w:before="0" w:after="1"/>
              <w:ind w:left="0" w:right="0" w:hanging="0"/>
              <w:jc w:val="center"/>
              <w:rPr/>
            </w:pPr>
            <w:r>
              <w:rPr/>
              <w:t>​</w:t>
            </w:r>
          </w:p>
        </w:tc>
        <w:tc>
          <w:tcPr>
            <w:tcW w:w="186" w:type="dxa"/>
            <w:tcBorders/>
            <w:shd w:fill="auto" w:val="clear"/>
            <w:vAlign w:val="center"/>
          </w:tcPr>
          <w:p>
            <w:pPr>
              <w:pStyle w:val="TableContents"/>
              <w:spacing w:before="0" w:after="1"/>
              <w:ind w:left="0" w:right="0" w:hanging="0"/>
              <w:rPr/>
            </w:pPr>
            <w:r>
              <w:rPr/>
              <w:t>​</w:t>
            </w:r>
          </w:p>
        </w:tc>
        <w:tc>
          <w:tcPr>
            <w:tcW w:w="61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26" w:type="dxa"/>
            <w:tcBorders/>
            <w:shd w:fill="auto" w:val="clear"/>
            <w:vAlign w:val="center"/>
          </w:tcPr>
          <w:p>
            <w:pPr>
              <w:pStyle w:val="TableContents"/>
              <w:spacing w:before="0" w:after="1"/>
              <w:ind w:left="0" w:right="0" w:hanging="0"/>
              <w:jc w:val="center"/>
              <w:rPr/>
            </w:pPr>
            <w:r>
              <w:rPr/>
              <w:t>​</w:t>
            </w:r>
          </w:p>
        </w:tc>
        <w:tc>
          <w:tcPr>
            <w:tcW w:w="282" w:type="dxa"/>
            <w:tcBorders/>
            <w:shd w:fill="auto" w:val="clear"/>
            <w:vAlign w:val="center"/>
          </w:tcPr>
          <w:p>
            <w:pPr>
              <w:pStyle w:val="TableContents"/>
              <w:spacing w:before="0" w:after="1"/>
              <w:ind w:left="0" w:right="0" w:hanging="0"/>
              <w:rPr/>
            </w:pPr>
            <w:r>
              <w:rPr/>
              <w:t>​</w:t>
            </w:r>
          </w:p>
        </w:tc>
        <w:tc>
          <w:tcPr>
            <w:tcW w:w="58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7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149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shd w:fill="auto" w:val="clear"/>
            <w:vAlign w:val="center"/>
          </w:tcPr>
          <w:p>
            <w:pPr>
              <w:pStyle w:val="TableContents"/>
              <w:spacing w:before="0" w:after="1"/>
              <w:ind w:left="0" w:right="0" w:hanging="0"/>
              <w:rPr/>
            </w:pPr>
            <w:r>
              <w:rPr/>
              <w:t>​</w:t>
            </w:r>
          </w:p>
        </w:tc>
        <w:tc>
          <w:tcPr>
            <w:tcW w:w="13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A Shares</w:t>
            </w:r>
          </w:p>
        </w:tc>
        <w:tc>
          <w:tcPr>
            <w:tcW w:w="326" w:type="dxa"/>
            <w:tcBorders/>
            <w:shd w:fill="auto" w:val="clear"/>
            <w:vAlign w:val="center"/>
          </w:tcPr>
          <w:p>
            <w:pPr>
              <w:pStyle w:val="TableContents"/>
              <w:spacing w:before="0" w:after="1"/>
              <w:ind w:left="0" w:right="0" w:hanging="0"/>
              <w:jc w:val="center"/>
              <w:rPr/>
            </w:pPr>
            <w:r>
              <w:rPr/>
              <w:t>​</w:t>
            </w:r>
          </w:p>
        </w:tc>
        <w:tc>
          <w:tcPr>
            <w:tcW w:w="139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B Shares</w:t>
            </w:r>
          </w:p>
        </w:tc>
        <w:tc>
          <w:tcPr>
            <w:tcW w:w="326" w:type="dxa"/>
            <w:tcBorders/>
            <w:shd w:fill="auto" w:val="clear"/>
            <w:vAlign w:val="center"/>
          </w:tcPr>
          <w:p>
            <w:pPr>
              <w:pStyle w:val="TableContents"/>
              <w:spacing w:before="0" w:after="1"/>
              <w:ind w:left="0" w:right="0" w:hanging="0"/>
              <w:jc w:val="center"/>
              <w:rPr/>
            </w:pPr>
            <w:r>
              <w:rPr/>
              <w:t>​</w:t>
            </w:r>
          </w:p>
        </w:tc>
        <w:tc>
          <w:tcPr>
            <w:tcW w:w="154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 C Shares</w:t>
            </w:r>
          </w:p>
        </w:tc>
        <w:tc>
          <w:tcPr>
            <w:tcW w:w="326" w:type="dxa"/>
            <w:tcBorders/>
            <w:shd w:fill="auto" w:val="clear"/>
            <w:vAlign w:val="center"/>
          </w:tcPr>
          <w:p>
            <w:pPr>
              <w:pStyle w:val="TableContents"/>
              <w:spacing w:before="0" w:after="1"/>
              <w:ind w:left="0" w:right="0" w:hanging="0"/>
              <w:rPr/>
            </w:pPr>
            <w:r>
              <w:rPr/>
              <w:t>​</w:t>
            </w:r>
          </w:p>
        </w:tc>
        <w:tc>
          <w:tcPr>
            <w:tcW w:w="72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26" w:type="dxa"/>
            <w:tcBorders/>
            <w:shd w:fill="auto" w:val="clear"/>
            <w:vAlign w:val="center"/>
          </w:tcPr>
          <w:p>
            <w:pPr>
              <w:pStyle w:val="TableContents"/>
              <w:spacing w:before="0" w:after="1"/>
              <w:ind w:left="0" w:right="0" w:hanging="0"/>
              <w:jc w:val="center"/>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9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26" w:type="dxa"/>
            <w:tcBorders/>
            <w:shd w:fill="auto" w:val="clear"/>
            <w:vAlign w:val="center"/>
          </w:tcPr>
          <w:p>
            <w:pPr>
              <w:pStyle w:val="TableContents"/>
              <w:spacing w:before="0" w:after="1"/>
              <w:ind w:left="0" w:right="0" w:hanging="0"/>
              <w:jc w:val="center"/>
              <w:rPr/>
            </w:pPr>
            <w:r>
              <w:rPr/>
              <w:t>​</w:t>
            </w:r>
          </w:p>
        </w:tc>
        <w:tc>
          <w:tcPr>
            <w:tcW w:w="8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Shareholders’</w:t>
            </w:r>
          </w:p>
        </w:tc>
      </w:tr>
      <w:tr>
        <w:trPr/>
        <w:tc>
          <w:tcPr>
            <w:tcW w:w="7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jc w:val="center"/>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1"/>
              <w:ind w:left="0" w:right="0" w:hanging="0"/>
              <w:rPr/>
            </w:pPr>
            <w:r>
              <w:rPr/>
              <w:t>    </w:t>
            </w:r>
          </w:p>
        </w:tc>
        <w:tc>
          <w:tcPr>
            <w:tcW w:w="7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26" w:type="dxa"/>
            <w:tcBorders/>
            <w:shd w:fill="auto" w:val="clear"/>
            <w:vAlign w:val="center"/>
          </w:tcPr>
          <w:p>
            <w:pPr>
              <w:pStyle w:val="TableContents"/>
              <w:spacing w:before="0" w:after="1"/>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shd w:fill="auto" w:val="clear"/>
            <w:vAlign w:val="center"/>
          </w:tcPr>
          <w:p>
            <w:pPr>
              <w:pStyle w:val="TableContents"/>
              <w:spacing w:before="0" w:after="1"/>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26" w:type="dxa"/>
            <w:tcBorders/>
            <w:shd w:fill="auto" w:val="clear"/>
            <w:vAlign w:val="center"/>
          </w:tcPr>
          <w:p>
            <w:pPr>
              <w:pStyle w:val="TableContents"/>
              <w:spacing w:before="0" w:after="1"/>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26" w:type="dxa"/>
            <w:tcBorders/>
            <w:shd w:fill="auto" w:val="clear"/>
            <w:vAlign w:val="center"/>
          </w:tcPr>
          <w:p>
            <w:pPr>
              <w:pStyle w:val="TableContents"/>
              <w:spacing w:before="0" w:after="1"/>
              <w:ind w:left="0" w:right="0" w:hanging="0"/>
              <w:jc w:val="center"/>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Balance, January 1, 2023</w:t>
            </w:r>
          </w:p>
        </w:tc>
        <w:tc>
          <w:tcPr>
            <w:tcW w:w="20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37,683,531</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63,443</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86</w:t>
            </w:r>
          </w:p>
        </w:tc>
        <w:tc>
          <w:tcPr>
            <w:tcW w:w="326" w:type="dxa"/>
            <w:tcBorders/>
            <w:shd w:fill="CCEEFF" w:val="clear"/>
            <w:vAlign w:val="center"/>
          </w:tcPr>
          <w:p>
            <w:pPr>
              <w:pStyle w:val="TableContents"/>
              <w:spacing w:before="0" w:after="1"/>
              <w:ind w:left="0" w:right="0" w:hanging="0"/>
              <w:jc w:val="right"/>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570,987</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27,828,231</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b/>
                <w:sz w:val="9"/>
              </w:rPr>
            </w:pPr>
            <w:r>
              <w:rPr>
                <w:rFonts w:ascii="Times New Roman;Times;serif" w:hAnsi="Times New Roman;Times;serif"/>
                <w:b/>
                <w:sz w:val="9"/>
              </w:rPr>
              <w:t>1</w:t>
            </w:r>
          </w:p>
        </w:tc>
        <w:tc>
          <w:tcPr>
            <w:tcW w:w="226" w:type="dxa"/>
            <w:tcBorders/>
            <w:shd w:fill="CCEEFF" w:val="clear"/>
            <w:vAlign w:val="center"/>
          </w:tcPr>
          <w:p>
            <w:pPr>
              <w:pStyle w:val="TableContents"/>
              <w:spacing w:before="0" w:after="1"/>
              <w:ind w:left="0" w:right="0" w:hanging="0"/>
              <w:rPr/>
            </w:pPr>
            <w:r>
              <w:rPr/>
              <w:t> </w:t>
            </w:r>
            <w:r>
              <w:rPr>
                <w:rFonts w:ascii="Times New Roman;Times;serif" w:hAnsi="Times New Roman;Times;serif"/>
                <w:b/>
                <w:sz w:val="12"/>
              </w:rPr>
              <w:t>$</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379,504</w:t>
            </w:r>
          </w:p>
        </w:tc>
        <w:tc>
          <w:tcPr>
            <w:tcW w:w="326" w:type="dxa"/>
            <w:tcBorders/>
            <w:shd w:fill="CCEEFF" w:val="clear"/>
            <w:vAlign w:val="center"/>
          </w:tcPr>
          <w:p>
            <w:pPr>
              <w:pStyle w:val="TableContents"/>
              <w:spacing w:before="0" w:after="1"/>
              <w:ind w:left="0" w:right="0" w:hanging="0"/>
              <w:jc w:val="right"/>
              <w:rPr/>
            </w:pPr>
            <w:r>
              <w:rPr/>
              <w:t>​</w:t>
            </w:r>
          </w:p>
        </w:tc>
        <w:tc>
          <w:tcPr>
            <w:tcW w:w="18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10"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(103,243)</w:t>
            </w:r>
          </w:p>
        </w:tc>
        <w:tc>
          <w:tcPr>
            <w:tcW w:w="326" w:type="dxa"/>
            <w:tcBorders/>
            <w:shd w:fill="CCEEFF" w:val="clear"/>
            <w:vAlign w:val="center"/>
          </w:tcPr>
          <w:p>
            <w:pPr>
              <w:pStyle w:val="TableContents"/>
              <w:spacing w:before="0" w:after="1"/>
              <w:ind w:left="0" w:right="0" w:hanging="0"/>
              <w:jc w:val="right"/>
              <w:rPr/>
            </w:pPr>
            <w:r>
              <w:rPr/>
              <w:t>​</w:t>
            </w:r>
          </w:p>
        </w:tc>
        <w:tc>
          <w:tcPr>
            <w:tcW w:w="234"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82"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(33,460)</w:t>
            </w:r>
          </w:p>
        </w:tc>
        <w:tc>
          <w:tcPr>
            <w:tcW w:w="326" w:type="dxa"/>
            <w:tcBorders/>
            <w:shd w:fill="CCEEFF" w:val="clear"/>
            <w:vAlign w:val="center"/>
          </w:tcPr>
          <w:p>
            <w:pPr>
              <w:pStyle w:val="TableContents"/>
              <w:spacing w:before="0" w:after="1"/>
              <w:ind w:left="0" w:right="0" w:hanging="0"/>
              <w:jc w:val="right"/>
              <w:rPr/>
            </w:pPr>
            <w:r>
              <w:rPr/>
              <w:t>​</w:t>
            </w:r>
          </w:p>
        </w:tc>
        <w:tc>
          <w:tcPr>
            <w:tcW w:w="282"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9"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305</w:t>
            </w:r>
          </w:p>
        </w:tc>
        <w:tc>
          <w:tcPr>
            <w:tcW w:w="326" w:type="dxa"/>
            <w:tcBorders/>
            <w:shd w:fill="CCEEFF" w:val="clear"/>
            <w:vAlign w:val="center"/>
          </w:tcPr>
          <w:p>
            <w:pPr>
              <w:pStyle w:val="TableContents"/>
              <w:spacing w:before="0" w:after="1"/>
              <w:ind w:left="0" w:right="0" w:hanging="0"/>
              <w:jc w:val="right"/>
              <w:rPr/>
            </w:pPr>
            <w:r>
              <w:rPr/>
              <w:t>​</w:t>
            </w:r>
          </w:p>
        </w:tc>
        <w:tc>
          <w:tcPr>
            <w:tcW w:w="182"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44"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243,201</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Share based compensation</w:t>
            </w:r>
          </w:p>
        </w:tc>
        <w:tc>
          <w:tcPr>
            <w:tcW w:w="20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 </w:t>
            </w:r>
          </w:p>
        </w:tc>
        <w:tc>
          <w:tcPr>
            <w:tcW w:w="4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2,222</w:t>
            </w:r>
          </w:p>
        </w:tc>
        <w:tc>
          <w:tcPr>
            <w:tcW w:w="326" w:type="dxa"/>
            <w:tcBorders/>
            <w:shd w:fill="auto" w:val="clear"/>
            <w:vAlign w:val="center"/>
          </w:tcPr>
          <w:p>
            <w:pPr>
              <w:pStyle w:val="TableContents"/>
              <w:spacing w:before="0" w:after="1"/>
              <w:ind w:left="0" w:right="0" w:hanging="0"/>
              <w:jc w:val="right"/>
              <w:rPr/>
            </w:pPr>
            <w:r>
              <w:rPr/>
              <w:t>​</w:t>
            </w:r>
          </w:p>
        </w:tc>
        <w:tc>
          <w:tcPr>
            <w:tcW w:w="186" w:type="dxa"/>
            <w:tcBorders/>
            <w:shd w:fill="auto" w:val="clear"/>
            <w:vAlign w:val="center"/>
          </w:tcPr>
          <w:p>
            <w:pPr>
              <w:pStyle w:val="TableContents"/>
              <w:spacing w:before="0" w:after="1"/>
              <w:ind w:left="0" w:right="0" w:hanging="0"/>
              <w:rPr/>
            </w:pPr>
            <w:r>
              <w:rPr/>
              <w:t> </w:t>
            </w:r>
          </w:p>
        </w:tc>
        <w:tc>
          <w:tcPr>
            <w:tcW w:w="61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34" w:type="dxa"/>
            <w:tcBorders/>
            <w:shd w:fill="auto" w:val="clear"/>
            <w:vAlign w:val="center"/>
          </w:tcPr>
          <w:p>
            <w:pPr>
              <w:pStyle w:val="TableContents"/>
              <w:spacing w:before="0" w:after="1"/>
              <w:ind w:left="0" w:right="0" w:hanging="0"/>
              <w:rPr/>
            </w:pPr>
            <w:r>
              <w:rPr/>
              <w:t> </w:t>
            </w:r>
          </w:p>
        </w:tc>
        <w:tc>
          <w:tcPr>
            <w:tcW w:w="68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82" w:type="dxa"/>
            <w:tcBorders/>
            <w:shd w:fill="auto" w:val="clear"/>
            <w:vAlign w:val="center"/>
          </w:tcPr>
          <w:p>
            <w:pPr>
              <w:pStyle w:val="TableContents"/>
              <w:spacing w:before="0" w:after="1"/>
              <w:ind w:left="0" w:right="0" w:hanging="0"/>
              <w:rPr/>
            </w:pPr>
            <w:r>
              <w:rPr/>
              <w:t> </w:t>
            </w:r>
          </w:p>
        </w:tc>
        <w:tc>
          <w:tcPr>
            <w:tcW w:w="58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82" w:type="dxa"/>
            <w:tcBorders/>
            <w:shd w:fill="auto" w:val="clear"/>
            <w:vAlign w:val="center"/>
          </w:tcPr>
          <w:p>
            <w:pPr>
              <w:pStyle w:val="TableContents"/>
              <w:spacing w:before="0" w:after="1"/>
              <w:ind w:left="0" w:right="0" w:hanging="0"/>
              <w:rPr/>
            </w:pPr>
            <w:r>
              <w:rPr/>
              <w:t> </w:t>
            </w:r>
          </w:p>
        </w:tc>
        <w:tc>
          <w:tcPr>
            <w:tcW w:w="644"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2,222</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Issue of ordinary shares</w:t>
            </w:r>
          </w:p>
        </w:tc>
        <w:tc>
          <w:tcPr>
            <w:tcW w:w="20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673,494</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 </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 </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1,789</w:t>
            </w:r>
          </w:p>
        </w:tc>
        <w:tc>
          <w:tcPr>
            <w:tcW w:w="326" w:type="dxa"/>
            <w:tcBorders/>
            <w:shd w:fill="CCEEFF" w:val="clear"/>
            <w:vAlign w:val="center"/>
          </w:tcPr>
          <w:p>
            <w:pPr>
              <w:pStyle w:val="TableContents"/>
              <w:spacing w:before="0" w:after="1"/>
              <w:ind w:left="0" w:right="0" w:hanging="0"/>
              <w:rPr/>
            </w:pPr>
            <w:r>
              <w:rPr/>
              <w:t>​</w:t>
            </w:r>
          </w:p>
        </w:tc>
        <w:tc>
          <w:tcPr>
            <w:tcW w:w="186" w:type="dxa"/>
            <w:tcBorders/>
            <w:shd w:fill="CCEEFF" w:val="clear"/>
            <w:vAlign w:val="center"/>
          </w:tcPr>
          <w:p>
            <w:pPr>
              <w:pStyle w:val="TableContents"/>
              <w:spacing w:before="0" w:after="1"/>
              <w:ind w:left="0" w:right="0" w:hanging="0"/>
              <w:rPr/>
            </w:pPr>
            <w:r>
              <w:rPr/>
              <w:t> </w:t>
            </w:r>
          </w:p>
        </w:tc>
        <w:tc>
          <w:tcPr>
            <w:tcW w:w="61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34" w:type="dxa"/>
            <w:tcBorders/>
            <w:shd w:fill="CCEEFF" w:val="clear"/>
            <w:vAlign w:val="center"/>
          </w:tcPr>
          <w:p>
            <w:pPr>
              <w:pStyle w:val="TableContents"/>
              <w:spacing w:before="0" w:after="1"/>
              <w:ind w:left="0" w:right="0" w:hanging="0"/>
              <w:rPr/>
            </w:pPr>
            <w:r>
              <w:rPr/>
              <w:t> </w:t>
            </w:r>
          </w:p>
        </w:tc>
        <w:tc>
          <w:tcPr>
            <w:tcW w:w="6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82" w:type="dxa"/>
            <w:tcBorders/>
            <w:shd w:fill="CCEEFF" w:val="clear"/>
            <w:vAlign w:val="center"/>
          </w:tcPr>
          <w:p>
            <w:pPr>
              <w:pStyle w:val="TableContents"/>
              <w:spacing w:before="0" w:after="1"/>
              <w:ind w:left="0" w:right="0" w:hanging="0"/>
              <w:rPr/>
            </w:pPr>
            <w:r>
              <w:rPr/>
              <w:t> </w:t>
            </w:r>
          </w:p>
        </w:tc>
        <w:tc>
          <w:tcPr>
            <w:tcW w:w="58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82" w:type="dxa"/>
            <w:tcBorders/>
            <w:shd w:fill="CCEEFF" w:val="clear"/>
            <w:vAlign w:val="center"/>
          </w:tcPr>
          <w:p>
            <w:pPr>
              <w:pStyle w:val="TableContents"/>
              <w:spacing w:before="0" w:after="1"/>
              <w:ind w:left="0" w:right="0" w:hanging="0"/>
              <w:rPr/>
            </w:pPr>
            <w:r>
              <w:rPr/>
              <w:t> </w:t>
            </w:r>
          </w:p>
        </w:tc>
        <w:tc>
          <w:tcPr>
            <w:tcW w:w="644"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1,789</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Foreign currency translation adjustments</w:t>
            </w:r>
          </w:p>
        </w:tc>
        <w:tc>
          <w:tcPr>
            <w:tcW w:w="206" w:type="dxa"/>
            <w:tcBorders/>
            <w:shd w:fill="auto" w:val="clear"/>
            <w:vAlign w:val="center"/>
          </w:tcPr>
          <w:p>
            <w:pPr>
              <w:pStyle w:val="TableContents"/>
              <w:spacing w:before="0" w:after="1"/>
              <w:ind w:left="0" w:right="0" w:hanging="0"/>
              <w:jc w:val="right"/>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 </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shd w:fill="auto" w:val="clear"/>
            <w:vAlign w:val="center"/>
          </w:tcPr>
          <w:p>
            <w:pPr>
              <w:pStyle w:val="TableContents"/>
              <w:spacing w:before="0" w:after="1"/>
              <w:ind w:left="0" w:right="0" w:hanging="0"/>
              <w:rPr/>
            </w:pPr>
            <w:r>
              <w:rPr/>
              <w:t>​</w:t>
            </w:r>
          </w:p>
        </w:tc>
        <w:tc>
          <w:tcPr>
            <w:tcW w:w="3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 </w:t>
            </w:r>
          </w:p>
        </w:tc>
        <w:tc>
          <w:tcPr>
            <w:tcW w:w="4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86" w:type="dxa"/>
            <w:tcBorders/>
            <w:shd w:fill="auto" w:val="clear"/>
            <w:vAlign w:val="center"/>
          </w:tcPr>
          <w:p>
            <w:pPr>
              <w:pStyle w:val="TableContents"/>
              <w:spacing w:before="0" w:after="1"/>
              <w:ind w:left="0" w:right="0" w:hanging="0"/>
              <w:rPr/>
            </w:pPr>
            <w:r>
              <w:rPr/>
              <w:t> </w:t>
            </w:r>
          </w:p>
        </w:tc>
        <w:tc>
          <w:tcPr>
            <w:tcW w:w="61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34" w:type="dxa"/>
            <w:tcBorders/>
            <w:shd w:fill="auto" w:val="clear"/>
            <w:vAlign w:val="center"/>
          </w:tcPr>
          <w:p>
            <w:pPr>
              <w:pStyle w:val="TableContents"/>
              <w:spacing w:before="0" w:after="1"/>
              <w:ind w:left="0" w:right="0" w:hanging="0"/>
              <w:rPr/>
            </w:pPr>
            <w:r>
              <w:rPr/>
              <w:t> </w:t>
            </w:r>
          </w:p>
        </w:tc>
        <w:tc>
          <w:tcPr>
            <w:tcW w:w="682"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4,574</w:t>
            </w:r>
          </w:p>
        </w:tc>
        <w:tc>
          <w:tcPr>
            <w:tcW w:w="326" w:type="dxa"/>
            <w:tcBorders/>
            <w:shd w:fill="auto" w:val="clear"/>
            <w:vAlign w:val="center"/>
          </w:tcPr>
          <w:p>
            <w:pPr>
              <w:pStyle w:val="TableContents"/>
              <w:spacing w:before="0" w:after="1"/>
              <w:ind w:left="0" w:right="0" w:hanging="0"/>
              <w:jc w:val="right"/>
              <w:rPr/>
            </w:pPr>
            <w:r>
              <w:rPr/>
              <w:t>​</w:t>
            </w:r>
          </w:p>
        </w:tc>
        <w:tc>
          <w:tcPr>
            <w:tcW w:w="282" w:type="dxa"/>
            <w:tcBorders/>
            <w:shd w:fill="auto" w:val="clear"/>
            <w:vAlign w:val="center"/>
          </w:tcPr>
          <w:p>
            <w:pPr>
              <w:pStyle w:val="TableContents"/>
              <w:spacing w:before="0" w:after="1"/>
              <w:ind w:left="0" w:right="0" w:hanging="0"/>
              <w:rPr/>
            </w:pPr>
            <w:r>
              <w:rPr/>
              <w:t> </w:t>
            </w:r>
          </w:p>
        </w:tc>
        <w:tc>
          <w:tcPr>
            <w:tcW w:w="589"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w:t>
            </w:r>
          </w:p>
        </w:tc>
        <w:tc>
          <w:tcPr>
            <w:tcW w:w="326" w:type="dxa"/>
            <w:tcBorders/>
            <w:shd w:fill="auto" w:val="clear"/>
            <w:vAlign w:val="center"/>
          </w:tcPr>
          <w:p>
            <w:pPr>
              <w:pStyle w:val="TableContents"/>
              <w:spacing w:before="0" w:after="1"/>
              <w:ind w:left="0" w:right="0" w:hanging="0"/>
              <w:jc w:val="right"/>
              <w:rPr/>
            </w:pPr>
            <w:r>
              <w:rPr/>
              <w:t>​</w:t>
            </w:r>
          </w:p>
        </w:tc>
        <w:tc>
          <w:tcPr>
            <w:tcW w:w="182" w:type="dxa"/>
            <w:tcBorders/>
            <w:shd w:fill="auto" w:val="clear"/>
            <w:vAlign w:val="center"/>
          </w:tcPr>
          <w:p>
            <w:pPr>
              <w:pStyle w:val="TableContents"/>
              <w:spacing w:before="0" w:after="1"/>
              <w:ind w:left="0" w:right="0" w:hanging="0"/>
              <w:rPr/>
            </w:pPr>
            <w:r>
              <w:rPr/>
              <w:t> </w:t>
            </w:r>
          </w:p>
        </w:tc>
        <w:tc>
          <w:tcPr>
            <w:tcW w:w="644"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4,580</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Cancellation of deferred shares</w:t>
            </w:r>
          </w:p>
        </w:tc>
        <w:tc>
          <w:tcPr>
            <w:tcW w:w="206" w:type="dxa"/>
            <w:tcBorders/>
            <w:shd w:fill="CCEEFF" w:val="clear"/>
            <w:vAlign w:val="center"/>
          </w:tcPr>
          <w:p>
            <w:pPr>
              <w:pStyle w:val="TableContents"/>
              <w:spacing w:before="0" w:after="1"/>
              <w:ind w:left="0" w:right="0" w:hanging="0"/>
              <w:jc w:val="right"/>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(570,987)</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(27,828,231)</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shd w:fill="CCEEFF" w:val="clear"/>
            <w:vAlign w:val="center"/>
          </w:tcPr>
          <w:p>
            <w:pPr>
              <w:pStyle w:val="TableContents"/>
              <w:spacing w:before="0" w:after="1"/>
              <w:ind w:left="0" w:right="0" w:hanging="0"/>
              <w:rPr/>
            </w:pPr>
            <w:r>
              <w:rPr/>
              <w:t>​</w:t>
            </w:r>
          </w:p>
        </w:tc>
        <w:tc>
          <w:tcPr>
            <w:tcW w:w="3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sz w:val="9"/>
              </w:rPr>
            </w:pPr>
            <w:r>
              <w:rPr>
                <w:rFonts w:ascii="Times New Roman;Times;serif" w:hAnsi="Times New Roman;Times;serif"/>
                <w:sz w:val="9"/>
              </w:rPr>
              <w:t>1</w:t>
            </w:r>
          </w:p>
        </w:tc>
        <w:tc>
          <w:tcPr>
            <w:tcW w:w="226" w:type="dxa"/>
            <w:tcBorders/>
            <w:shd w:fill="CCEEFF" w:val="clear"/>
            <w:vAlign w:val="center"/>
          </w:tcPr>
          <w:p>
            <w:pPr>
              <w:pStyle w:val="TableContents"/>
              <w:spacing w:before="0" w:after="1"/>
              <w:ind w:left="0" w:right="0" w:hanging="0"/>
              <w:rPr/>
            </w:pPr>
            <w:r>
              <w:rPr/>
              <w:t>​</w:t>
            </w:r>
          </w:p>
        </w:tc>
        <w:tc>
          <w:tcPr>
            <w:tcW w:w="49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w:t>
            </w:r>
          </w:p>
        </w:tc>
        <w:tc>
          <w:tcPr>
            <w:tcW w:w="326" w:type="dxa"/>
            <w:tcBorders/>
            <w:shd w:fill="CCEEFF" w:val="clear"/>
            <w:vAlign w:val="center"/>
          </w:tcPr>
          <w:p>
            <w:pPr>
              <w:pStyle w:val="TableContents"/>
              <w:spacing w:before="0" w:after="1"/>
              <w:ind w:left="0" w:right="0" w:hanging="0"/>
              <w:jc w:val="right"/>
              <w:rPr/>
            </w:pPr>
            <w:r>
              <w:rPr/>
              <w:t>​</w:t>
            </w:r>
          </w:p>
        </w:tc>
        <w:tc>
          <w:tcPr>
            <w:tcW w:w="186" w:type="dxa"/>
            <w:tcBorders/>
            <w:shd w:fill="CCEEFF" w:val="clear"/>
            <w:vAlign w:val="center"/>
          </w:tcPr>
          <w:p>
            <w:pPr>
              <w:pStyle w:val="TableContents"/>
              <w:spacing w:before="0" w:after="1"/>
              <w:ind w:left="0" w:right="0" w:hanging="0"/>
              <w:rPr/>
            </w:pPr>
            <w:r>
              <w:rPr/>
              <w:t>​</w:t>
            </w:r>
          </w:p>
        </w:tc>
        <w:tc>
          <w:tcPr>
            <w:tcW w:w="61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34" w:type="dxa"/>
            <w:tcBorders/>
            <w:shd w:fill="CCEEFF" w:val="clear"/>
            <w:vAlign w:val="center"/>
          </w:tcPr>
          <w:p>
            <w:pPr>
              <w:pStyle w:val="TableContents"/>
              <w:spacing w:before="0" w:after="1"/>
              <w:ind w:left="0" w:right="0" w:hanging="0"/>
              <w:rPr/>
            </w:pPr>
            <w:r>
              <w:rPr/>
              <w:t>​</w:t>
            </w:r>
          </w:p>
        </w:tc>
        <w:tc>
          <w:tcPr>
            <w:tcW w:w="6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82" w:type="dxa"/>
            <w:tcBorders/>
            <w:shd w:fill="CCEEFF" w:val="clear"/>
            <w:vAlign w:val="center"/>
          </w:tcPr>
          <w:p>
            <w:pPr>
              <w:pStyle w:val="TableContents"/>
              <w:spacing w:before="0" w:after="1"/>
              <w:ind w:left="0" w:right="0" w:hanging="0"/>
              <w:rPr/>
            </w:pPr>
            <w:r>
              <w:rPr/>
              <w:t>​</w:t>
            </w:r>
          </w:p>
        </w:tc>
        <w:tc>
          <w:tcPr>
            <w:tcW w:w="58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82" w:type="dxa"/>
            <w:tcBorders/>
            <w:shd w:fill="CCEEFF" w:val="clear"/>
            <w:vAlign w:val="center"/>
          </w:tcPr>
          <w:p>
            <w:pPr>
              <w:pStyle w:val="TableContents"/>
              <w:spacing w:before="0" w:after="1"/>
              <w:ind w:left="0" w:right="0" w:hanging="0"/>
              <w:rPr/>
            </w:pPr>
            <w:r>
              <w:rPr/>
              <w:t>​</w:t>
            </w:r>
          </w:p>
        </w:tc>
        <w:tc>
          <w:tcPr>
            <w:tcW w:w="644" w:type="dxa"/>
            <w:tcBorders/>
            <w:shd w:fill="CCEEFF"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rFonts w:ascii="Times New Roman;Times;serif" w:hAnsi="Times New Roman;Times;serif"/>
                <w:sz w:val="12"/>
              </w:rPr>
            </w:pPr>
            <w:r>
              <w:rPr>
                <w:rFonts w:ascii="Times New Roman;Times;serif" w:hAnsi="Times New Roman;Times;serif"/>
                <w:sz w:val="12"/>
              </w:rPr>
              <w:t>Net loss</w:t>
            </w:r>
          </w:p>
        </w:tc>
        <w:tc>
          <w:tcPr>
            <w:tcW w:w="206" w:type="dxa"/>
            <w:tcBorders/>
            <w:shd w:fill="auto" w:val="clear"/>
            <w:vAlign w:val="center"/>
          </w:tcPr>
          <w:p>
            <w:pPr>
              <w:pStyle w:val="TableContents"/>
              <w:spacing w:before="0" w:after="1"/>
              <w:ind w:left="0" w:right="0" w:hanging="0"/>
              <w:jc w:val="right"/>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1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(18,180)</w:t>
            </w:r>
          </w:p>
        </w:tc>
        <w:tc>
          <w:tcPr>
            <w:tcW w:w="326" w:type="dxa"/>
            <w:tcBorders/>
            <w:shd w:fill="auto" w:val="clear"/>
            <w:vAlign w:val="center"/>
          </w:tcPr>
          <w:p>
            <w:pPr>
              <w:pStyle w:val="TableContents"/>
              <w:spacing w:before="0" w:after="1"/>
              <w:ind w:left="0" w:right="0" w:hanging="0"/>
              <w:jc w:val="right"/>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8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(43)</w:t>
            </w:r>
          </w:p>
        </w:tc>
        <w:tc>
          <w:tcPr>
            <w:tcW w:w="326" w:type="dxa"/>
            <w:tcBorders/>
            <w:shd w:fill="auto" w:val="clear"/>
            <w:vAlign w:val="center"/>
          </w:tcPr>
          <w:p>
            <w:pPr>
              <w:pStyle w:val="TableContents"/>
              <w:spacing w:before="0" w:after="1"/>
              <w:ind w:left="0" w:right="0" w:hanging="0"/>
              <w:jc w:val="right"/>
              <w:rPr/>
            </w:pPr>
            <w:r>
              <w:rPr/>
              <w:t>​</w:t>
            </w:r>
          </w:p>
        </w:tc>
        <w:tc>
          <w:tcPr>
            <w:tcW w:w="18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(18,223)</w:t>
            </w:r>
          </w:p>
        </w:tc>
      </w:tr>
      <w:tr>
        <w:trPr/>
        <w:tc>
          <w:tcPr>
            <w:tcW w:w="796" w:type="dxa"/>
            <w:tcBorders/>
            <w:shd w:fill="CCEEFF" w:val="cle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Balance, March 31, 2023</w:t>
            </w:r>
          </w:p>
        </w:tc>
        <w:tc>
          <w:tcPr>
            <w:tcW w:w="206" w:type="dxa"/>
            <w:tcBorders/>
            <w:shd w:fill="CCEEFF" w:val="clear"/>
            <w:vAlign w:val="center"/>
          </w:tcPr>
          <w:p>
            <w:pPr>
              <w:pStyle w:val="TableContents"/>
              <w:spacing w:before="0" w:after="1"/>
              <w:ind w:left="0" w:right="0" w:hanging="0"/>
              <w:rPr/>
            </w:pPr>
            <w:r>
              <w:rPr/>
              <w:t>​</w:t>
            </w:r>
          </w:p>
        </w:tc>
        <w:tc>
          <w:tcPr>
            <w:tcW w:w="6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38,357,025</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w:t>
            </w:r>
          </w:p>
        </w:tc>
        <w:tc>
          <w:tcPr>
            <w:tcW w:w="326" w:type="dxa"/>
            <w:tcBorders/>
            <w:shd w:fill="CCEEFF" w:val="clear"/>
            <w:vAlign w:val="center"/>
          </w:tcPr>
          <w:p>
            <w:pPr>
              <w:pStyle w:val="TableContents"/>
              <w:spacing w:before="0" w:after="1"/>
              <w:ind w:left="0" w:right="0" w:hanging="0"/>
              <w:rPr/>
            </w:pPr>
            <w:r>
              <w:rPr/>
              <w:t>​</w:t>
            </w:r>
          </w:p>
        </w:tc>
        <w:tc>
          <w:tcPr>
            <w:tcW w:w="4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63,443</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86</w:t>
            </w:r>
          </w:p>
        </w:tc>
        <w:tc>
          <w:tcPr>
            <w:tcW w:w="326" w:type="dxa"/>
            <w:tcBorders/>
            <w:shd w:fill="CCEEFF" w:val="clear"/>
            <w:vAlign w:val="center"/>
          </w:tcPr>
          <w:p>
            <w:pPr>
              <w:pStyle w:val="TableContents"/>
              <w:spacing w:before="0" w:after="1"/>
              <w:ind w:left="0" w:right="0" w:hanging="0"/>
              <w:jc w:val="right"/>
              <w:rPr/>
            </w:pPr>
            <w:r>
              <w:rPr/>
              <w:t>​</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4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383,523</w:t>
            </w:r>
          </w:p>
        </w:tc>
        <w:tc>
          <w:tcPr>
            <w:tcW w:w="326" w:type="dxa"/>
            <w:tcBorders/>
            <w:shd w:fill="CCEEFF" w:val="clear"/>
            <w:vAlign w:val="center"/>
          </w:tcPr>
          <w:p>
            <w:pPr>
              <w:pStyle w:val="TableContents"/>
              <w:spacing w:before="0" w:after="1"/>
              <w:ind w:left="0" w:right="0" w:hanging="0"/>
              <w:jc w:val="right"/>
              <w:rPr/>
            </w:pPr>
            <w:r>
              <w:rPr/>
              <w:t>​</w:t>
            </w:r>
          </w:p>
        </w:tc>
        <w:tc>
          <w:tcPr>
            <w:tcW w:w="18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1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(121,423)</w:t>
            </w:r>
          </w:p>
        </w:tc>
        <w:tc>
          <w:tcPr>
            <w:tcW w:w="326" w:type="dxa"/>
            <w:tcBorders/>
            <w:shd w:fill="CCEEFF" w:val="clear"/>
            <w:vAlign w:val="center"/>
          </w:tcPr>
          <w:p>
            <w:pPr>
              <w:pStyle w:val="TableContents"/>
              <w:spacing w:before="0" w:after="1"/>
              <w:ind w:left="0" w:right="0" w:hanging="0"/>
              <w:jc w:val="right"/>
              <w:rPr/>
            </w:pPr>
            <w:r>
              <w:rPr/>
              <w:t>​</w:t>
            </w:r>
          </w:p>
        </w:tc>
        <w:tc>
          <w:tcPr>
            <w:tcW w:w="23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(28,886)</w:t>
            </w:r>
          </w:p>
        </w:tc>
        <w:tc>
          <w:tcPr>
            <w:tcW w:w="326" w:type="dxa"/>
            <w:tcBorders/>
            <w:shd w:fill="CCEEFF" w:val="clear"/>
            <w:vAlign w:val="center"/>
          </w:tcPr>
          <w:p>
            <w:pPr>
              <w:pStyle w:val="TableContents"/>
              <w:spacing w:before="0" w:after="1"/>
              <w:ind w:left="0" w:right="0" w:hanging="0"/>
              <w:jc w:val="right"/>
              <w:rPr/>
            </w:pPr>
            <w:r>
              <w:rPr/>
              <w:t>​</w:t>
            </w:r>
          </w:p>
        </w:tc>
        <w:tc>
          <w:tcPr>
            <w:tcW w:w="28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58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268</w:t>
            </w:r>
          </w:p>
        </w:tc>
        <w:tc>
          <w:tcPr>
            <w:tcW w:w="326" w:type="dxa"/>
            <w:tcBorders/>
            <w:shd w:fill="CCEEFF" w:val="clear"/>
            <w:vAlign w:val="center"/>
          </w:tcPr>
          <w:p>
            <w:pPr>
              <w:pStyle w:val="TableContents"/>
              <w:spacing w:before="0" w:after="1"/>
              <w:ind w:left="0" w:right="0" w:hanging="0"/>
              <w:jc w:val="right"/>
              <w:rPr/>
            </w:pPr>
            <w:r>
              <w:rPr/>
              <w:t>​</w:t>
            </w:r>
          </w:p>
        </w:tc>
        <w:tc>
          <w:tcPr>
            <w:tcW w:w="18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2"/>
              </w:rPr>
            </w:pPr>
            <w:r>
              <w:rPr>
                <w:rFonts w:ascii="Times New Roman;Times;serif" w:hAnsi="Times New Roman;Times;serif"/>
                <w:b/>
                <w:sz w:val="12"/>
              </w:rPr>
              <w:t>$</w:t>
            </w:r>
          </w:p>
        </w:tc>
        <w:tc>
          <w:tcPr>
            <w:tcW w:w="644" w:type="dxa"/>
            <w:tcBorders>
              <w:bottom w:val="double" w:sz="6" w:space="0" w:color="000000"/>
            </w:tcBorders>
            <w:shd w:fill="CCEEFF" w:val="clear"/>
            <w:tcMar>
              <w:bottom w:w="28" w:type="dxa"/>
            </w:tcMar>
            <w:vAlign w:val="center"/>
          </w:tcPr>
          <w:p>
            <w:pPr>
              <w:pStyle w:val="TableContents"/>
              <w:spacing w:before="0" w:after="1"/>
              <w:ind w:left="0" w:right="45" w:hanging="0"/>
              <w:jc w:val="right"/>
              <w:rPr>
                <w:rFonts w:ascii="Times New Roman;Times;serif" w:hAnsi="Times New Roman;Times;serif"/>
                <w:b/>
                <w:sz w:val="12"/>
              </w:rPr>
            </w:pPr>
            <w:r>
              <w:rPr>
                <w:rFonts w:ascii="Times New Roman;Times;serif" w:hAnsi="Times New Roman;Times;serif"/>
                <w:b/>
                <w:sz w:val="12"/>
              </w:rPr>
              <w:t>233,569</w:t>
            </w:r>
          </w:p>
        </w:tc>
      </w:tr>
    </w:tbl>
    <w:p>
      <w:pPr>
        <w:pStyle w:val="TextBody"/>
        <w:spacing w:before="0" w:after="240"/>
        <w:ind w:left="0" w:right="0" w:hanging="0"/>
        <w:rPr/>
      </w:pPr>
      <w:r>
        <w:rPr/>
        <w:t>​</w:t>
      </w:r>
    </w:p>
    <w:p>
      <w:pPr>
        <w:pStyle w:val="Normal"/>
        <w:spacing w:before="0" w:after="0"/>
        <w:rPr>
          <w:sz w:val="4"/>
          <w:szCs w:val="4"/>
        </w:rPr>
      </w:pPr>
      <w:r>
        <w:rPr>
          <w:sz w:val="4"/>
          <w:szCs w:val="4"/>
        </w:rPr>
      </w:r>
      <w:bookmarkStart w:id="455" w:name="Tc_bP7bwLUCTEOfR7IOMR9rBw_11_34"/>
      <w:bookmarkStart w:id="456" w:name="Tc_-7LSwQQF_U-km3kidIGsjw_11_31"/>
      <w:bookmarkStart w:id="457" w:name="Tc_dIUN1YQxxkuKmdvMZoQ-DA_11_28"/>
      <w:bookmarkStart w:id="458" w:name="Tc_xyF53QPEHEytdtIfWFXZQQ_11_25"/>
      <w:bookmarkStart w:id="459" w:name="Tc_I6OmfN0-_EGYA9jjdYKNsA_11_22"/>
      <w:bookmarkStart w:id="460" w:name="Tc_5TxCuFNPwkG4yy2tHCxaoQ_11_21"/>
      <w:bookmarkStart w:id="461" w:name="Tc_sPhq3rrt_EiecioK_apHsA_11_19"/>
      <w:bookmarkStart w:id="462" w:name="Tc_RG5VqK3eMkiQZdLFHwz1tw_11_14"/>
      <w:bookmarkStart w:id="463" w:name="Tc_pOTVHPrJhE-xWMTDvMhDoA_11_9"/>
      <w:bookmarkStart w:id="464" w:name="Tc_1WKxcyu_20GtxRN_4koINw_11_4"/>
      <w:bookmarkStart w:id="465" w:name="Tc_m6KC9cGMbE-Gr246DTTEGg_11_0"/>
      <w:bookmarkStart w:id="466" w:name="Tc_i0vFS8drdUSAi4elOCLErw_10_29"/>
      <w:bookmarkStart w:id="467" w:name="Tc_VHB8hpjySkWyPV8RDqKaEg_10_23"/>
      <w:bookmarkStart w:id="468" w:name="Tc_ZVErPlPZu06pPOO0X47Qkw_10_20"/>
      <w:bookmarkStart w:id="469" w:name="Tc_p3qWbxb44EWwydy0dbkWPg_10_17"/>
      <w:bookmarkStart w:id="470" w:name="Tc_1H5wZinvy0C4TCVxbIj6cg_10_15"/>
      <w:bookmarkStart w:id="471" w:name="Tc_ozafBmEszU2vSoWv6fat4w_10_12"/>
      <w:bookmarkStart w:id="472" w:name="Tc_HfN1vP_FsEyNPx9CdPBu_Q_10_10"/>
      <w:bookmarkStart w:id="473" w:name="Tc_ySmXrHZjeEucEPeo8sZZvw_10_7"/>
      <w:bookmarkStart w:id="474" w:name="Tc_pBtBGTD5EEW8KQsFLAinYQ_10_5"/>
      <w:bookmarkStart w:id="475" w:name="Tc_PDKdjFfX0E2f2rs0xZOlmA_10_2"/>
      <w:bookmarkStart w:id="476" w:name="Tc_9XT3OqR7kk-D6vZGINyfXQ_10_0"/>
      <w:bookmarkStart w:id="477" w:name="Tc_aedm8gx5SU2TxoNpv-ObVA_9_26"/>
      <w:bookmarkStart w:id="478" w:name="Tc_DcXOE-CyIkmrcCd87fWUNw_9_23"/>
      <w:bookmarkStart w:id="479" w:name="Tc_EPO68fX7ME-bHAck5eWMnQ_9_20"/>
      <w:bookmarkStart w:id="480" w:name="Tc_9zw6iDHwHEes3e8s-eNS6g_9_17"/>
      <w:bookmarkStart w:id="481" w:name="Tc_UrxifnlQakqXHrGlYGNWew_9_15"/>
      <w:bookmarkStart w:id="482" w:name="Tc_z26XJ096hUmIUklGasbx0A_9_12"/>
      <w:bookmarkStart w:id="483" w:name="Tc_YWkWTZ_Jl0WkXryhFLIxDA_9_10"/>
      <w:bookmarkStart w:id="484" w:name="Tc_nYvZCySH0UmsNXA_vXMzJQ_9_7"/>
      <w:bookmarkStart w:id="485" w:name="Tc_Dq6Xcnil_kizg7l8qIJz0Q_9_5"/>
      <w:bookmarkStart w:id="486" w:name="Tc_10E83GpuA0W8PPCsuVJYig_9_2"/>
      <w:bookmarkStart w:id="487" w:name="Tc_pKUjta_P-0ylzgt8O0ZBpQ_9_0"/>
      <w:bookmarkStart w:id="488" w:name="Tc_S_750hcVu0WzfwocTThZqg_8_36"/>
      <w:bookmarkStart w:id="489" w:name="Tc_nmNlpb_QrkWsAQGg6b8oPA_8_32"/>
      <w:bookmarkStart w:id="490" w:name="Tc_hN25fr-uNEOLq73so0GHgw_8_29"/>
      <w:bookmarkStart w:id="491" w:name="Tc_RSKZnhxGYUCpuJBPDi9c3g_8_26"/>
      <w:bookmarkStart w:id="492" w:name="Tc_Zy5eDrMziEyELrn0vTZKtg_8_24"/>
      <w:bookmarkStart w:id="493" w:name="Tc_rd6tEoGkg0SaFY5-iC711Q_8_20"/>
      <w:bookmarkStart w:id="494" w:name="Tc_8UBSfAZzVEaNaCoMEQA_2g_8_17"/>
      <w:bookmarkStart w:id="495" w:name="Tc_uFxC1lCIAUK4yHe3hUwiBQ_8_15"/>
      <w:bookmarkStart w:id="496" w:name="Tc_O51lWe_tLEigM2jgzTXI9w_8_12"/>
      <w:bookmarkStart w:id="497" w:name="Tc_T2DpxqEqtEOaapnPxVIv1w_8_10"/>
      <w:bookmarkStart w:id="498" w:name="Tc_7j-3auS2YESRwmMH9Pd_QQ_8_7"/>
      <w:bookmarkStart w:id="499" w:name="Tc_90QicXbOpEeoSxxj6p-Ejw_8_6"/>
      <w:bookmarkStart w:id="500" w:name="Tc_2zFvO9rKMkSouXGPf2XUrA_8_0"/>
      <w:bookmarkStart w:id="501" w:name="Tc_EhyPw7w7ZUSnEjGuAxufvA_7_32"/>
      <w:bookmarkStart w:id="502" w:name="Tc_r4T9hkAYB0y63W17sUF-sA_7_29"/>
      <w:bookmarkStart w:id="503" w:name="Tc_dPaVbTD4NU2BRj_YWRdNiQ_7_26"/>
      <w:bookmarkStart w:id="504" w:name="Tc_ymc5XbNCi0GnIOTuiIHG0g_7_20"/>
      <w:bookmarkStart w:id="505" w:name="Tc_jq8ZsoE2_0yGjGYPrcDgOw_7_17"/>
      <w:bookmarkStart w:id="506" w:name="Tc_jh6d35zQvEaEaf7vP0SHAA_7_15"/>
      <w:bookmarkStart w:id="507" w:name="Tc_jQDL7IQoFE2UsC8CEGKo9w_7_12"/>
      <w:bookmarkStart w:id="508" w:name="Tc__TzSUoaOykSkECDv8gi5CA_7_10"/>
      <w:bookmarkStart w:id="509" w:name="Tc_vBQG1AIddEKm2dvOp6asFA_7_7"/>
      <w:bookmarkStart w:id="510" w:name="Tc_6J4baODO8UKJu-SjV2FFqw_7_5"/>
      <w:bookmarkStart w:id="511" w:name="Tc_IAgyiydzdUC7daSAPT4c3g_7_2"/>
      <w:bookmarkStart w:id="512" w:name="Tc_SVxzvIVlvUa2rBbazH3Z_A_7_0"/>
      <w:bookmarkStart w:id="513" w:name="Tc_Idhvx4tIdUicL1cIxitXSQ_6_34"/>
      <w:bookmarkStart w:id="514" w:name="Tc_gyYRK26B9Ui4Y2AQd0kZjg_6_31"/>
      <w:bookmarkStart w:id="515" w:name="Tc_yDjtHfKmyEmMw14t4hOKOQ_6_28"/>
      <w:bookmarkStart w:id="516" w:name="Tc_kv2gO1WCEEChTr1JTpXuMQ_6_25"/>
      <w:bookmarkStart w:id="517" w:name="Tc_JlIHdCvAS0-ivbn4xpTegw_6_22"/>
      <w:bookmarkStart w:id="518" w:name="Tc_k-E3uPj20EKv0CIB7lxskA_6_21"/>
      <w:bookmarkStart w:id="519" w:name="Tc_h7al1FTLc0Ki-VdhNwm0eQ_6_19"/>
      <w:bookmarkStart w:id="520" w:name="Tc_Lkgi3r0_qUqiehKsNKdIxg_6_14"/>
      <w:bookmarkStart w:id="521" w:name="Tc_AywRbjEujkqXKpjuUttRmw_6_9"/>
      <w:bookmarkStart w:id="522" w:name="Tc_6ooZVFGw4UysOP0P1UUm3Q_6_4"/>
      <w:bookmarkStart w:id="523" w:name="Tc_Ta4b5sMOlk2n9qBARtwa1w_6_0"/>
      <w:bookmarkStart w:id="524" w:name="Tc_ZTJaHbnS-UuH9babbWbvEw_5_34"/>
      <w:bookmarkStart w:id="525" w:name="Tc_BW3VaEd5AUuFfGZO8DdU1A_5_31"/>
      <w:bookmarkStart w:id="526" w:name="Tc_m_FMQNTUeU6y7HpPqcrXJQ_5_28"/>
      <w:bookmarkStart w:id="527" w:name="Tc_AfYBvi1cFEq3WbuQQIWKcw_5_25"/>
      <w:bookmarkStart w:id="528" w:name="Tc_DIVYe4Enw0WaqPp2cX9Abw_5_22"/>
      <w:bookmarkStart w:id="529" w:name="Tc_WASjukwnWkuupat8NyJO9g_5_19"/>
      <w:bookmarkStart w:id="530" w:name="Tc_FF9N9AvSEEKv86gxO-RwXQ_5_17"/>
      <w:bookmarkStart w:id="531" w:name="Tc_i-MTpqCLrkiUphb9P9vHpQ_5_14"/>
      <w:bookmarkStart w:id="532" w:name="Tc_lj58NIKmmEGPcGKcT5fYbg_5_12"/>
      <w:bookmarkStart w:id="533" w:name="Tc_Ursd3qMj5UWKnBr31NrBrA_5_9"/>
      <w:bookmarkStart w:id="534" w:name="Tc_OWlXB_YsMkCvVyrOtsX3ig_5_7"/>
      <w:bookmarkStart w:id="535" w:name="Tc_9bEidwtopkWcKQWKRLyuQA_5_4"/>
      <w:bookmarkStart w:id="536" w:name="Tc_BkBbFTLfsUyXca-opk8eRA_5_2"/>
      <w:bookmarkStart w:id="537" w:name="Tc_0oa3qK-G3E2Qz6d9h8bhJQ_4_34"/>
      <w:bookmarkStart w:id="538" w:name="Tc_HG6L5ByGN0yKcrtQtDvo8A_4_31"/>
      <w:bookmarkStart w:id="539" w:name="Tc_lQIrfMZe7kOD1Vu_wLY2Hw_4_28"/>
      <w:bookmarkStart w:id="540" w:name="Tc_8gijN4ztEka9-FlQPbisqg_4_25"/>
      <w:bookmarkStart w:id="541" w:name="Tc_XBEFMda4QEWKduMcgd90VA_4_22"/>
      <w:bookmarkStart w:id="542" w:name="Tc_J5KbOViTXUCJ9oD0Wk2jkw_4_17"/>
      <w:bookmarkStart w:id="543" w:name="Tc_GHvfBqfvcUGahEQK7bTnQQ_4_12"/>
      <w:bookmarkStart w:id="544" w:name="Tc_AqEESLaF9UWE6wZjQ6hRnQ_4_7"/>
      <w:bookmarkStart w:id="545" w:name="Tc_OFOQhIf2k0KNKWy0cFaD9w_4_2"/>
      <w:bookmarkStart w:id="546" w:name="Tc_37m2lzqo20mH6Mtkwbi2mw_3_34"/>
      <w:bookmarkStart w:id="547" w:name="Tc_bobFJ8rYtEyAWv7qN7p_Vg_3_28"/>
      <w:bookmarkStart w:id="548" w:name="Tc_QbTH4djnKU69A-yP5X1TPQ_3_22"/>
      <w:bookmarkStart w:id="549" w:name="Tc_odGXWqO11k62RVvThKtXeA_2_28"/>
      <w:bookmarkStart w:id="550" w:name="Tc_NY2xfBuIr0Gh11xfC_Eb1Q_1_2"/>
      <w:bookmarkStart w:id="551" w:name="_b2a3128e_bf17_4170_aa62_326ce7a4caad"/>
      <w:bookmarkStart w:id="552" w:name="Tc_bP7bwLUCTEOfR7IOMR9rBw_11_34"/>
      <w:bookmarkStart w:id="553" w:name="Tc_-7LSwQQF_U-km3kidIGsjw_11_31"/>
      <w:bookmarkStart w:id="554" w:name="Tc_dIUN1YQxxkuKmdvMZoQ-DA_11_28"/>
      <w:bookmarkStart w:id="555" w:name="Tc_xyF53QPEHEytdtIfWFXZQQ_11_25"/>
      <w:bookmarkStart w:id="556" w:name="Tc_I6OmfN0-_EGYA9jjdYKNsA_11_22"/>
      <w:bookmarkStart w:id="557" w:name="Tc_5TxCuFNPwkG4yy2tHCxaoQ_11_21"/>
      <w:bookmarkStart w:id="558" w:name="Tc_sPhq3rrt_EiecioK_apHsA_11_19"/>
      <w:bookmarkStart w:id="559" w:name="Tc_RG5VqK3eMkiQZdLFHwz1tw_11_14"/>
      <w:bookmarkStart w:id="560" w:name="Tc_pOTVHPrJhE-xWMTDvMhDoA_11_9"/>
      <w:bookmarkStart w:id="561" w:name="Tc_1WKxcyu_20GtxRN_4koINw_11_4"/>
      <w:bookmarkStart w:id="562" w:name="Tc_m6KC9cGMbE-Gr246DTTEGg_11_0"/>
      <w:bookmarkStart w:id="563" w:name="Tc_i0vFS8drdUSAi4elOCLErw_10_29"/>
      <w:bookmarkStart w:id="564" w:name="Tc_VHB8hpjySkWyPV8RDqKaEg_10_23"/>
      <w:bookmarkStart w:id="565" w:name="Tc_ZVErPlPZu06pPOO0X47Qkw_10_20"/>
      <w:bookmarkStart w:id="566" w:name="Tc_p3qWbxb44EWwydy0dbkWPg_10_17"/>
      <w:bookmarkStart w:id="567" w:name="Tc_1H5wZinvy0C4TCVxbIj6cg_10_15"/>
      <w:bookmarkStart w:id="568" w:name="Tc_ozafBmEszU2vSoWv6fat4w_10_12"/>
      <w:bookmarkStart w:id="569" w:name="Tc_HfN1vP_FsEyNPx9CdPBu_Q_10_10"/>
      <w:bookmarkStart w:id="570" w:name="Tc_ySmXrHZjeEucEPeo8sZZvw_10_7"/>
      <w:bookmarkStart w:id="571" w:name="Tc_pBtBGTD5EEW8KQsFLAinYQ_10_5"/>
      <w:bookmarkStart w:id="572" w:name="Tc_PDKdjFfX0E2f2rs0xZOlmA_10_2"/>
      <w:bookmarkStart w:id="573" w:name="Tc_9XT3OqR7kk-D6vZGINyfXQ_10_0"/>
      <w:bookmarkStart w:id="574" w:name="Tc_aedm8gx5SU2TxoNpv-ObVA_9_26"/>
      <w:bookmarkStart w:id="575" w:name="Tc_DcXOE-CyIkmrcCd87fWUNw_9_23"/>
      <w:bookmarkStart w:id="576" w:name="Tc_EPO68fX7ME-bHAck5eWMnQ_9_20"/>
      <w:bookmarkStart w:id="577" w:name="Tc_9zw6iDHwHEes3e8s-eNS6g_9_17"/>
      <w:bookmarkStart w:id="578" w:name="Tc_UrxifnlQakqXHrGlYGNWew_9_15"/>
      <w:bookmarkStart w:id="579" w:name="Tc_z26XJ096hUmIUklGasbx0A_9_12"/>
      <w:bookmarkStart w:id="580" w:name="Tc_YWkWTZ_Jl0WkXryhFLIxDA_9_10"/>
      <w:bookmarkStart w:id="581" w:name="Tc_nYvZCySH0UmsNXA_vXMzJQ_9_7"/>
      <w:bookmarkStart w:id="582" w:name="Tc_Dq6Xcnil_kizg7l8qIJz0Q_9_5"/>
      <w:bookmarkStart w:id="583" w:name="Tc_10E83GpuA0W8PPCsuVJYig_9_2"/>
      <w:bookmarkStart w:id="584" w:name="Tc_pKUjta_P-0ylzgt8O0ZBpQ_9_0"/>
      <w:bookmarkStart w:id="585" w:name="Tc_S_750hcVu0WzfwocTThZqg_8_36"/>
      <w:bookmarkStart w:id="586" w:name="Tc_nmNlpb_QrkWsAQGg6b8oPA_8_32"/>
      <w:bookmarkStart w:id="587" w:name="Tc_hN25fr-uNEOLq73so0GHgw_8_29"/>
      <w:bookmarkStart w:id="588" w:name="Tc_RSKZnhxGYUCpuJBPDi9c3g_8_26"/>
      <w:bookmarkStart w:id="589" w:name="Tc_Zy5eDrMziEyELrn0vTZKtg_8_24"/>
      <w:bookmarkStart w:id="590" w:name="Tc_rd6tEoGkg0SaFY5-iC711Q_8_20"/>
      <w:bookmarkStart w:id="591" w:name="Tc_8UBSfAZzVEaNaCoMEQA_2g_8_17"/>
      <w:bookmarkStart w:id="592" w:name="Tc_uFxC1lCIAUK4yHe3hUwiBQ_8_15"/>
      <w:bookmarkStart w:id="593" w:name="Tc_O51lWe_tLEigM2jgzTXI9w_8_12"/>
      <w:bookmarkStart w:id="594" w:name="Tc_T2DpxqEqtEOaapnPxVIv1w_8_10"/>
      <w:bookmarkStart w:id="595" w:name="Tc_7j-3auS2YESRwmMH9Pd_QQ_8_7"/>
      <w:bookmarkStart w:id="596" w:name="Tc_90QicXbOpEeoSxxj6p-Ejw_8_6"/>
      <w:bookmarkStart w:id="597" w:name="Tc_2zFvO9rKMkSouXGPf2XUrA_8_0"/>
      <w:bookmarkStart w:id="598" w:name="Tc_EhyPw7w7ZUSnEjGuAxufvA_7_32"/>
      <w:bookmarkStart w:id="599" w:name="Tc_r4T9hkAYB0y63W17sUF-sA_7_29"/>
      <w:bookmarkStart w:id="600" w:name="Tc_dPaVbTD4NU2BRj_YWRdNiQ_7_26"/>
      <w:bookmarkStart w:id="601" w:name="Tc_ymc5XbNCi0GnIOTuiIHG0g_7_20"/>
      <w:bookmarkStart w:id="602" w:name="Tc_jq8ZsoE2_0yGjGYPrcDgOw_7_17"/>
      <w:bookmarkStart w:id="603" w:name="Tc_jh6d35zQvEaEaf7vP0SHAA_7_15"/>
      <w:bookmarkStart w:id="604" w:name="Tc_jQDL7IQoFE2UsC8CEGKo9w_7_12"/>
      <w:bookmarkStart w:id="605" w:name="Tc__TzSUoaOykSkECDv8gi5CA_7_10"/>
      <w:bookmarkStart w:id="606" w:name="Tc_vBQG1AIddEKm2dvOp6asFA_7_7"/>
      <w:bookmarkStart w:id="607" w:name="Tc_6J4baODO8UKJu-SjV2FFqw_7_5"/>
      <w:bookmarkStart w:id="608" w:name="Tc_IAgyiydzdUC7daSAPT4c3g_7_2"/>
      <w:bookmarkStart w:id="609" w:name="Tc_SVxzvIVlvUa2rBbazH3Z_A_7_0"/>
      <w:bookmarkStart w:id="610" w:name="Tc_Idhvx4tIdUicL1cIxitXSQ_6_34"/>
      <w:bookmarkStart w:id="611" w:name="Tc_gyYRK26B9Ui4Y2AQd0kZjg_6_31"/>
      <w:bookmarkStart w:id="612" w:name="Tc_yDjtHfKmyEmMw14t4hOKOQ_6_28"/>
      <w:bookmarkStart w:id="613" w:name="Tc_kv2gO1WCEEChTr1JTpXuMQ_6_25"/>
      <w:bookmarkStart w:id="614" w:name="Tc_JlIHdCvAS0-ivbn4xpTegw_6_22"/>
      <w:bookmarkStart w:id="615" w:name="Tc_k-E3uPj20EKv0CIB7lxskA_6_21"/>
      <w:bookmarkStart w:id="616" w:name="Tc_h7al1FTLc0Ki-VdhNwm0eQ_6_19"/>
      <w:bookmarkStart w:id="617" w:name="Tc_Lkgi3r0_qUqiehKsNKdIxg_6_14"/>
      <w:bookmarkStart w:id="618" w:name="Tc_AywRbjEujkqXKpjuUttRmw_6_9"/>
      <w:bookmarkStart w:id="619" w:name="Tc_6ooZVFGw4UysOP0P1UUm3Q_6_4"/>
      <w:bookmarkStart w:id="620" w:name="Tc_Ta4b5sMOlk2n9qBARtwa1w_6_0"/>
      <w:bookmarkStart w:id="621" w:name="Tc_ZTJaHbnS-UuH9babbWbvEw_5_34"/>
      <w:bookmarkStart w:id="622" w:name="Tc_BW3VaEd5AUuFfGZO8DdU1A_5_31"/>
      <w:bookmarkStart w:id="623" w:name="Tc_m_FMQNTUeU6y7HpPqcrXJQ_5_28"/>
      <w:bookmarkStart w:id="624" w:name="Tc_AfYBvi1cFEq3WbuQQIWKcw_5_25"/>
      <w:bookmarkStart w:id="625" w:name="Tc_DIVYe4Enw0WaqPp2cX9Abw_5_22"/>
      <w:bookmarkStart w:id="626" w:name="Tc_WASjukwnWkuupat8NyJO9g_5_19"/>
      <w:bookmarkStart w:id="627" w:name="Tc_FF9N9AvSEEKv86gxO-RwXQ_5_17"/>
      <w:bookmarkStart w:id="628" w:name="Tc_i-MTpqCLrkiUphb9P9vHpQ_5_14"/>
      <w:bookmarkStart w:id="629" w:name="Tc_lj58NIKmmEGPcGKcT5fYbg_5_12"/>
      <w:bookmarkStart w:id="630" w:name="Tc_Ursd3qMj5UWKnBr31NrBrA_5_9"/>
      <w:bookmarkStart w:id="631" w:name="Tc_OWlXB_YsMkCvVyrOtsX3ig_5_7"/>
      <w:bookmarkStart w:id="632" w:name="Tc_9bEidwtopkWcKQWKRLyuQA_5_4"/>
      <w:bookmarkStart w:id="633" w:name="Tc_BkBbFTLfsUyXca-opk8eRA_5_2"/>
      <w:bookmarkStart w:id="634" w:name="Tc_0oa3qK-G3E2Qz6d9h8bhJQ_4_34"/>
      <w:bookmarkStart w:id="635" w:name="Tc_HG6L5ByGN0yKcrtQtDvo8A_4_31"/>
      <w:bookmarkStart w:id="636" w:name="Tc_lQIrfMZe7kOD1Vu_wLY2Hw_4_28"/>
      <w:bookmarkStart w:id="637" w:name="Tc_8gijN4ztEka9-FlQPbisqg_4_25"/>
      <w:bookmarkStart w:id="638" w:name="Tc_XBEFMda4QEWKduMcgd90VA_4_22"/>
      <w:bookmarkStart w:id="639" w:name="Tc_J5KbOViTXUCJ9oD0Wk2jkw_4_17"/>
      <w:bookmarkStart w:id="640" w:name="Tc_GHvfBqfvcUGahEQK7bTnQQ_4_12"/>
      <w:bookmarkStart w:id="641" w:name="Tc_AqEESLaF9UWE6wZjQ6hRnQ_4_7"/>
      <w:bookmarkStart w:id="642" w:name="Tc_OFOQhIf2k0KNKWy0cFaD9w_4_2"/>
      <w:bookmarkStart w:id="643" w:name="Tc_37m2lzqo20mH6Mtkwbi2mw_3_34"/>
      <w:bookmarkStart w:id="644" w:name="Tc_bobFJ8rYtEyAWv7qN7p_Vg_3_28"/>
      <w:bookmarkStart w:id="645" w:name="Tc_QbTH4djnKU69A-yP5X1TPQ_3_22"/>
      <w:bookmarkStart w:id="646" w:name="Tc_odGXWqO11k62RVvThKtXeA_2_28"/>
      <w:bookmarkStart w:id="647" w:name="Tc_NY2xfBuIr0Gh11xfC_Eb1Q_1_2"/>
      <w:bookmarkStart w:id="648" w:name="_b2a3128e_bf17_4170_aa62_326ce7a4caad"/>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tbl>
      <w:tblPr>
        <w:tblW w:w="13599" w:type="dxa"/>
        <w:jc w:val="left"/>
        <w:tblInd w:w="0" w:type="dxa"/>
        <w:tblCellMar>
          <w:top w:w="0" w:type="dxa"/>
          <w:left w:w="0" w:type="dxa"/>
          <w:bottom w:w="0" w:type="dxa"/>
          <w:right w:w="0" w:type="dxa"/>
        </w:tblCellMar>
      </w:tblPr>
      <w:tblGrid>
        <w:gridCol w:w="796"/>
        <w:gridCol w:w="326"/>
        <w:gridCol w:w="646"/>
        <w:gridCol w:w="326"/>
        <w:gridCol w:w="170"/>
        <w:gridCol w:w="356"/>
        <w:gridCol w:w="326"/>
        <w:gridCol w:w="451"/>
        <w:gridCol w:w="326"/>
        <w:gridCol w:w="170"/>
        <w:gridCol w:w="356"/>
        <w:gridCol w:w="326"/>
        <w:gridCol w:w="496"/>
        <w:gridCol w:w="326"/>
        <w:gridCol w:w="170"/>
        <w:gridCol w:w="356"/>
        <w:gridCol w:w="326"/>
        <w:gridCol w:w="646"/>
        <w:gridCol w:w="326"/>
        <w:gridCol w:w="170"/>
        <w:gridCol w:w="356"/>
        <w:gridCol w:w="326"/>
        <w:gridCol w:w="166"/>
        <w:gridCol w:w="496"/>
        <w:gridCol w:w="326"/>
        <w:gridCol w:w="186"/>
        <w:gridCol w:w="610"/>
        <w:gridCol w:w="326"/>
        <w:gridCol w:w="234"/>
        <w:gridCol w:w="682"/>
        <w:gridCol w:w="326"/>
        <w:gridCol w:w="282"/>
        <w:gridCol w:w="589"/>
        <w:gridCol w:w="326"/>
        <w:gridCol w:w="195"/>
        <w:gridCol w:w="586"/>
        <w:gridCol w:w="196"/>
      </w:tblGrid>
      <w:tr>
        <w:trPr/>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05460" cy="175260"/>
                      <wp:effectExtent l="0" t="0" r="0" b="0"/>
                      <wp:wrapNone/>
                      <wp:docPr id="52" name="Frame5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0210" cy="175260"/>
                      <wp:effectExtent l="0" t="0" r="0" b="0"/>
                      <wp:wrapNone/>
                      <wp:docPr id="54" name="Frame54"/>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07950" cy="175260"/>
                      <wp:effectExtent l="0" t="0" r="0" b="0"/>
                      <wp:wrapNone/>
                      <wp:docPr id="56" name="Frame56"/>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6060" cy="175260"/>
                      <wp:effectExtent l="0" t="0" r="0" b="0"/>
                      <wp:wrapNone/>
                      <wp:docPr id="57" name="Frame57"/>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6385" cy="175260"/>
                      <wp:effectExtent l="0" t="0" r="0" b="0"/>
                      <wp:wrapNone/>
                      <wp:docPr id="59" name="Frame59"/>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07950" cy="175260"/>
                      <wp:effectExtent l="0" t="0" r="0" b="0"/>
                      <wp:wrapNone/>
                      <wp:docPr id="61" name="Frame61"/>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6060" cy="175260"/>
                      <wp:effectExtent l="0" t="0" r="0" b="0"/>
                      <wp:wrapNone/>
                      <wp:docPr id="62" name="Frame62"/>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14960" cy="175260"/>
                      <wp:effectExtent l="0" t="0" r="0" b="0"/>
                      <wp:wrapNone/>
                      <wp:docPr id="64" name="Frame64"/>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07950" cy="175260"/>
                      <wp:effectExtent l="0" t="0" r="0" b="0"/>
                      <wp:wrapNone/>
                      <wp:docPr id="66" name="Frame66"/>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6060" cy="175260"/>
                      <wp:effectExtent l="0" t="0" r="0" b="0"/>
                      <wp:wrapNone/>
                      <wp:docPr id="67" name="Frame67"/>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10210" cy="175260"/>
                      <wp:effectExtent l="0" t="0" r="0" b="0"/>
                      <wp:wrapNone/>
                      <wp:docPr id="69" name="Frame69"/>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07950" cy="175260"/>
                      <wp:effectExtent l="0" t="0" r="0" b="0"/>
                      <wp:wrapNone/>
                      <wp:docPr id="71" name="Frame71"/>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6060" cy="175260"/>
                      <wp:effectExtent l="0" t="0" r="0" b="0"/>
                      <wp:wrapNone/>
                      <wp:docPr id="72" name="Frame72"/>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05410" cy="175260"/>
                      <wp:effectExtent l="0" t="0" r="0" b="0"/>
                      <wp:wrapNone/>
                      <wp:docPr id="74" name="Frame74"/>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14960" cy="175260"/>
                      <wp:effectExtent l="0" t="0" r="0" b="0"/>
                      <wp:wrapNone/>
                      <wp:docPr id="75" name="Frame75"/>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18110" cy="175260"/>
                      <wp:effectExtent l="0" t="0" r="0" b="0"/>
                      <wp:wrapNone/>
                      <wp:docPr id="77" name="Frame77"/>
                      <a:graphic xmlns:a="http://schemas.openxmlformats.org/drawingml/2006/main">
                        <a:graphicData uri="http://schemas.microsoft.com/office/word/2010/wordprocessingShape">
                          <wps:wsp>
                            <wps:cNvSpPr txBox="1"/>
                            <wps:spPr>
                              <a:xfrm>
                                <a:off x="0" y="0"/>
                                <a:ext cx="118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87350" cy="175260"/>
                      <wp:effectExtent l="0" t="0" r="0" b="0"/>
                      <wp:wrapNone/>
                      <wp:docPr id="78" name="Frame78"/>
                      <a:graphic xmlns:a="http://schemas.openxmlformats.org/drawingml/2006/main">
                        <a:graphicData uri="http://schemas.microsoft.com/office/word/2010/wordprocessingShape">
                          <wps:wsp>
                            <wps:cNvSpPr txBox="1"/>
                            <wps:spPr>
                              <a:xfrm>
                                <a:off x="0" y="0"/>
                                <a:ext cx="387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8590" cy="175260"/>
                      <wp:effectExtent l="0" t="0" r="0" b="0"/>
                      <wp:wrapNone/>
                      <wp:docPr id="80" name="Frame80"/>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33070" cy="175260"/>
                      <wp:effectExtent l="0" t="0" r="0" b="0"/>
                      <wp:wrapNone/>
                      <wp:docPr id="81" name="Frame81"/>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79070" cy="175260"/>
                      <wp:effectExtent l="0" t="0" r="0" b="0"/>
                      <wp:wrapNone/>
                      <wp:docPr id="83" name="Frame83"/>
                      <a:graphic xmlns:a="http://schemas.openxmlformats.org/drawingml/2006/main">
                        <a:graphicData uri="http://schemas.microsoft.com/office/word/2010/wordprocessingShape">
                          <wps:wsp>
                            <wps:cNvSpPr txBox="1"/>
                            <wps:spPr>
                              <a:xfrm>
                                <a:off x="0" y="0"/>
                                <a:ext cx="179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74015" cy="175260"/>
                      <wp:effectExtent l="0" t="0" r="0" b="0"/>
                      <wp:wrapNone/>
                      <wp:docPr id="84" name="Frame84"/>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3825" cy="175260"/>
                      <wp:effectExtent l="0" t="0" r="0" b="0"/>
                      <wp:wrapNone/>
                      <wp:docPr id="86" name="Frame86"/>
                      <a:graphic xmlns:a="http://schemas.openxmlformats.org/drawingml/2006/main">
                        <a:graphicData uri="http://schemas.microsoft.com/office/word/2010/wordprocessingShape">
                          <wps:wsp>
                            <wps:cNvSpPr txBox="1"/>
                            <wps:spPr>
                              <a:xfrm>
                                <a:off x="0" y="0"/>
                                <a:ext cx="123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72110" cy="175260"/>
                      <wp:effectExtent l="0" t="0" r="0" b="0"/>
                      <wp:wrapNone/>
                      <wp:docPr id="87" name="Frame8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281" w:type="dxa"/>
            <w:gridSpan w:val="3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Three months ended March 31, 2022</w:t>
            </w:r>
          </w:p>
        </w:tc>
        <w:tc>
          <w:tcPr>
            <w:tcW w:w="196" w:type="dxa"/>
            <w:tcBorders/>
            <w:shd w:fill="auto" w:val="clear"/>
            <w:vAlign w:val="center"/>
          </w:tcPr>
          <w:p>
            <w:pPr>
              <w:pStyle w:val="TableContents"/>
              <w:spacing w:before="0" w:after="0"/>
              <w:ind w:left="0" w:right="0" w:hanging="0"/>
              <w:rPr/>
            </w:pPr>
            <w:r>
              <w:rPr/>
              <w:t> </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6"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0"/>
              <w:ind w:left="0" w:right="0" w:hanging="0"/>
              <w:jc w:val="center"/>
              <w:rPr/>
            </w:pPr>
            <w:r>
              <w:rPr/>
              <w:t>​</w:t>
            </w:r>
          </w:p>
        </w:tc>
        <w:tc>
          <w:tcPr>
            <w:tcW w:w="282"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5"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 </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26" w:type="dxa"/>
            <w:tcBorders/>
            <w:shd w:fill="auto" w:val="clear"/>
            <w:vAlign w:val="center"/>
          </w:tcPr>
          <w:p>
            <w:pPr>
              <w:pStyle w:val="TableContents"/>
              <w:spacing w:before="0" w:after="0"/>
              <w:ind w:left="0" w:right="0" w:hanging="0"/>
              <w:jc w:val="center"/>
              <w:rPr/>
            </w:pPr>
            <w:r>
              <w:rPr/>
              <w:t>​</w:t>
            </w:r>
          </w:p>
        </w:tc>
        <w:tc>
          <w:tcPr>
            <w:tcW w:w="186"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26" w:type="dxa"/>
            <w:tcBorders/>
            <w:shd w:fill="auto" w:val="clear"/>
            <w:vAlign w:val="center"/>
          </w:tcPr>
          <w:p>
            <w:pPr>
              <w:pStyle w:val="TableContents"/>
              <w:spacing w:before="0" w:after="0"/>
              <w:ind w:left="0" w:right="0" w:hanging="0"/>
              <w:jc w:val="center"/>
              <w:rPr/>
            </w:pPr>
            <w:r>
              <w:rPr/>
              <w:t>​</w:t>
            </w:r>
          </w:p>
        </w:tc>
        <w:tc>
          <w:tcPr>
            <w:tcW w:w="282"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196" w:type="dxa"/>
            <w:tcBorders/>
            <w:shd w:fill="auto" w:val="clear"/>
            <w:vAlign w:val="center"/>
          </w:tcPr>
          <w:p>
            <w:pPr>
              <w:pStyle w:val="TableContents"/>
              <w:spacing w:before="0" w:after="0"/>
              <w:ind w:left="0" w:right="0" w:hanging="0"/>
              <w:rPr/>
            </w:pPr>
            <w:r>
              <w:rPr/>
              <w:t> </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9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26" w:type="dxa"/>
            <w:tcBorders/>
            <w:shd w:fill="auto" w:val="clear"/>
            <w:vAlign w:val="center"/>
          </w:tcPr>
          <w:p>
            <w:pPr>
              <w:pStyle w:val="TableContents"/>
              <w:spacing w:before="0" w:after="0"/>
              <w:ind w:left="0" w:right="0" w:hanging="0"/>
              <w:rPr/>
            </w:pPr>
            <w:r>
              <w:rPr/>
              <w:t>​</w:t>
            </w:r>
          </w:p>
        </w:tc>
        <w:tc>
          <w:tcPr>
            <w:tcW w:w="130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Deferred A Shares</w:t>
            </w:r>
          </w:p>
        </w:tc>
        <w:tc>
          <w:tcPr>
            <w:tcW w:w="326" w:type="dxa"/>
            <w:tcBorders/>
            <w:shd w:fill="auto" w:val="clear"/>
            <w:vAlign w:val="center"/>
          </w:tcPr>
          <w:p>
            <w:pPr>
              <w:pStyle w:val="TableContents"/>
              <w:spacing w:before="0" w:after="0"/>
              <w:ind w:left="0" w:right="0" w:hanging="0"/>
              <w:jc w:val="center"/>
              <w:rPr/>
            </w:pPr>
            <w:r>
              <w:rPr/>
              <w:t>​</w:t>
            </w:r>
          </w:p>
        </w:tc>
        <w:tc>
          <w:tcPr>
            <w:tcW w:w="134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Deferred B Shares</w:t>
            </w:r>
          </w:p>
        </w:tc>
        <w:tc>
          <w:tcPr>
            <w:tcW w:w="326" w:type="dxa"/>
            <w:tcBorders/>
            <w:shd w:fill="auto" w:val="clear"/>
            <w:vAlign w:val="center"/>
          </w:tcPr>
          <w:p>
            <w:pPr>
              <w:pStyle w:val="TableContents"/>
              <w:spacing w:before="0" w:after="0"/>
              <w:ind w:left="0" w:right="0" w:hanging="0"/>
              <w:jc w:val="center"/>
              <w:rPr/>
            </w:pPr>
            <w:r>
              <w:rPr/>
              <w:t>​</w:t>
            </w:r>
          </w:p>
        </w:tc>
        <w:tc>
          <w:tcPr>
            <w:tcW w:w="149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Deferred C Shares</w:t>
            </w:r>
          </w:p>
        </w:tc>
        <w:tc>
          <w:tcPr>
            <w:tcW w:w="326" w:type="dxa"/>
            <w:tcBorders/>
            <w:shd w:fill="auto" w:val="clear"/>
            <w:vAlign w:val="center"/>
          </w:tcPr>
          <w:p>
            <w:pPr>
              <w:pStyle w:val="TableContents"/>
              <w:spacing w:before="0" w:after="0"/>
              <w:ind w:left="0" w:right="0" w:hanging="0"/>
              <w:rPr/>
            </w:pPr>
            <w:r>
              <w:rPr/>
              <w:t>​</w:t>
            </w:r>
          </w:p>
        </w:tc>
        <w:tc>
          <w:tcPr>
            <w:tcW w:w="6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26" w:type="dxa"/>
            <w:tcBorders/>
            <w:shd w:fill="auto" w:val="clear"/>
            <w:vAlign w:val="center"/>
          </w:tcPr>
          <w:p>
            <w:pPr>
              <w:pStyle w:val="TableContents"/>
              <w:spacing w:before="0" w:after="0"/>
              <w:ind w:left="0" w:right="0" w:hanging="0"/>
              <w:jc w:val="center"/>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8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26" w:type="dxa"/>
            <w:tcBorders/>
            <w:shd w:fill="auto" w:val="clear"/>
            <w:vAlign w:val="center"/>
          </w:tcPr>
          <w:p>
            <w:pPr>
              <w:pStyle w:val="TableContents"/>
              <w:spacing w:before="0" w:after="0"/>
              <w:ind w:left="0" w:right="0" w:hanging="0"/>
              <w:jc w:val="center"/>
              <w:rPr/>
            </w:pPr>
            <w:r>
              <w:rPr/>
              <w:t>​</w:t>
            </w:r>
          </w:p>
        </w:tc>
        <w:tc>
          <w:tcPr>
            <w:tcW w:w="7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Shareholders’</w:t>
            </w:r>
          </w:p>
        </w:tc>
        <w:tc>
          <w:tcPr>
            <w:tcW w:w="196" w:type="dxa"/>
            <w:tcBorders/>
            <w:shd w:fill="auto" w:val="clear"/>
            <w:vAlign w:val="center"/>
          </w:tcPr>
          <w:p>
            <w:pPr>
              <w:pStyle w:val="TableContents"/>
              <w:spacing w:before="0" w:after="0"/>
              <w:ind w:left="0" w:right="0" w:hanging="0"/>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0"/>
              <w:ind w:left="0" w:right="0" w:hanging="0"/>
              <w:rPr/>
            </w:pPr>
            <w:r>
              <w:rPr/>
              <w:t>    </w:t>
            </w:r>
          </w:p>
        </w:tc>
        <w:tc>
          <w:tcPr>
            <w:tcW w:w="4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0"/>
              <w:ind w:left="0" w:right="0" w:hanging="0"/>
              <w:jc w:val="center"/>
              <w:rPr/>
            </w:pPr>
            <w:r>
              <w:rPr/>
              <w:t>    </w:t>
            </w:r>
          </w:p>
        </w:tc>
        <w:tc>
          <w:tcPr>
            <w:tcW w:w="4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0"/>
              <w:ind w:left="0" w:right="0" w:hanging="0"/>
              <w:jc w:val="center"/>
              <w:rPr/>
            </w:pPr>
            <w:r>
              <w:rPr/>
              <w:t>    </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    </w:t>
            </w:r>
          </w:p>
        </w:tc>
        <w:tc>
          <w:tcPr>
            <w:tcW w:w="5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auto" w:val="clear"/>
            <w:vAlign w:val="center"/>
          </w:tcPr>
          <w:p>
            <w:pPr>
              <w:pStyle w:val="TableContents"/>
              <w:spacing w:before="0" w:after="0"/>
              <w:ind w:left="0" w:right="0" w:hanging="0"/>
              <w:rPr/>
            </w:pPr>
            <w:r>
              <w:rPr/>
              <w:t>    </w:t>
            </w:r>
          </w:p>
        </w:tc>
        <w:tc>
          <w:tcPr>
            <w:tcW w:w="6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2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2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26" w:type="dxa"/>
            <w:tcBorders/>
            <w:shd w:fill="auto" w:val="clear"/>
            <w:vAlign w:val="center"/>
          </w:tcPr>
          <w:p>
            <w:pPr>
              <w:pStyle w:val="TableContents"/>
              <w:spacing w:before="0" w:after="0"/>
              <w:ind w:left="0" w:right="0" w:hanging="0"/>
              <w:jc w:val="center"/>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196" w:type="dxa"/>
            <w:tcBorders/>
            <w:shd w:fill="auto" w:val="clear"/>
            <w:vAlign w:val="center"/>
          </w:tcPr>
          <w:p>
            <w:pPr>
              <w:pStyle w:val="TableContents"/>
              <w:spacing w:before="0" w:after="0"/>
              <w:ind w:left="0" w:right="0" w:hanging="0"/>
              <w:rPr/>
            </w:pPr>
            <w:r>
              <w:rPr/>
              <w:t> </w:t>
            </w:r>
          </w:p>
        </w:tc>
      </w:tr>
      <w:tr>
        <w:trPr/>
        <w:tc>
          <w:tcPr>
            <w:tcW w:w="796"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Balance, January 1, 2022</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37,188,730</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w:t>
            </w:r>
          </w:p>
        </w:tc>
        <w:tc>
          <w:tcPr>
            <w:tcW w:w="326" w:type="dxa"/>
            <w:tcBorders/>
            <w:shd w:fill="CCEEFF" w:val="clear"/>
            <w:vAlign w:val="center"/>
          </w:tcPr>
          <w:p>
            <w:pPr>
              <w:pStyle w:val="TableContents"/>
              <w:spacing w:before="0" w:after="0"/>
              <w:ind w:left="0" w:right="0" w:hanging="0"/>
              <w:rPr/>
            </w:pPr>
            <w:r>
              <w:rPr/>
              <w:t>​</w:t>
            </w:r>
          </w:p>
        </w:tc>
        <w:tc>
          <w:tcPr>
            <w:tcW w:w="451"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63,433</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86</w:t>
            </w:r>
          </w:p>
        </w:tc>
        <w:tc>
          <w:tcPr>
            <w:tcW w:w="326" w:type="dxa"/>
            <w:tcBorders/>
            <w:shd w:fill="CCEEFF" w:val="clear"/>
            <w:vAlign w:val="center"/>
          </w:tcPr>
          <w:p>
            <w:pPr>
              <w:pStyle w:val="TableContents"/>
              <w:spacing w:before="0" w:after="0"/>
              <w:ind w:left="0" w:right="0" w:hanging="0"/>
              <w:jc w:val="right"/>
              <w:rPr/>
            </w:pPr>
            <w:r>
              <w:rPr/>
              <w:t>​</w:t>
            </w:r>
          </w:p>
        </w:tc>
        <w:tc>
          <w:tcPr>
            <w:tcW w:w="49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570,987</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8</w:t>
            </w:r>
          </w:p>
        </w:tc>
        <w:tc>
          <w:tcPr>
            <w:tcW w:w="326" w:type="dxa"/>
            <w:tcBorders/>
            <w:shd w:fill="CCEEFF" w:val="clear"/>
            <w:vAlign w:val="center"/>
          </w:tcPr>
          <w:p>
            <w:pPr>
              <w:pStyle w:val="TableContents"/>
              <w:spacing w:before="0" w:after="0"/>
              <w:ind w:left="0" w:right="0" w:hanging="0"/>
              <w:jc w:val="right"/>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27,828,231</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CCEEFF" w:val="clear"/>
            <w:vAlign w:val="center"/>
          </w:tcPr>
          <w:p>
            <w:pPr>
              <w:pStyle w:val="TableContents"/>
              <w:spacing w:lineRule="auto" w:line="240" w:before="0" w:after="0"/>
              <w:ind w:left="0" w:right="0" w:hanging="0"/>
              <w:rPr>
                <w:rFonts w:ascii="Times New Roman;Times;serif" w:hAnsi="Times New Roman;Times;serif"/>
                <w:b/>
                <w:sz w:val="9"/>
              </w:rPr>
            </w:pPr>
            <w:r>
              <w:rPr>
                <w:rFonts w:ascii="Times New Roman;Times;serif" w:hAnsi="Times New Roman;Times;serif"/>
                <w:b/>
                <w:sz w:val="9"/>
              </w:rPr>
              <w:t>1</w:t>
            </w:r>
          </w:p>
        </w:tc>
        <w:tc>
          <w:tcPr>
            <w:tcW w:w="166"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369,103</w:t>
            </w:r>
          </w:p>
        </w:tc>
        <w:tc>
          <w:tcPr>
            <w:tcW w:w="326" w:type="dxa"/>
            <w:tcBorders/>
            <w:shd w:fill="CCEEFF" w:val="clear"/>
            <w:vAlign w:val="center"/>
          </w:tcPr>
          <w:p>
            <w:pPr>
              <w:pStyle w:val="TableContents"/>
              <w:spacing w:before="0" w:after="0"/>
              <w:ind w:left="0" w:right="0" w:hanging="0"/>
              <w:jc w:val="right"/>
              <w:rPr/>
            </w:pPr>
            <w:r>
              <w:rPr/>
              <w:t>​</w:t>
            </w:r>
          </w:p>
        </w:tc>
        <w:tc>
          <w:tcPr>
            <w:tcW w:w="186"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610"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(108,585)</w:t>
            </w:r>
          </w:p>
        </w:tc>
        <w:tc>
          <w:tcPr>
            <w:tcW w:w="326" w:type="dxa"/>
            <w:tcBorders/>
            <w:shd w:fill="CCEEFF" w:val="clear"/>
            <w:vAlign w:val="center"/>
          </w:tcPr>
          <w:p>
            <w:pPr>
              <w:pStyle w:val="TableContents"/>
              <w:spacing w:before="0" w:after="0"/>
              <w:ind w:left="0" w:right="0" w:hanging="0"/>
              <w:jc w:val="right"/>
              <w:rPr/>
            </w:pPr>
            <w:r>
              <w:rPr/>
              <w:t>​</w:t>
            </w:r>
          </w:p>
        </w:tc>
        <w:tc>
          <w:tcPr>
            <w:tcW w:w="234"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(8,488)</w:t>
            </w:r>
          </w:p>
        </w:tc>
        <w:tc>
          <w:tcPr>
            <w:tcW w:w="326" w:type="dxa"/>
            <w:tcBorders/>
            <w:shd w:fill="CCEEFF" w:val="clear"/>
            <w:vAlign w:val="center"/>
          </w:tcPr>
          <w:p>
            <w:pPr>
              <w:pStyle w:val="TableContents"/>
              <w:spacing w:before="0" w:after="0"/>
              <w:ind w:left="0" w:right="0" w:hanging="0"/>
              <w:jc w:val="right"/>
              <w:rPr/>
            </w:pPr>
            <w:r>
              <w:rPr/>
              <w:t>​</w:t>
            </w:r>
          </w:p>
        </w:tc>
        <w:tc>
          <w:tcPr>
            <w:tcW w:w="282"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589"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437</w:t>
            </w:r>
          </w:p>
        </w:tc>
        <w:tc>
          <w:tcPr>
            <w:tcW w:w="326" w:type="dxa"/>
            <w:tcBorders/>
            <w:shd w:fill="CCEEFF" w:val="clear"/>
            <w:vAlign w:val="center"/>
          </w:tcPr>
          <w:p>
            <w:pPr>
              <w:pStyle w:val="TableContents"/>
              <w:spacing w:before="0" w:after="0"/>
              <w:ind w:left="0" w:right="0" w:hanging="0"/>
              <w:jc w:val="right"/>
              <w:rPr/>
            </w:pPr>
            <w:r>
              <w:rPr/>
              <w:t>​</w:t>
            </w:r>
          </w:p>
        </w:tc>
        <w:tc>
          <w:tcPr>
            <w:tcW w:w="195"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252,562</w:t>
            </w:r>
          </w:p>
        </w:tc>
        <w:tc>
          <w:tcPr>
            <w:tcW w:w="196" w:type="dxa"/>
            <w:tcBorders/>
            <w:shd w:fill="CCEEFF" w:val="clear"/>
            <w:vAlign w:val="center"/>
          </w:tcPr>
          <w:p>
            <w:pPr>
              <w:pStyle w:val="TableContents"/>
              <w:spacing w:before="0" w:after="0"/>
              <w:ind w:left="0" w:right="0" w:hanging="0"/>
              <w:rPr/>
            </w:pPr>
            <w:r>
              <w:rPr/>
              <w: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Share based compensation</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3,984</w:t>
            </w:r>
          </w:p>
        </w:tc>
        <w:tc>
          <w:tcPr>
            <w:tcW w:w="326" w:type="dxa"/>
            <w:tcBorders/>
            <w:shd w:fill="auto" w:val="clear"/>
            <w:vAlign w:val="center"/>
          </w:tcPr>
          <w:p>
            <w:pPr>
              <w:pStyle w:val="TableContents"/>
              <w:spacing w:before="0" w:after="0"/>
              <w:ind w:left="0" w:right="0" w:hanging="0"/>
              <w:jc w:val="right"/>
              <w:rPr/>
            </w:pPr>
            <w:r>
              <w:rPr/>
              <w:t>​</w:t>
            </w:r>
          </w:p>
        </w:tc>
        <w:tc>
          <w:tcPr>
            <w:tcW w:w="186"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4"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82"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3,984</w:t>
            </w:r>
          </w:p>
        </w:tc>
        <w:tc>
          <w:tcPr>
            <w:tcW w:w="196" w:type="dxa"/>
            <w:tcBorders/>
            <w:shd w:fill="auto" w:val="clear"/>
            <w:vAlign w:val="center"/>
          </w:tcPr>
          <w:p>
            <w:pPr>
              <w:pStyle w:val="TableContents"/>
              <w:spacing w:before="0" w:after="0"/>
              <w:ind w:left="0" w:right="0" w:hanging="0"/>
              <w:rPr/>
            </w:pPr>
            <w:r>
              <w:rPr/>
              <w:t>​</w:t>
            </w:r>
          </w:p>
        </w:tc>
      </w:tr>
      <w:tr>
        <w:trPr/>
        <w:tc>
          <w:tcPr>
            <w:tcW w:w="7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Issue of ordinary shares</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4,637</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0"/>
              <w:ind w:left="0" w:right="0" w:hanging="0"/>
              <w:rPr>
                <w:rFonts w:ascii="Times New Roman;Times;serif" w:hAnsi="Times New Roman;Times;serif"/>
                <w:sz w:val="9"/>
              </w:rPr>
            </w:pPr>
            <w:r>
              <w:rPr>
                <w:rFonts w:ascii="Times New Roman;Times;serif" w:hAnsi="Times New Roman;Times;serif"/>
                <w:sz w:val="9"/>
              </w:rPr>
              <w:t>1</w:t>
            </w:r>
          </w:p>
        </w:tc>
        <w:tc>
          <w:tcPr>
            <w:tcW w:w="4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4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0</w:t>
            </w:r>
          </w:p>
        </w:tc>
        <w:tc>
          <w:tcPr>
            <w:tcW w:w="326" w:type="dxa"/>
            <w:tcBorders/>
            <w:shd w:fill="CCEEFF" w:val="clear"/>
            <w:vAlign w:val="center"/>
          </w:tcPr>
          <w:p>
            <w:pPr>
              <w:pStyle w:val="TableContents"/>
              <w:spacing w:lineRule="auto" w:line="240" w:before="0" w:after="0"/>
              <w:ind w:left="0" w:right="0" w:hanging="0"/>
              <w:rPr>
                <w:rFonts w:ascii="Times New Roman;Times;serif" w:hAnsi="Times New Roman;Times;serif"/>
                <w:sz w:val="9"/>
              </w:rPr>
            </w:pPr>
            <w:r>
              <w:rPr>
                <w:rFonts w:ascii="Times New Roman;Times;serif" w:hAnsi="Times New Roman;Times;serif"/>
                <w:sz w:val="9"/>
              </w:rPr>
              <w:t>1</w:t>
            </w:r>
          </w:p>
        </w:tc>
        <w:tc>
          <w:tcPr>
            <w:tcW w:w="186" w:type="dxa"/>
            <w:tcBorders/>
            <w:shd w:fill="CCEEFF" w:val="clear"/>
            <w:vAlign w:val="center"/>
          </w:tcPr>
          <w:p>
            <w:pPr>
              <w:pStyle w:val="TableContents"/>
              <w:spacing w:before="0" w:after="0"/>
              <w:ind w:left="0" w:right="0" w:hanging="0"/>
              <w:rPr/>
            </w:pPr>
            <w:r>
              <w:rPr/>
              <w:t>​</w:t>
            </w:r>
          </w:p>
        </w:tc>
        <w:tc>
          <w:tcPr>
            <w:tcW w:w="6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4"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82" w:type="dxa"/>
            <w:tcBorders/>
            <w:shd w:fill="CCEEFF" w:val="clear"/>
            <w:vAlign w:val="center"/>
          </w:tcPr>
          <w:p>
            <w:pPr>
              <w:pStyle w:val="TableContents"/>
              <w:spacing w:before="0" w:after="0"/>
              <w:ind w:left="0" w:right="0" w:hanging="0"/>
              <w:rPr/>
            </w:pPr>
            <w:r>
              <w:rPr/>
              <w:t>​</w:t>
            </w:r>
          </w:p>
        </w:tc>
        <w:tc>
          <w:tcPr>
            <w:tcW w:w="5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5"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0</w:t>
            </w:r>
          </w:p>
        </w:tc>
        <w:tc>
          <w:tcPr>
            <w:tcW w:w="196" w:type="dxa"/>
            <w:tcBorders/>
            <w:shd w:fill="CCEEFF" w:val="clear"/>
            <w:vAlign w:val="center"/>
          </w:tcPr>
          <w:p>
            <w:pPr>
              <w:pStyle w:val="TableContents"/>
              <w:spacing w:lineRule="auto" w:line="240" w:before="0" w:after="0"/>
              <w:ind w:left="0" w:right="0" w:hanging="0"/>
              <w:rPr>
                <w:rFonts w:ascii="Times New Roman;Times;serif" w:hAnsi="Times New Roman;Times;serif"/>
                <w:sz w:val="9"/>
              </w:rPr>
            </w:pPr>
            <w:r>
              <w:rPr>
                <w:rFonts w:ascii="Times New Roman;Times;serif" w:hAnsi="Times New Roman;Times;serif"/>
                <w:sz w:val="9"/>
              </w:rPr>
              <w:t>1</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Foreign currency translation adjustments</w:t>
            </w:r>
          </w:p>
        </w:tc>
        <w:tc>
          <w:tcPr>
            <w:tcW w:w="32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86" w:type="dxa"/>
            <w:tcBorders/>
            <w:shd w:fill="auto" w:val="clear"/>
            <w:vAlign w:val="center"/>
          </w:tcPr>
          <w:p>
            <w:pPr>
              <w:pStyle w:val="TableContents"/>
              <w:spacing w:before="0" w:after="0"/>
              <w:ind w:left="0" w:right="0" w:hanging="0"/>
              <w:rPr/>
            </w:pPr>
            <w:r>
              <w:rPr/>
              <w:t>​</w:t>
            </w:r>
          </w:p>
        </w:tc>
        <w:tc>
          <w:tcPr>
            <w:tcW w:w="6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4"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(5,968)</w:t>
            </w:r>
          </w:p>
        </w:tc>
        <w:tc>
          <w:tcPr>
            <w:tcW w:w="326" w:type="dxa"/>
            <w:tcBorders/>
            <w:shd w:fill="auto" w:val="clear"/>
            <w:vAlign w:val="center"/>
          </w:tcPr>
          <w:p>
            <w:pPr>
              <w:pStyle w:val="TableContents"/>
              <w:spacing w:before="0" w:after="0"/>
              <w:ind w:left="0" w:right="0" w:hanging="0"/>
              <w:jc w:val="right"/>
              <w:rPr/>
            </w:pPr>
            <w:r>
              <w:rPr/>
              <w:t>​</w:t>
            </w:r>
          </w:p>
        </w:tc>
        <w:tc>
          <w:tcPr>
            <w:tcW w:w="282"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w:t>
            </w:r>
          </w:p>
        </w:tc>
        <w:tc>
          <w:tcPr>
            <w:tcW w:w="326"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(5,983)</w:t>
            </w:r>
          </w:p>
        </w:tc>
        <w:tc>
          <w:tcPr>
            <w:tcW w:w="196" w:type="dxa"/>
            <w:tcBorders/>
            <w:shd w:fill="auto" w:val="clear"/>
            <w:vAlign w:val="center"/>
          </w:tcPr>
          <w:p>
            <w:pPr>
              <w:pStyle w:val="TableContents"/>
              <w:spacing w:before="0" w:after="0"/>
              <w:ind w:left="0" w:right="0" w:hanging="0"/>
              <w:rPr/>
            </w:pPr>
            <w:r>
              <w:rPr/>
              <w:t>​</w:t>
            </w:r>
          </w:p>
        </w:tc>
      </w:tr>
      <w:tr>
        <w:trPr/>
        <w:tc>
          <w:tcPr>
            <w:tcW w:w="79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Net income</w:t>
            </w:r>
          </w:p>
        </w:tc>
        <w:tc>
          <w:tcPr>
            <w:tcW w:w="326" w:type="dxa"/>
            <w:tcBorders/>
            <w:shd w:fill="CCEEFF" w:val="clear"/>
            <w:vAlign w:val="center"/>
          </w:tcPr>
          <w:p>
            <w:pPr>
              <w:pStyle w:val="TableContents"/>
              <w:spacing w:before="0" w:after="0"/>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4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8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2,596</w:t>
            </w:r>
          </w:p>
        </w:tc>
        <w:tc>
          <w:tcPr>
            <w:tcW w:w="326" w:type="dxa"/>
            <w:tcBorders/>
            <w:shd w:fill="CCEEFF" w:val="clear"/>
            <w:vAlign w:val="center"/>
          </w:tcPr>
          <w:p>
            <w:pPr>
              <w:pStyle w:val="TableContents"/>
              <w:spacing w:before="0" w:after="0"/>
              <w:ind w:left="0" w:right="0" w:hanging="0"/>
              <w:jc w:val="right"/>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8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(22)</w:t>
            </w:r>
          </w:p>
        </w:tc>
        <w:tc>
          <w:tcPr>
            <w:tcW w:w="326" w:type="dxa"/>
            <w:tcBorders/>
            <w:shd w:fill="CCEEFF" w:val="clear"/>
            <w:vAlign w:val="center"/>
          </w:tcPr>
          <w:p>
            <w:pPr>
              <w:pStyle w:val="TableContents"/>
              <w:spacing w:before="0" w:after="0"/>
              <w:ind w:left="0" w:right="0" w:hanging="0"/>
              <w:jc w:val="right"/>
              <w:rPr/>
            </w:pPr>
            <w:r>
              <w:rPr/>
              <w:t>​</w:t>
            </w:r>
          </w:p>
        </w:tc>
        <w:tc>
          <w:tcPr>
            <w:tcW w:w="19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2,574</w:t>
            </w:r>
          </w:p>
        </w:tc>
        <w:tc>
          <w:tcPr>
            <w:tcW w:w="196" w:type="dxa"/>
            <w:tcBorders/>
            <w:shd w:fill="CCEEFF" w:val="clear"/>
            <w:vAlign w:val="center"/>
          </w:tcPr>
          <w:p>
            <w:pPr>
              <w:pStyle w:val="TableContents"/>
              <w:spacing w:before="0" w:after="0"/>
              <w:ind w:left="0" w:right="0" w:hanging="0"/>
              <w:rPr/>
            </w:pPr>
            <w:r>
              <w:rPr/>
              <w: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Balance, March 31, 2022</w:t>
            </w:r>
          </w:p>
        </w:tc>
        <w:tc>
          <w:tcPr>
            <w:tcW w:w="326" w:type="dxa"/>
            <w:tcBorders/>
            <w:shd w:fill="auto" w:val="clear"/>
            <w:vAlign w:val="center"/>
          </w:tcPr>
          <w:p>
            <w:pPr>
              <w:pStyle w:val="TableContents"/>
              <w:spacing w:before="0" w:after="0"/>
              <w:ind w:left="0" w:right="0" w:hanging="0"/>
              <w:rPr/>
            </w:pPr>
            <w:r>
              <w:rPr/>
              <w:t> </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37,193,367</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w:t>
            </w:r>
          </w:p>
        </w:tc>
        <w:tc>
          <w:tcPr>
            <w:tcW w:w="326" w:type="dxa"/>
            <w:tcBorders/>
            <w:shd w:fill="auto" w:val="clear"/>
            <w:vAlign w:val="center"/>
          </w:tcPr>
          <w:p>
            <w:pPr>
              <w:pStyle w:val="TableContents"/>
              <w:spacing w:before="0" w:after="0"/>
              <w:ind w:left="0" w:right="0" w:hanging="0"/>
              <w:rPr/>
            </w:pPr>
            <w:r>
              <w:rPr/>
              <w:t>​</w:t>
            </w:r>
          </w:p>
        </w:tc>
        <w:tc>
          <w:tcPr>
            <w:tcW w:w="4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63,443</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86</w:t>
            </w:r>
          </w:p>
        </w:tc>
        <w:tc>
          <w:tcPr>
            <w:tcW w:w="326" w:type="dxa"/>
            <w:tcBorders/>
            <w:shd w:fill="auto" w:val="clear"/>
            <w:vAlign w:val="center"/>
          </w:tcPr>
          <w:p>
            <w:pPr>
              <w:pStyle w:val="TableContents"/>
              <w:spacing w:before="0" w:after="0"/>
              <w:ind w:left="0" w:right="0" w:hanging="0"/>
              <w:jc w:val="right"/>
              <w:rPr/>
            </w:pPr>
            <w:r>
              <w:rPr/>
              <w:t>​</w:t>
            </w:r>
          </w:p>
        </w:tc>
        <w:tc>
          <w:tcPr>
            <w:tcW w:w="4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570,987</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8</w:t>
            </w:r>
          </w:p>
        </w:tc>
        <w:tc>
          <w:tcPr>
            <w:tcW w:w="326" w:type="dxa"/>
            <w:tcBorders/>
            <w:shd w:fill="auto" w:val="clear"/>
            <w:vAlign w:val="center"/>
          </w:tcPr>
          <w:p>
            <w:pPr>
              <w:pStyle w:val="TableContents"/>
              <w:spacing w:before="0" w:after="0"/>
              <w:ind w:left="0" w:right="0" w:hanging="0"/>
              <w:jc w:val="right"/>
              <w:rPr/>
            </w:pPr>
            <w:r>
              <w:rPr/>
              <w:t>​</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27,828,231</w:t>
            </w:r>
          </w:p>
        </w:tc>
        <w:tc>
          <w:tcPr>
            <w:tcW w:w="326" w:type="dxa"/>
            <w:tcBorders/>
            <w:shd w:fill="auto" w:val="clear"/>
            <w:vAlign w:val="center"/>
          </w:tcPr>
          <w:p>
            <w:pPr>
              <w:pStyle w:val="TableContents"/>
              <w:spacing w:before="0" w:after="0"/>
              <w:ind w:left="0" w:right="0" w:hanging="0"/>
              <w:jc w:val="right"/>
              <w:rPr/>
            </w:pPr>
            <w:r>
              <w:rPr/>
              <w:t>​</w:t>
            </w:r>
          </w:p>
        </w:tc>
        <w:tc>
          <w:tcPr>
            <w:tcW w:w="1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0</w:t>
            </w:r>
          </w:p>
        </w:tc>
        <w:tc>
          <w:tcPr>
            <w:tcW w:w="326" w:type="dxa"/>
            <w:tcBorders/>
            <w:shd w:fill="auto" w:val="clear"/>
            <w:vAlign w:val="center"/>
          </w:tcPr>
          <w:p>
            <w:pPr>
              <w:pStyle w:val="TableContents"/>
              <w:spacing w:lineRule="auto" w:line="240" w:before="0" w:after="0"/>
              <w:ind w:left="0" w:right="0" w:hanging="0"/>
              <w:rPr>
                <w:rFonts w:ascii="Times New Roman;Times;serif" w:hAnsi="Times New Roman;Times;serif"/>
                <w:b/>
                <w:sz w:val="9"/>
              </w:rPr>
            </w:pPr>
            <w:r>
              <w:rPr>
                <w:rFonts w:ascii="Times New Roman;Times;serif" w:hAnsi="Times New Roman;Times;serif"/>
                <w:b/>
                <w:sz w:val="9"/>
              </w:rPr>
              <w:t>1</w:t>
            </w:r>
          </w:p>
        </w:tc>
        <w:tc>
          <w:tcPr>
            <w:tcW w:w="1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373,087</w:t>
            </w:r>
          </w:p>
        </w:tc>
        <w:tc>
          <w:tcPr>
            <w:tcW w:w="326" w:type="dxa"/>
            <w:tcBorders/>
            <w:shd w:fill="auto" w:val="clear"/>
            <w:vAlign w:val="center"/>
          </w:tcPr>
          <w:p>
            <w:pPr>
              <w:pStyle w:val="TableContents"/>
              <w:spacing w:before="0" w:after="0"/>
              <w:ind w:left="0" w:right="0" w:hanging="0"/>
              <w:jc w:val="right"/>
              <w:rPr/>
            </w:pPr>
            <w:r>
              <w:rPr/>
              <w:t>​</w:t>
            </w:r>
          </w:p>
        </w:tc>
        <w:tc>
          <w:tcPr>
            <w:tcW w:w="18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6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(105,989)</w:t>
            </w:r>
          </w:p>
        </w:tc>
        <w:tc>
          <w:tcPr>
            <w:tcW w:w="326" w:type="dxa"/>
            <w:tcBorders/>
            <w:shd w:fill="auto" w:val="clear"/>
            <w:vAlign w:val="center"/>
          </w:tcPr>
          <w:p>
            <w:pPr>
              <w:pStyle w:val="TableContents"/>
              <w:spacing w:before="0" w:after="0"/>
              <w:ind w:left="0" w:right="0" w:hanging="0"/>
              <w:jc w:val="right"/>
              <w:rPr/>
            </w:pPr>
            <w:r>
              <w:rPr/>
              <w:t>​</w:t>
            </w:r>
          </w:p>
        </w:tc>
        <w:tc>
          <w:tcPr>
            <w:tcW w:w="2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6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(14,456)</w:t>
            </w:r>
          </w:p>
        </w:tc>
        <w:tc>
          <w:tcPr>
            <w:tcW w:w="326" w:type="dxa"/>
            <w:tcBorders/>
            <w:shd w:fill="auto" w:val="clear"/>
            <w:vAlign w:val="center"/>
          </w:tcPr>
          <w:p>
            <w:pPr>
              <w:pStyle w:val="TableContents"/>
              <w:spacing w:before="0" w:after="0"/>
              <w:ind w:left="0" w:right="0" w:hanging="0"/>
              <w:jc w:val="right"/>
              <w:rPr/>
            </w:pPr>
            <w:r>
              <w:rPr/>
              <w:t>​</w:t>
            </w:r>
          </w:p>
        </w:tc>
        <w:tc>
          <w:tcPr>
            <w:tcW w:w="28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58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400</w:t>
            </w:r>
          </w:p>
        </w:tc>
        <w:tc>
          <w:tcPr>
            <w:tcW w:w="326" w:type="dxa"/>
            <w:tcBorders/>
            <w:shd w:fill="auto" w:val="clear"/>
            <w:vAlign w:val="center"/>
          </w:tcPr>
          <w:p>
            <w:pPr>
              <w:pStyle w:val="TableContents"/>
              <w:spacing w:before="0" w:after="0"/>
              <w:ind w:left="0" w:right="0" w:hanging="0"/>
              <w:jc w:val="right"/>
              <w:rPr/>
            </w:pPr>
            <w:r>
              <w:rPr/>
              <w:t>​</w:t>
            </w:r>
          </w:p>
        </w:tc>
        <w:tc>
          <w:tcPr>
            <w:tcW w:w="19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253,137</w:t>
            </w:r>
          </w:p>
        </w:tc>
        <w:tc>
          <w:tcPr>
            <w:tcW w:w="19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lineRule="auto" w:line="240" w:before="0" w:after="24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Indicates amount less than thousand</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49" w:name="_8ac62ccd_ffe9_4af1_98ef_846fcd26bae3"/>
      <w:bookmarkEnd w:id="649"/>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650" w:name="CONDENSEDCONSOLIDATEDSTATEMENTSOFCASHFLO"/>
      <w:bookmarkEnd w:id="650"/>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pPr>
      <w:r>
        <w:rPr/>
        <w:t>​</w:t>
      </w:r>
    </w:p>
    <w:p>
      <w:pPr>
        <w:pStyle w:val="Normal"/>
        <w:spacing w:before="0" w:after="0"/>
        <w:rPr>
          <w:sz w:val="4"/>
          <w:szCs w:val="4"/>
        </w:rPr>
      </w:pPr>
      <w:r>
        <w:rPr>
          <w:sz w:val="4"/>
          <w:szCs w:val="4"/>
        </w:rPr>
      </w:r>
      <w:bookmarkStart w:id="651" w:name="Tc_HbkFB0zt9UiAf4L4tx_B7Q_44_5"/>
      <w:bookmarkStart w:id="652" w:name="Tc_GCknyrIbuUeyCTFmiXVZ1A_44_2"/>
      <w:bookmarkStart w:id="653" w:name="Tc_HPGs0EOf3UOHlimNfRj7IA_44_0"/>
      <w:bookmarkStart w:id="654" w:name="Tc_ztPqvxe8mUyecA91AWJxuw_43_5"/>
      <w:bookmarkStart w:id="655" w:name="Tc_hKBSf2n2nEmNlKfqM2v7OA_43_2"/>
      <w:bookmarkStart w:id="656" w:name="Tc_HNEh3xxUB06J18ZljPjZgw_43_0"/>
      <w:bookmarkStart w:id="657" w:name="Tc_zJPJy3lFdEWPiFcUp7mLDA_42_5"/>
      <w:bookmarkStart w:id="658" w:name="Tc_uGzWsx5yokCAJYjcYKDLtQ_42_2"/>
      <w:bookmarkStart w:id="659" w:name="Tc_9pcWc7fR8kCdPB90D9bJvw_42_0"/>
      <w:bookmarkStart w:id="660" w:name="Tc_k-BHrAS6HEeeKMeMK8nOtA_41_6"/>
      <w:bookmarkStart w:id="661" w:name="Tc_9RyUmhGjd0GBiWiqc0SBXg_41_5"/>
      <w:bookmarkStart w:id="662" w:name="Tc_a8mOxRMgRk-O6h6NaFvUbg_41_4"/>
      <w:bookmarkStart w:id="663" w:name="Tc_GiSHtYtUvEaBCDoXL2Ld-A_41_2"/>
      <w:bookmarkStart w:id="664" w:name="Tc_zXMFQ9EXm0O9e1zgmgRljA_41_0"/>
      <w:bookmarkStart w:id="665" w:name="Tc_E6pHlNXCikmCkCk5LZyVsQ_40_0"/>
      <w:bookmarkStart w:id="666" w:name="Tc_iiwmBOyys0iOBQ0kSWiUrg_39_6"/>
      <w:bookmarkStart w:id="667" w:name="Tc_7mx7H310xE-Y_xQ_oTi_mg_39_5"/>
      <w:bookmarkStart w:id="668" w:name="Tc_c72NOUogmkmOOkNHqSFqWw_39_4"/>
      <w:bookmarkStart w:id="669" w:name="Tc_5uO1jmIj4E6veErRn5a5Jg_39_2"/>
      <w:bookmarkStart w:id="670" w:name="Tc_VCi8Ajv0CE2cGlJ5HmTLcQ_39_0"/>
      <w:bookmarkStart w:id="671" w:name="Tc_O5bGlrYDi0iXbOv68mB5bg_38_6"/>
      <w:bookmarkStart w:id="672" w:name="Tc_MM_CAFMhS0uNoM1qQzS55Q_38_5"/>
      <w:bookmarkStart w:id="673" w:name="Tc_hoopGGZGm0S75r7OUXvsog_38_4"/>
      <w:bookmarkStart w:id="674" w:name="Tc_ppdJyrBLsEqpZ8UqZngSUw_38_2"/>
      <w:bookmarkStart w:id="675" w:name="Tc_tNIfUjfWEU-01G-rjYMOcA_38_0"/>
      <w:bookmarkStart w:id="676" w:name="Tc_5tKjRInhVEOd3tujQJUNHQ_37_0"/>
      <w:bookmarkStart w:id="677" w:name="Tc_VctnQhtwXE-yuq7x6ANAmg_35_5"/>
      <w:bookmarkStart w:id="678" w:name="Tc_H9_eEgmS-0e6i9OvHNudDg_35_2"/>
      <w:bookmarkStart w:id="679" w:name="Tc_mSL3UNxIGEaGQLo83xbXYA_35_0"/>
      <w:bookmarkStart w:id="680" w:name="Tc_5Ams1TKGfkGo__Evn9-FGg_34_0"/>
      <w:bookmarkStart w:id="681" w:name="Tc_IPrKGi573E2CPJwuyZ4nVQ_33_0"/>
      <w:bookmarkStart w:id="682" w:name="Tc_zemZzy2dcUKLH50vrOP6Yw_32_0"/>
      <w:bookmarkStart w:id="683" w:name="Tc_w79ZRkIRsUCzvGZ5xgTdug_31_5"/>
      <w:bookmarkStart w:id="684" w:name="Tc_aE9enGc_KEiR8hojRSSd7A_31_2"/>
      <w:bookmarkStart w:id="685" w:name="Tc_RH2Xw5lU70CMmXx9wxsu4A_31_0"/>
      <w:bookmarkStart w:id="686" w:name="Tc_0_v4EQknBU6793AfglSZ3Q_30_3"/>
      <w:bookmarkStart w:id="687" w:name="Tc_eqANeU3920eu9oIe4olvHQ_30_0"/>
      <w:bookmarkStart w:id="688" w:name="Tc_2etLC2UB4EK6eX4G5aunrg_29_6"/>
      <w:bookmarkStart w:id="689" w:name="Tc_DHoRuTmxOEq83HJFVyjCgQ_29_0"/>
      <w:bookmarkStart w:id="690" w:name="Tc_doHIk79mdUycqnCkzDJZlQ_28_6"/>
      <w:bookmarkStart w:id="691" w:name="Tc__RdnFUjzCUuL7wtzIrtcIg_28_0"/>
      <w:bookmarkStart w:id="692" w:name="Tc_iPgWagbxlkWwwNI2INykfQ_27_7"/>
      <w:bookmarkStart w:id="693" w:name="Tc_YV3tEQotJE-AvBgYhrPKSg_27_4"/>
      <w:bookmarkStart w:id="694" w:name="Tc_EoUvCygS3EiqyHhMvmvFVQ_27_0"/>
      <w:bookmarkStart w:id="695" w:name="Tc_9daXo8RqjUacvYe5DEKOUQ_26_0"/>
      <w:bookmarkStart w:id="696" w:name="Tc_pkN19YB770qWpeotalP-NA_25_5"/>
      <w:bookmarkStart w:id="697" w:name="Tc_eAe2ac236E66Onu67amcNQ_25_2"/>
      <w:bookmarkStart w:id="698" w:name="Tc_n68N8-p5bEqx4nhAA-WAWw_25_0"/>
      <w:bookmarkStart w:id="699" w:name="Tc_vTg2G7xspk2lSARi_gIhnw_24_6"/>
      <w:bookmarkStart w:id="700" w:name="Tc_9f_v8YBdw0C1tHTfAnblGA_24_3"/>
      <w:bookmarkStart w:id="701" w:name="Tc_jylNPTmB2E2GfNI129zjTQ_24_0"/>
      <w:bookmarkStart w:id="702" w:name="Tc_4yqHWhLZ_ECuxWlmcIQ9mg_23_0"/>
      <w:bookmarkStart w:id="703" w:name="Tc_zlNOHMhDrUuILBT_bUKWKA_22_0"/>
      <w:bookmarkStart w:id="704" w:name="Tc_0FCgBaYtm0K_eAAOeLBK9w_21_5"/>
      <w:bookmarkStart w:id="705" w:name="Tc_knb84HIqvUaN5WQhiorYYg_21_2"/>
      <w:bookmarkStart w:id="706" w:name="Tc_GmASeEgCzESHW_67CxEiOA_21_0"/>
      <w:bookmarkStart w:id="707" w:name="Tc_T_Pdxc1a8kCpgVa38ALfLA_20_0"/>
      <w:bookmarkStart w:id="708" w:name="Tc_sDBjLifoMkGdrVNWH56Lsw_19_3"/>
      <w:bookmarkStart w:id="709" w:name="Tc_jbFYoUZEkken9RFABjv3NQ_19_0"/>
      <w:bookmarkStart w:id="710" w:name="Tc_viGrYahFZkWeEmUu81OVFA_18_0"/>
      <w:bookmarkStart w:id="711" w:name="Tc_XbZvE5Xm2UOlghwSXPSOow_17_0"/>
      <w:bookmarkStart w:id="712" w:name="Tc_a9w4I9nTIkC_LN9-CzPdwQ_16_0"/>
      <w:bookmarkStart w:id="713" w:name="Tc_n8A2AbaFkU-A7LyM6mWVWQ_15_0"/>
      <w:bookmarkStart w:id="714" w:name="Tc_9TgzJQCaWEeAcMXJ3uZvSw_14_0"/>
      <w:bookmarkStart w:id="715" w:name="Tc_wjI14PXNNEmffLRadeCugw_13_0"/>
      <w:bookmarkStart w:id="716" w:name="Tc_m2wopHcMRUSHWHGZuiJ4cA_12_3"/>
      <w:bookmarkStart w:id="717" w:name="Tc_J2S1uXbSHUaXdozInu73rA_12_0"/>
      <w:bookmarkStart w:id="718" w:name="Tc_3_wiQGWtZE2OO60T2ESLUw_11_6"/>
      <w:bookmarkStart w:id="719" w:name="Tc_WXsWS7LjbE6G3-cAF1qZdw_11_0"/>
      <w:bookmarkStart w:id="720" w:name="Tc_xISL69gu1kKJegLAmvkApg_10_0"/>
      <w:bookmarkStart w:id="721" w:name="Tc_OlGZShsIVUCKpZUUEZKXDA_9_0"/>
      <w:bookmarkStart w:id="722" w:name="Tc_gTFsw1a190ObQIjIxx0-CA_8_0"/>
      <w:bookmarkStart w:id="723" w:name="Tc_6LZI6XB6xEqijiyQQBTBhw_7_0"/>
      <w:bookmarkStart w:id="724" w:name="Tc_bp_uEri5IUOxri1McfDnhQ_6_0"/>
      <w:bookmarkStart w:id="725" w:name="Tc_WZbMN0Kl-kmVDf4shk_Qpg_5_0"/>
      <w:bookmarkStart w:id="726" w:name="Tc_MpxmKOVOeEGADKIMBQ-1ZA_4_5"/>
      <w:bookmarkStart w:id="727" w:name="Tc_uCuWwxU5GU2c5cHj84-uVQ_4_2"/>
      <w:bookmarkStart w:id="728" w:name="Tc_OUqvFWx0lk6Sv0Ej5prWQg_4_0"/>
      <w:bookmarkStart w:id="729" w:name="Tc_0UVaI06E_0y2dn0HxISBNQ_3_0"/>
      <w:bookmarkStart w:id="730" w:name="Tc_hmqxr1PngE-kgQA1mfnc4g_2_5"/>
      <w:bookmarkStart w:id="731" w:name="Tc_OC0OBerwxEO1F1ivtW55MQ_2_2"/>
      <w:bookmarkStart w:id="732" w:name="Tc_B-qnAIxXukCHHzkGtluVSA_1_2"/>
      <w:bookmarkStart w:id="733" w:name="_eb7a6b72_b167_4818_8f59_0882a1a8abae"/>
      <w:bookmarkStart w:id="734" w:name="Tc_HbkFB0zt9UiAf4L4tx_B7Q_44_5"/>
      <w:bookmarkStart w:id="735" w:name="Tc_GCknyrIbuUeyCTFmiXVZ1A_44_2"/>
      <w:bookmarkStart w:id="736" w:name="Tc_HPGs0EOf3UOHlimNfRj7IA_44_0"/>
      <w:bookmarkStart w:id="737" w:name="Tc_ztPqvxe8mUyecA91AWJxuw_43_5"/>
      <w:bookmarkStart w:id="738" w:name="Tc_hKBSf2n2nEmNlKfqM2v7OA_43_2"/>
      <w:bookmarkStart w:id="739" w:name="Tc_HNEh3xxUB06J18ZljPjZgw_43_0"/>
      <w:bookmarkStart w:id="740" w:name="Tc_zJPJy3lFdEWPiFcUp7mLDA_42_5"/>
      <w:bookmarkStart w:id="741" w:name="Tc_uGzWsx5yokCAJYjcYKDLtQ_42_2"/>
      <w:bookmarkStart w:id="742" w:name="Tc_9pcWc7fR8kCdPB90D9bJvw_42_0"/>
      <w:bookmarkStart w:id="743" w:name="Tc_k-BHrAS6HEeeKMeMK8nOtA_41_6"/>
      <w:bookmarkStart w:id="744" w:name="Tc_9RyUmhGjd0GBiWiqc0SBXg_41_5"/>
      <w:bookmarkStart w:id="745" w:name="Tc_a8mOxRMgRk-O6h6NaFvUbg_41_4"/>
      <w:bookmarkStart w:id="746" w:name="Tc_GiSHtYtUvEaBCDoXL2Ld-A_41_2"/>
      <w:bookmarkStart w:id="747" w:name="Tc_zXMFQ9EXm0O9e1zgmgRljA_41_0"/>
      <w:bookmarkStart w:id="748" w:name="Tc_E6pHlNXCikmCkCk5LZyVsQ_40_0"/>
      <w:bookmarkStart w:id="749" w:name="Tc_iiwmBOyys0iOBQ0kSWiUrg_39_6"/>
      <w:bookmarkStart w:id="750" w:name="Tc_7mx7H310xE-Y_xQ_oTi_mg_39_5"/>
      <w:bookmarkStart w:id="751" w:name="Tc_c72NOUogmkmOOkNHqSFqWw_39_4"/>
      <w:bookmarkStart w:id="752" w:name="Tc_5uO1jmIj4E6veErRn5a5Jg_39_2"/>
      <w:bookmarkStart w:id="753" w:name="Tc_VCi8Ajv0CE2cGlJ5HmTLcQ_39_0"/>
      <w:bookmarkStart w:id="754" w:name="Tc_O5bGlrYDi0iXbOv68mB5bg_38_6"/>
      <w:bookmarkStart w:id="755" w:name="Tc_MM_CAFMhS0uNoM1qQzS55Q_38_5"/>
      <w:bookmarkStart w:id="756" w:name="Tc_hoopGGZGm0S75r7OUXvsog_38_4"/>
      <w:bookmarkStart w:id="757" w:name="Tc_ppdJyrBLsEqpZ8UqZngSUw_38_2"/>
      <w:bookmarkStart w:id="758" w:name="Tc_tNIfUjfWEU-01G-rjYMOcA_38_0"/>
      <w:bookmarkStart w:id="759" w:name="Tc_5tKjRInhVEOd3tujQJUNHQ_37_0"/>
      <w:bookmarkStart w:id="760" w:name="Tc_VctnQhtwXE-yuq7x6ANAmg_35_5"/>
      <w:bookmarkStart w:id="761" w:name="Tc_H9_eEgmS-0e6i9OvHNudDg_35_2"/>
      <w:bookmarkStart w:id="762" w:name="Tc_mSL3UNxIGEaGQLo83xbXYA_35_0"/>
      <w:bookmarkStart w:id="763" w:name="Tc_5Ams1TKGfkGo__Evn9-FGg_34_0"/>
      <w:bookmarkStart w:id="764" w:name="Tc_IPrKGi573E2CPJwuyZ4nVQ_33_0"/>
      <w:bookmarkStart w:id="765" w:name="Tc_zemZzy2dcUKLH50vrOP6Yw_32_0"/>
      <w:bookmarkStart w:id="766" w:name="Tc_w79ZRkIRsUCzvGZ5xgTdug_31_5"/>
      <w:bookmarkStart w:id="767" w:name="Tc_aE9enGc_KEiR8hojRSSd7A_31_2"/>
      <w:bookmarkStart w:id="768" w:name="Tc_RH2Xw5lU70CMmXx9wxsu4A_31_0"/>
      <w:bookmarkStart w:id="769" w:name="Tc_0_v4EQknBU6793AfglSZ3Q_30_3"/>
      <w:bookmarkStart w:id="770" w:name="Tc_eqANeU3920eu9oIe4olvHQ_30_0"/>
      <w:bookmarkStart w:id="771" w:name="Tc_2etLC2UB4EK6eX4G5aunrg_29_6"/>
      <w:bookmarkStart w:id="772" w:name="Tc_DHoRuTmxOEq83HJFVyjCgQ_29_0"/>
      <w:bookmarkStart w:id="773" w:name="Tc_doHIk79mdUycqnCkzDJZlQ_28_6"/>
      <w:bookmarkStart w:id="774" w:name="Tc__RdnFUjzCUuL7wtzIrtcIg_28_0"/>
      <w:bookmarkStart w:id="775" w:name="Tc_iPgWagbxlkWwwNI2INykfQ_27_7"/>
      <w:bookmarkStart w:id="776" w:name="Tc_YV3tEQotJE-AvBgYhrPKSg_27_4"/>
      <w:bookmarkStart w:id="777" w:name="Tc_EoUvCygS3EiqyHhMvmvFVQ_27_0"/>
      <w:bookmarkStart w:id="778" w:name="Tc_9daXo8RqjUacvYe5DEKOUQ_26_0"/>
      <w:bookmarkStart w:id="779" w:name="Tc_pkN19YB770qWpeotalP-NA_25_5"/>
      <w:bookmarkStart w:id="780" w:name="Tc_eAe2ac236E66Onu67amcNQ_25_2"/>
      <w:bookmarkStart w:id="781" w:name="Tc_n68N8-p5bEqx4nhAA-WAWw_25_0"/>
      <w:bookmarkStart w:id="782" w:name="Tc_vTg2G7xspk2lSARi_gIhnw_24_6"/>
      <w:bookmarkStart w:id="783" w:name="Tc_9f_v8YBdw0C1tHTfAnblGA_24_3"/>
      <w:bookmarkStart w:id="784" w:name="Tc_jylNPTmB2E2GfNI129zjTQ_24_0"/>
      <w:bookmarkStart w:id="785" w:name="Tc_4yqHWhLZ_ECuxWlmcIQ9mg_23_0"/>
      <w:bookmarkStart w:id="786" w:name="Tc_zlNOHMhDrUuILBT_bUKWKA_22_0"/>
      <w:bookmarkStart w:id="787" w:name="Tc_0FCgBaYtm0K_eAAOeLBK9w_21_5"/>
      <w:bookmarkStart w:id="788" w:name="Tc_knb84HIqvUaN5WQhiorYYg_21_2"/>
      <w:bookmarkStart w:id="789" w:name="Tc_GmASeEgCzESHW_67CxEiOA_21_0"/>
      <w:bookmarkStart w:id="790" w:name="Tc_T_Pdxc1a8kCpgVa38ALfLA_20_0"/>
      <w:bookmarkStart w:id="791" w:name="Tc_sDBjLifoMkGdrVNWH56Lsw_19_3"/>
      <w:bookmarkStart w:id="792" w:name="Tc_jbFYoUZEkken9RFABjv3NQ_19_0"/>
      <w:bookmarkStart w:id="793" w:name="Tc_viGrYahFZkWeEmUu81OVFA_18_0"/>
      <w:bookmarkStart w:id="794" w:name="Tc_XbZvE5Xm2UOlghwSXPSOow_17_0"/>
      <w:bookmarkStart w:id="795" w:name="Tc_a9w4I9nTIkC_LN9-CzPdwQ_16_0"/>
      <w:bookmarkStart w:id="796" w:name="Tc_n8A2AbaFkU-A7LyM6mWVWQ_15_0"/>
      <w:bookmarkStart w:id="797" w:name="Tc_9TgzJQCaWEeAcMXJ3uZvSw_14_0"/>
      <w:bookmarkStart w:id="798" w:name="Tc_wjI14PXNNEmffLRadeCugw_13_0"/>
      <w:bookmarkStart w:id="799" w:name="Tc_m2wopHcMRUSHWHGZuiJ4cA_12_3"/>
      <w:bookmarkStart w:id="800" w:name="Tc_J2S1uXbSHUaXdozInu73rA_12_0"/>
      <w:bookmarkStart w:id="801" w:name="Tc_3_wiQGWtZE2OO60T2ESLUw_11_6"/>
      <w:bookmarkStart w:id="802" w:name="Tc_WXsWS7LjbE6G3-cAF1qZdw_11_0"/>
      <w:bookmarkStart w:id="803" w:name="Tc_xISL69gu1kKJegLAmvkApg_10_0"/>
      <w:bookmarkStart w:id="804" w:name="Tc_OlGZShsIVUCKpZUUEZKXDA_9_0"/>
      <w:bookmarkStart w:id="805" w:name="Tc_gTFsw1a190ObQIjIxx0-CA_8_0"/>
      <w:bookmarkStart w:id="806" w:name="Tc_6LZI6XB6xEqijiyQQBTBhw_7_0"/>
      <w:bookmarkStart w:id="807" w:name="Tc_bp_uEri5IUOxri1McfDnhQ_6_0"/>
      <w:bookmarkStart w:id="808" w:name="Tc_WZbMN0Kl-kmVDf4shk_Qpg_5_0"/>
      <w:bookmarkStart w:id="809" w:name="Tc_MpxmKOVOeEGADKIMBQ-1ZA_4_5"/>
      <w:bookmarkStart w:id="810" w:name="Tc_uCuWwxU5GU2c5cHj84-uVQ_4_2"/>
      <w:bookmarkStart w:id="811" w:name="Tc_OUqvFWx0lk6Sv0Ej5prWQg_4_0"/>
      <w:bookmarkStart w:id="812" w:name="Tc_0UVaI06E_0y2dn0HxISBNQ_3_0"/>
      <w:bookmarkStart w:id="813" w:name="Tc_hmqxr1PngE-kgQA1mfnc4g_2_5"/>
      <w:bookmarkStart w:id="814" w:name="Tc_OC0OBerwxEO1F1ivtW55MQ_2_2"/>
      <w:bookmarkStart w:id="815" w:name="Tc_B-qnAIxXukCHHzkGtluVSA_1_2"/>
      <w:bookmarkStart w:id="816" w:name="_eb7a6b72_b167_4818_8f59_0882a1a8abae"/>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tbl>
      <w:tblPr>
        <w:tblW w:w="7886" w:type="dxa"/>
        <w:jc w:val="left"/>
        <w:tblInd w:w="0" w:type="dxa"/>
        <w:tblCellMar>
          <w:top w:w="0" w:type="dxa"/>
          <w:left w:w="0" w:type="dxa"/>
          <w:bottom w:w="0" w:type="dxa"/>
          <w:right w:w="0" w:type="dxa"/>
        </w:tblCellMar>
      </w:tblPr>
      <w:tblGrid>
        <w:gridCol w:w="4951"/>
        <w:gridCol w:w="326"/>
        <w:gridCol w:w="244"/>
        <w:gridCol w:w="792"/>
        <w:gridCol w:w="326"/>
        <w:gridCol w:w="244"/>
        <w:gridCol w:w="792"/>
        <w:gridCol w:w="211"/>
      </w:tblGrid>
      <w:tr>
        <w:trPr/>
        <w:tc>
          <w:tcPr>
            <w:tcW w:w="4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143885" cy="175260"/>
                      <wp:effectExtent l="0" t="0" r="0" b="0"/>
                      <wp:wrapNone/>
                      <wp:docPr id="89" name="Frame89"/>
                      <a:graphic xmlns:a="http://schemas.openxmlformats.org/drawingml/2006/main">
                        <a:graphicData uri="http://schemas.microsoft.com/office/word/2010/wordprocessingShape">
                          <wps:wsp>
                            <wps:cNvSpPr txBox="1"/>
                            <wps:spPr>
                              <a:xfrm>
                                <a:off x="0" y="0"/>
                                <a:ext cx="3143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4940" cy="175260"/>
                      <wp:effectExtent l="0" t="0" r="0" b="0"/>
                      <wp:wrapNone/>
                      <wp:docPr id="91" name="Frame91"/>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2920" cy="175260"/>
                      <wp:effectExtent l="0" t="0" r="0" b="0"/>
                      <wp:wrapNone/>
                      <wp:docPr id="92" name="Frame92"/>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4940" cy="175260"/>
                      <wp:effectExtent l="0" t="0" r="0" b="0"/>
                      <wp:wrapNone/>
                      <wp:docPr id="94" name="Frame94"/>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02920" cy="175260"/>
                      <wp:effectExtent l="0" t="0" r="0" b="0"/>
                      <wp:wrapNone/>
                      <wp:docPr id="95" name="Frame95"/>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39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211" w:type="dxa"/>
            <w:tcBorders/>
            <w:shd w:fill="auto" w:val="clear"/>
            <w:vAlign w:val="center"/>
          </w:tcPr>
          <w:p>
            <w:pPr>
              <w:pStyle w:val="TableContents"/>
              <w:spacing w:before="0" w:after="0"/>
              <w:ind w:left="0" w:right="0" w:hanging="0"/>
              <w:jc w:val="center"/>
              <w:rPr/>
            </w:pPr>
            <w:r>
              <w:rPr/>
              <w:t> </w:t>
            </w:r>
          </w:p>
        </w:tc>
      </w:tr>
      <w:tr>
        <w:trPr/>
        <w:tc>
          <w:tcPr>
            <w:tcW w:w="4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2023</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2022</w:t>
            </w:r>
          </w:p>
        </w:tc>
        <w:tc>
          <w:tcPr>
            <w:tcW w:w="211" w:type="dxa"/>
            <w:tcBorders/>
            <w:shd w:fill="auto" w:val="clear"/>
            <w:vAlign w:val="center"/>
          </w:tcPr>
          <w:p>
            <w:pPr>
              <w:pStyle w:val="TableContents"/>
              <w:spacing w:before="0" w:after="0"/>
              <w:ind w:left="0" w:right="0" w:hanging="0"/>
              <w:jc w:val="center"/>
              <w:rPr/>
            </w:pPr>
            <w:r>
              <w:rPr/>
              <w:t> </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pPr>
            <w:r>
              <w:rPr/>
              <w:t>  </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Income / (loss)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(18,223)</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2,574</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Adjustments to reconcile net income / (loss) to 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Share based compensation</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2,222</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3,984</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1,221</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966</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Non-cash lease expenses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279</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228</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Change in contingent consideration</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Deferred tax benefit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(516)</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(863)</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Non-cash loss on foreign currency remeasurement and other non-cash adjustments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3,504</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 non-cash expenses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Changes in operating assets and liabilities: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Accounts receivable (including related parties)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4,961</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(18,352)</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4,090</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(1,121)</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Research and development incentives receivable</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2,102</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1,300</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Accounts payable</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(1,707)</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1,739</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Accrued expenses and other current liabilities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(1,315)</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2,830</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Deferred revenue</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 assets</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123</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(3,174)</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(6,579)</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Purchases of property and equipment</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(2,507)</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(1,092)</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 xml:space="preserve">Investment in subsidiary </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(2,507)</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(1,092)</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Issue of shares from the exercise of stock options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w:t>
            </w:r>
          </w:p>
        </w:tc>
        <w:tc>
          <w:tcPr>
            <w:tcW w:w="326" w:type="dxa"/>
            <w:tcBorders/>
            <w:shd w:fill="CCEEFF" w:val="clear"/>
            <w:vAlign w:val="center"/>
          </w:tcPr>
          <w:p>
            <w:pPr>
              <w:pStyle w:val="TableContents"/>
              <w:spacing w:lineRule="auto" w:line="240" w:before="0" w:after="0"/>
              <w:ind w:left="0" w:right="0" w:hanging="0"/>
              <w:rPr>
                <w:rFonts w:ascii="Times New Roman;Times;serif" w:hAnsi="Times New Roman;Times;serif"/>
                <w:sz w:val="11"/>
              </w:rPr>
            </w:pPr>
            <w:r>
              <w:rPr>
                <w:rFonts w:ascii="Times New Roman;Times;serif" w:hAnsi="Times New Roman;Times;serif"/>
                <w:sz w:val="11"/>
              </w:rPr>
              <w:t>1</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w:t>
            </w:r>
          </w:p>
        </w:tc>
        <w:tc>
          <w:tcPr>
            <w:tcW w:w="211" w:type="dxa"/>
            <w:tcBorders/>
            <w:shd w:fill="CCEEFF" w:val="clear"/>
            <w:vAlign w:val="center"/>
          </w:tcPr>
          <w:p>
            <w:pPr>
              <w:pStyle w:val="TableContents"/>
              <w:spacing w:lineRule="auto" w:line="240" w:before="0" w:after="0"/>
              <w:ind w:left="0" w:right="0" w:hanging="0"/>
              <w:rPr>
                <w:rFonts w:ascii="Times New Roman;Times;serif" w:hAnsi="Times New Roman;Times;serif"/>
                <w:sz w:val="11"/>
              </w:rPr>
            </w:pPr>
            <w:r>
              <w:rPr>
                <w:rFonts w:ascii="Times New Roman;Times;serif" w:hAnsi="Times New Roman;Times;serif"/>
                <w:sz w:val="11"/>
              </w:rPr>
              <w:t>1</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Proceeds from issue of ordinary shares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1,789</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Payment of contingent consideration</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Repayment of debt</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cash provided by/(used in) financing activities</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1,689</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(159)</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EFFECT OF EXCHANGE RATES ON CASH AND CASH EQUIVALENTS</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935</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(5,628)</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(decrease) in cash and cash equivalents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(3,057)</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(13,458)</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 xml:space="preserve">Cash and cash equivalents, beginning of the period </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194,385</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214,054</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 xml:space="preserve">Cash and cash equivalents, end of the period </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191,328</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200,596</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Supplemental cash flow disclosures: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92"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paid for interest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w:t>
            </w:r>
          </w:p>
        </w:tc>
        <w:tc>
          <w:tcPr>
            <w:tcW w:w="326" w:type="dxa"/>
            <w:tcBorders/>
            <w:shd w:fill="auto" w:val="clear"/>
            <w:vAlign w:val="center"/>
          </w:tcPr>
          <w:p>
            <w:pPr>
              <w:pStyle w:val="TableContents"/>
              <w:spacing w:lineRule="auto" w:line="240" w:before="0" w:after="0"/>
              <w:ind w:left="0" w:right="0" w:hanging="0"/>
              <w:rPr>
                <w:rFonts w:ascii="Times New Roman;Times;serif" w:hAnsi="Times New Roman;Times;serif"/>
                <w:sz w:val="11"/>
              </w:rPr>
            </w:pPr>
            <w:r>
              <w:rPr>
                <w:rFonts w:ascii="Times New Roman;Times;serif" w:hAnsi="Times New Roman;Times;serif"/>
                <w:sz w:val="11"/>
              </w:rPr>
              <w:t>1</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paid for income taxes</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w:t>
            </w:r>
          </w:p>
        </w:tc>
        <w:tc>
          <w:tcPr>
            <w:tcW w:w="326" w:type="dxa"/>
            <w:tcBorders/>
            <w:shd w:fill="CCEEFF" w:val="clear"/>
            <w:vAlign w:val="center"/>
          </w:tcPr>
          <w:p>
            <w:pPr>
              <w:pStyle w:val="TableContents"/>
              <w:spacing w:lineRule="auto" w:line="240" w:before="0" w:after="0"/>
              <w:ind w:left="0" w:right="0" w:hanging="0"/>
              <w:rPr>
                <w:rFonts w:ascii="Times New Roman;Times;serif" w:hAnsi="Times New Roman;Times;serif"/>
                <w:sz w:val="11"/>
              </w:rPr>
            </w:pPr>
            <w:r>
              <w:rPr>
                <w:rFonts w:ascii="Times New Roman;Times;serif" w:hAnsi="Times New Roman;Times;serif"/>
                <w:sz w:val="11"/>
              </w:rPr>
              <w:t>1</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 xml:space="preserve">Non-Cash investing and financing activities </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 xml:space="preserve">Issue of ordinary shares </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w:t>
            </w:r>
          </w:p>
        </w:tc>
        <w:tc>
          <w:tcPr>
            <w:tcW w:w="326" w:type="dxa"/>
            <w:tcBorders/>
            <w:shd w:fill="CCEEFF" w:val="clear"/>
            <w:vAlign w:val="center"/>
          </w:tcPr>
          <w:p>
            <w:pPr>
              <w:pStyle w:val="TableContents"/>
              <w:spacing w:lineRule="auto" w:line="240" w:before="0" w:after="0"/>
              <w:ind w:left="0" w:right="0" w:hanging="0"/>
              <w:rPr>
                <w:rFonts w:ascii="Times New Roman;Times;serif" w:hAnsi="Times New Roman;Times;serif"/>
                <w:sz w:val="11"/>
              </w:rPr>
            </w:pPr>
            <w:r>
              <w:rPr>
                <w:rFonts w:ascii="Times New Roman;Times;serif" w:hAnsi="Times New Roman;Times;serif"/>
                <w:sz w:val="11"/>
              </w:rPr>
              <w:t>1</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Capital expenditures included in accounts payable and accrued expenses</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2,247</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1,365</w:t>
            </w:r>
          </w:p>
        </w:tc>
        <w:tc>
          <w:tcPr>
            <w:tcW w:w="211" w:type="dxa"/>
            <w:tcBorders/>
            <w:shd w:fill="auto" w:val="clear"/>
            <w:vAlign w:val="center"/>
          </w:tcPr>
          <w:p>
            <w:pPr>
              <w:pStyle w:val="TableContents"/>
              <w:spacing w:before="0" w:after="0"/>
              <w:ind w:left="0" w:right="0" w:hanging="0"/>
              <w:rPr/>
            </w:pPr>
            <w:r>
              <w:rPr/>
              <w:t>​</w:t>
            </w:r>
          </w:p>
        </w:tc>
      </w:tr>
      <w:tr>
        <w:trPr/>
        <w:tc>
          <w:tcPr>
            <w:tcW w:w="495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Asset retirement obligation</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443</w:t>
            </w:r>
          </w:p>
        </w:tc>
        <w:tc>
          <w:tcPr>
            <w:tcW w:w="211" w:type="dxa"/>
            <w:tcBorders/>
            <w:shd w:fill="CCEEFF" w:val="clear"/>
            <w:vAlign w:val="center"/>
          </w:tcPr>
          <w:p>
            <w:pPr>
              <w:pStyle w:val="TableContents"/>
              <w:spacing w:before="0" w:after="0"/>
              <w:ind w:left="0" w:right="0" w:hanging="0"/>
              <w:rPr/>
            </w:pPr>
            <w:r>
              <w:rPr/>
              <w:t>​</w:t>
            </w:r>
          </w:p>
        </w:tc>
      </w:tr>
      <w:tr>
        <w:trPr/>
        <w:tc>
          <w:tcPr>
            <w:tcW w:w="495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Changes to right-of-use asset resulting from lease reassessment event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21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lineRule="auto" w:line="240" w:before="0" w:after="160"/>
        <w:ind w:left="0" w:right="0" w:hanging="0"/>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Indicates amounts less than thousand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bookmarkStart w:id="817" w:name="_Hlk78944657"/>
      <w:bookmarkEnd w:id="817"/>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818" w:name="a1NatureofBusinessandBasisofPresentation"/>
      <w:bookmarkStart w:id="819" w:name="a1NatureofBusinessandBasisofPresentation"/>
      <w:bookmarkEnd w:id="819"/>
    </w:p>
    <w:tbl>
      <w:tblPr>
        <w:tblW w:w="4157" w:type="dxa"/>
        <w:jc w:val="left"/>
        <w:tblInd w:w="0" w:type="dxa"/>
        <w:tblCellMar>
          <w:top w:w="0" w:type="dxa"/>
          <w:left w:w="0" w:type="dxa"/>
          <w:bottom w:w="0" w:type="dxa"/>
          <w:right w:w="0" w:type="dxa"/>
        </w:tblCellMar>
      </w:tblPr>
      <w:tblGrid>
        <w:gridCol w:w="271"/>
        <w:gridCol w:w="388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w:t>
            </w:r>
          </w:p>
        </w:tc>
        <w:tc>
          <w:tcPr>
            <w:tcW w:w="388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Nature of Business and Basis of Presentation</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Vaccitech plc (“Vaccitech”) is a public limited company incorporated pursuant to the laws of England and Wales in March 2021. Vaccitech is engaged in the discovery and development of novel immunotherapeutics and vaccines for the treatment and prevention of infectious disease, cancer and immune tolerance. Vaccitech is headquartered in Harwell, Oxfordshire, United Kingdom. Vaccitech and its direct and indirect subsidiaries, Vaccitech (UK) Limited, Vaccitech Australia Pty Limited, Vaccitech Oncology Limited (“VOLT”), Vaccitech North America, Inc., Vaccitech Switzerland GmbH and Vaccitech Italia S.R.L, are collectively referred to as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initial public offering of American Depositary Shares (“ADSs”), in March 2021, Vaccitech completed a corporate reorganization wherein the shareholders of Vaccitech (UK) Limited exchanged each of their ordinary shares, series A shares and series B shares of Vaccitech (UK) Limited (formerly Vaccitech Limited) for the same quantity of ordinary shares, series A shares and series B shares in Vaccitech plc (resulting in the shareholders of the Company holding the same percentage and class of shares in Vaccitech plc (formerly Vaccitech Rx Limited) as they had in Vaccitech (UK) Limited. The group reorganization under common control constituted a change in reporting entity and has been given retrospective effect reflecting the net assets of Vaccitech (UK) Limited and its subsidiaries and Vaccitech plc at their historical carrying amounts. On April 4, 2022, a merger was effected between subsidiaries Vaccitech USA, Inc. and Vaccitech North America, Inc., with Vaccitech North America, Inc. being the surviving entity.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 operates in an environment of rapid technological change and substantial competition from pharmaceutical and biotechnology companies. The Company is subject to risks common to companies in the biopharmaceutical industry in a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subsidiaries. All intercompany accounts and transactions have been eliminated in consolidation.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 the year ended December 31, 2022. The condensed consolidated balance sheet as of December 31, 2022, was derived from the audited financial statements but does not contain all of the footnote disclosures from the annual financial statements.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As of March 31, 2023, the Company had cash and cash equivalents of $191.3 million and an accumulated deficit of $121.4 million, the Company expects to incur losses for the foreseeable future. The Company expects that its cash and cash equivalents will be sufficient to fund current operations for at least the next twelve months from the issuance of the financial statements. The Company expects to seek additional funding through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obtain sufficient capital, the Company will be forced to delay, reduce or eliminate some or all of its research and development programs,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Unaudited Condensed Financial Information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accompanying Condensed Consolidated Balance Sheets as of March 31, 2023, and December 31, 2022, the Condensed Consolidated Statements of Operations and Comprehensive Loss, Condensed Consolidated Statements of Changes in Shareholders’ Equity and the Condensed Consolidated Statements of Cash Flows for the three months ended March 31, 2023 and 2022 are unaudited. These unaudited condensed consolidated financial statements have been prepared on the same basis as the audited annual consolidated financial statements contained in the Company’s Annual Report on Form 10-K for the year ended December 31, 2022, filed with the Securities Exchange Commission (the “Annual Report”) on March 24, 2023. In our opinion, the unaudited condensed consolidated financial statements include all adjustments of a normal recurring nature necessary for the fair presentation of our financial position as of March 31, 2023, our results of operations for the three months ended March 31, 2023, and 2022, and our cash flows for the three months ended March 31, 2023, and 2022. The results of operations for the three months ended March 31, 2023, are not necessarily indicative of the results to be expected for the year ending December 31, 2023, or any other interim periods.</w:t>
      </w:r>
    </w:p>
    <w:tbl>
      <w:tblPr>
        <w:tblW w:w="4142" w:type="dxa"/>
        <w:jc w:val="left"/>
        <w:tblInd w:w="0" w:type="dxa"/>
        <w:tblCellMar>
          <w:top w:w="0" w:type="dxa"/>
          <w:left w:w="0" w:type="dxa"/>
          <w:bottom w:w="0" w:type="dxa"/>
          <w:right w:w="0" w:type="dxa"/>
        </w:tblCellMar>
      </w:tblPr>
      <w:tblGrid>
        <w:gridCol w:w="271"/>
        <w:gridCol w:w="387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2.</w:t>
            </w:r>
          </w:p>
        </w:tc>
        <w:tc>
          <w:tcPr>
            <w:tcW w:w="38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accounting policies of the Company are set forth in Note 2 to the consolidated financial statements as of and for the year ended December 31, 2022, except as discussed below related to newly adopted accounting pronouncements.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preparation of unaudited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 of the date of issuance of these unaudited 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reviewed all recently issued standards and have determined that such standards will not have a material impact on our condensed consolidated financial statements or do not otherwise apply to our current operations.</w:t>
      </w:r>
    </w:p>
    <w:tbl>
      <w:tblPr>
        <w:tblW w:w="6332" w:type="dxa"/>
        <w:jc w:val="left"/>
        <w:tblInd w:w="0" w:type="dxa"/>
        <w:tblCellMar>
          <w:top w:w="0" w:type="dxa"/>
          <w:left w:w="0" w:type="dxa"/>
          <w:bottom w:w="0" w:type="dxa"/>
          <w:right w:w="0" w:type="dxa"/>
        </w:tblCellMar>
      </w:tblPr>
      <w:tblGrid>
        <w:gridCol w:w="271"/>
        <w:gridCol w:w="606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3.</w:t>
            </w:r>
          </w:p>
        </w:tc>
        <w:tc>
          <w:tcPr>
            <w:tcW w:w="606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Foreign currency translation in General and Administrative Expenses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sz w:val="20"/>
        </w:rPr>
        <w:t>The aggregate, net foreign exchange gain or loss included in determining net (loss)/income recognized in general and administrative expenses for the three months ended March 31, 2023, was a loss of $3.5</w:t>
      </w:r>
      <w:r>
        <w:rPr>
          <w:rFonts w:ascii="Times New Roman;Times;serif" w:hAnsi="Times New Roman;Times;serif"/>
          <w:b/>
          <w:sz w:val="20"/>
        </w:rPr>
        <w:t xml:space="preserve"> </w:t>
      </w:r>
      <w:r>
        <w:rPr>
          <w:rFonts w:ascii="Times New Roman;Times;serif" w:hAnsi="Times New Roman;Times;serif"/>
          <w:b w:val="false"/>
          <w:sz w:val="20"/>
        </w:rPr>
        <w:t>million (three months ended March 31, 2022: $5.3</w:t>
      </w:r>
      <w:r>
        <w:rPr>
          <w:rFonts w:ascii="Times New Roman;Times;serif" w:hAnsi="Times New Roman;Times;serif"/>
          <w:b/>
          <w:sz w:val="20"/>
        </w:rPr>
        <w:t xml:space="preserve"> </w:t>
      </w:r>
      <w:r>
        <w:rPr>
          <w:rFonts w:ascii="Times New Roman;Times;serif" w:hAnsi="Times New Roman;Times;serif"/>
          <w:b w:val="false"/>
          <w:sz w:val="20"/>
        </w:rPr>
        <w:t>million gain).</w:t>
      </w:r>
    </w:p>
    <w:p>
      <w:pPr>
        <w:pStyle w:val="Normal"/>
        <w:spacing w:before="0" w:after="0"/>
        <w:rPr>
          <w:sz w:val="4"/>
          <w:szCs w:val="4"/>
        </w:rPr>
      </w:pPr>
      <w:r>
        <w:rPr>
          <w:sz w:val="4"/>
          <w:szCs w:val="4"/>
        </w:rPr>
      </w:r>
      <w:bookmarkStart w:id="820" w:name="Tc_AOTy7-10s0K-8Z-rmTgW-A_12_5"/>
      <w:bookmarkStart w:id="821" w:name="Tc_-bgPlR1-p0eQRv3Ch__FEA_12_2"/>
      <w:bookmarkStart w:id="822" w:name="Tc_lMrgPGyb_U2EYg3XsFXsfA_12_0"/>
      <w:bookmarkStart w:id="823" w:name="Tc_rFBIb-XJn0-ge4jSbY2oOw_11_5"/>
      <w:bookmarkStart w:id="824" w:name="Tc_pYu3iAa47EOkInj7xIWT_Q_11_2"/>
      <w:bookmarkStart w:id="825" w:name="Tc_vaLs9cOOr0-xGngr_i8L4g_11_0"/>
      <w:bookmarkStart w:id="826" w:name="Tc_P1VFf3k0UkKIEYKzUmvnSA_10_0"/>
      <w:bookmarkStart w:id="827" w:name="Tc_02CGo_mPQ02_M5uFeGQZ5A_9_3"/>
      <w:bookmarkStart w:id="828" w:name="Tc_KtVNfRxrxkmfadAIMAwvjA_9_0"/>
      <w:bookmarkStart w:id="829" w:name="Tc_UUoUurmX4ECQN2gjagaeCA_8_0"/>
      <w:bookmarkStart w:id="830" w:name="Tc_pWTcCWGMwkqYpdHrtGPHzA_7_0"/>
      <w:bookmarkStart w:id="831" w:name="Tc_a0mz7mFXhkKMnbc4ObPboQ_6_5"/>
      <w:bookmarkStart w:id="832" w:name="Tc_v0yyNtLc2kGC3_7uAX_Ylg_6_2"/>
      <w:bookmarkStart w:id="833" w:name="Tc_JEneaiEsU0i0pd8c3mMnyQ_6_0"/>
      <w:bookmarkStart w:id="834" w:name="Tc_P9eFIUmLYkqP0J1Zyj5J0A_5_0"/>
      <w:bookmarkStart w:id="835" w:name="Tc_mUYLtSn_n0aDDxBFJDQKAA_4_5"/>
      <w:bookmarkStart w:id="836" w:name="Tc_KVofir9iz0ysPaTPH0-Jkw_4_2"/>
      <w:bookmarkStart w:id="837" w:name="Tc_vYOCZc6jB0-AC7uHYm8jBA_4_0"/>
      <w:bookmarkStart w:id="838" w:name="Tc_fHEdF3ALdkuZTEfGlAieAQ_3_0"/>
      <w:bookmarkStart w:id="839" w:name="Tc_C3PX5ZMYGEq9AJa9Tfwv7w_2_6"/>
      <w:bookmarkStart w:id="840" w:name="Tc_FBvz-HtXGkKqq4iidjGEYw_2_2"/>
      <w:bookmarkStart w:id="841" w:name="Tc_prTgT55jlkuLPv1gZc-XuA_1_2"/>
      <w:bookmarkStart w:id="842" w:name="_059ece51_85e3_48b9_82d5_cfcb81a7a0cd"/>
      <w:bookmarkStart w:id="843" w:name="Tc_AOTy7-10s0K-8Z-rmTgW-A_12_5"/>
      <w:bookmarkStart w:id="844" w:name="Tc_-bgPlR1-p0eQRv3Ch__FEA_12_2"/>
      <w:bookmarkStart w:id="845" w:name="Tc_lMrgPGyb_U2EYg3XsFXsfA_12_0"/>
      <w:bookmarkStart w:id="846" w:name="Tc_rFBIb-XJn0-ge4jSbY2oOw_11_5"/>
      <w:bookmarkStart w:id="847" w:name="Tc_pYu3iAa47EOkInj7xIWT_Q_11_2"/>
      <w:bookmarkStart w:id="848" w:name="Tc_vaLs9cOOr0-xGngr_i8L4g_11_0"/>
      <w:bookmarkStart w:id="849" w:name="Tc_P1VFf3k0UkKIEYKzUmvnSA_10_0"/>
      <w:bookmarkStart w:id="850" w:name="Tc_02CGo_mPQ02_M5uFeGQZ5A_9_3"/>
      <w:bookmarkStart w:id="851" w:name="Tc_KtVNfRxrxkmfadAIMAwvjA_9_0"/>
      <w:bookmarkStart w:id="852" w:name="Tc_UUoUurmX4ECQN2gjagaeCA_8_0"/>
      <w:bookmarkStart w:id="853" w:name="Tc_pWTcCWGMwkqYpdHrtGPHzA_7_0"/>
      <w:bookmarkStart w:id="854" w:name="Tc_a0mz7mFXhkKMnbc4ObPboQ_6_5"/>
      <w:bookmarkStart w:id="855" w:name="Tc_v0yyNtLc2kGC3_7uAX_Ylg_6_2"/>
      <w:bookmarkStart w:id="856" w:name="Tc_JEneaiEsU0i0pd8c3mMnyQ_6_0"/>
      <w:bookmarkStart w:id="857" w:name="Tc_P9eFIUmLYkqP0J1Zyj5J0A_5_0"/>
      <w:bookmarkStart w:id="858" w:name="Tc_mUYLtSn_n0aDDxBFJDQKAA_4_5"/>
      <w:bookmarkStart w:id="859" w:name="Tc_KVofir9iz0ysPaTPH0-Jkw_4_2"/>
      <w:bookmarkStart w:id="860" w:name="Tc_vYOCZc6jB0-AC7uHYm8jBA_4_0"/>
      <w:bookmarkStart w:id="861" w:name="Tc_fHEdF3ALdkuZTEfGlAieAQ_3_0"/>
      <w:bookmarkStart w:id="862" w:name="Tc_C3PX5ZMYGEq9AJa9Tfwv7w_2_6"/>
      <w:bookmarkStart w:id="863" w:name="Tc_FBvz-HtXGkKqq4iidjGEYw_2_2"/>
      <w:bookmarkStart w:id="864" w:name="Tc_prTgT55jlkuLPv1gZc-XuA_1_2"/>
      <w:bookmarkStart w:id="865" w:name="_059ece51_85e3_48b9_82d5_cfcb81a7a0cd"/>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tbl>
      <w:tblPr>
        <w:tblW w:w="2837" w:type="dxa"/>
        <w:jc w:val="left"/>
        <w:tblInd w:w="0" w:type="dxa"/>
        <w:tblCellMar>
          <w:top w:w="0" w:type="dxa"/>
          <w:left w:w="0" w:type="dxa"/>
          <w:bottom w:w="0" w:type="dxa"/>
          <w:right w:w="0" w:type="dxa"/>
        </w:tblCellMar>
      </w:tblPr>
      <w:tblGrid>
        <w:gridCol w:w="271"/>
        <w:gridCol w:w="256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4.</w:t>
            </w:r>
          </w:p>
        </w:tc>
        <w:tc>
          <w:tcPr>
            <w:tcW w:w="256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Net (Loss)/Income Per Share</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sets forth the computation of basic and diluted net (loss)/income per share for the three months ended March 31, 2023, and 2022 (in thousands, except number of shares):</w:t>
      </w:r>
    </w:p>
    <w:p>
      <w:pPr>
        <w:pStyle w:val="TextBody"/>
        <w:spacing w:before="0" w:after="240"/>
        <w:ind w:left="360" w:right="0" w:hanging="0"/>
        <w:rPr/>
      </w:pPr>
      <w:r>
        <w:rPr/>
        <w:t>​</w:t>
      </w:r>
    </w:p>
    <w:tbl>
      <w:tblPr>
        <w:tblW w:w="9177" w:type="dxa"/>
        <w:jc w:val="left"/>
        <w:tblInd w:w="0" w:type="dxa"/>
        <w:tblCellMar>
          <w:top w:w="0" w:type="dxa"/>
          <w:left w:w="0" w:type="dxa"/>
          <w:bottom w:w="0" w:type="dxa"/>
          <w:right w:w="0" w:type="dxa"/>
        </w:tblCellMar>
      </w:tblPr>
      <w:tblGrid>
        <w:gridCol w:w="5986"/>
        <w:gridCol w:w="326"/>
        <w:gridCol w:w="211"/>
        <w:gridCol w:w="1036"/>
        <w:gridCol w:w="326"/>
        <w:gridCol w:w="211"/>
        <w:gridCol w:w="1081"/>
      </w:tblGrid>
      <w:tr>
        <w:trPr/>
        <w:tc>
          <w:tcPr>
            <w:tcW w:w="5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801110" cy="175260"/>
                      <wp:effectExtent l="0" t="0" r="0" b="0"/>
                      <wp:wrapNone/>
                      <wp:docPr id="97" name="Frame97"/>
                      <a:graphic xmlns:a="http://schemas.openxmlformats.org/drawingml/2006/main">
                        <a:graphicData uri="http://schemas.microsoft.com/office/word/2010/wordprocessingShape">
                          <wps:wsp>
                            <wps:cNvSpPr txBox="1"/>
                            <wps:spPr>
                              <a:xfrm>
                                <a:off x="0" y="0"/>
                                <a:ext cx="3801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7860" cy="175260"/>
                      <wp:effectExtent l="0" t="0" r="0" b="0"/>
                      <wp:wrapNone/>
                      <wp:docPr id="100" name="Frame10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86435" cy="175260"/>
                      <wp:effectExtent l="0" t="0" r="0" b="0"/>
                      <wp:wrapNone/>
                      <wp:docPr id="103" name="Frame103"/>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  </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Net (loss)/income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attributable to noncontrolling interest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 attributable to Vaccitech shareholders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(18,180)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2,596</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ordinary shares outstanding, basic</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38,013,399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37,191,022</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dilutive stock options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1,155,646</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ordinary shares outstanding, diluted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38,013,399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38,346,668</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 per share attributable to ordinary shareholders, basic</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0.070</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 per share attributable to ordinary shareholders, diluted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0.068</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the three month period ended March 31, 2023 and 2022, 4,134,286 and 2,014,204 potential ordinary shares issuable for stock options, respectively, were excluded from the computation of diluted weighted-average shares outstanding because including them would have had an anti-dilutive effect.</w:t>
      </w:r>
    </w:p>
    <w:p>
      <w:pPr>
        <w:pStyle w:val="TextBody"/>
        <w:spacing w:before="0" w:after="240"/>
        <w:ind w:left="0" w:right="0" w:hanging="0"/>
        <w:rPr/>
      </w:pPr>
      <w:r>
        <w:rPr/>
        <w:t>​</w:t>
      </w:r>
    </w:p>
    <w:tbl>
      <w:tblPr>
        <w:tblW w:w="2822" w:type="dxa"/>
        <w:jc w:val="left"/>
        <w:tblInd w:w="0" w:type="dxa"/>
        <w:tblCellMar>
          <w:top w:w="0" w:type="dxa"/>
          <w:left w:w="0" w:type="dxa"/>
          <w:bottom w:w="0" w:type="dxa"/>
          <w:right w:w="0" w:type="dxa"/>
        </w:tblCellMar>
      </w:tblPr>
      <w:tblGrid>
        <w:gridCol w:w="271"/>
        <w:gridCol w:w="255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5.</w:t>
            </w:r>
          </w:p>
        </w:tc>
        <w:tc>
          <w:tcPr>
            <w:tcW w:w="255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three months ended March 31, 2023, the Company’s additions to property and equipment, net were $4.8 million, which primarily related to an increase in leasehold improvements from the Company’s U.S. office in Germantown, Maryland (three months ended March 31, 2022: $3.2 million, related to leasehold improvements of the Company’s corporate headquarters).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Depreciation expense for the three months ended March 31, 2023 was $0.4 million (March 31, 2022: $0.2 million).</w:t>
      </w:r>
    </w:p>
    <w:p>
      <w:pPr>
        <w:pStyle w:val="TextBody"/>
        <w:pBdr/>
        <w:spacing w:before="0" w:after="240"/>
        <w:ind w:left="0" w:right="0" w:hanging="36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Intangible assets, net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gross amount of amortizable intangible assets, consisting of developed technology, was $31.6 million and $31.6 million as of March 31, 2023 and December 31 2022, respectively, and accumulated amortization was $4.1 million and $3.3 million as of March 31, 2023 and December 31, 2022, respectively. The amortization expense for the three months ended March 31, 2023 was $0.8 million (three months ended March 31, 2022: $0.8 million). The estimated annual amortization expense is $3.1 million for the years 2023 through to 2031.</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866" w:name="Tc_Zjob6BczcUKCsaccjwUxBQ_7_5"/>
      <w:bookmarkStart w:id="867" w:name="Tc_ZXh3s_BjkUWWPoZHVLwZ_A_7_2"/>
      <w:bookmarkStart w:id="868" w:name="Tc_lkIACVUtF0ORd-XbFg_wZw_7_0"/>
      <w:bookmarkStart w:id="869" w:name="Tc_ZwQ9hxjDUU2pqqqIfnFh2A_6_0"/>
      <w:bookmarkStart w:id="870" w:name="Tc_AaLHtbDCaEuqwTRBeHaBhg_5_3"/>
      <w:bookmarkStart w:id="871" w:name="Tc_YG1DJ-qQzk6otBGs5YCGKg_5_0"/>
      <w:bookmarkStart w:id="872" w:name="Tc_6SlH_x2yyEG5Qxkx_yisJg_4_0"/>
      <w:bookmarkStart w:id="873" w:name="Tc_zH80l4ZZsEq64ePNka0tZw_3_5"/>
      <w:bookmarkStart w:id="874" w:name="Tc_o-RKf9jeMUSFLdFpMYntcQ_3_2"/>
      <w:bookmarkStart w:id="875" w:name="Tc_HulrOzuANkqkXS5r2e2HPA_3_0"/>
      <w:bookmarkStart w:id="876" w:name="Tc_-MlZsYv7-0yeAugrM4VlIg_2_5"/>
      <w:bookmarkStart w:id="877" w:name="Tc_wZI5-KWpVEGFmNchCvyXTg_2_2"/>
      <w:bookmarkStart w:id="878" w:name="Tc_Hp7RiSXGBUyPJnTaCs97aA_1_5"/>
      <w:bookmarkStart w:id="879" w:name="Tc_UqIcrUeu6ECZijgFhpWk7g_1_2"/>
      <w:bookmarkStart w:id="880" w:name="Tc_Zjob6BczcUKCsaccjwUxBQ_7_5"/>
      <w:bookmarkStart w:id="881" w:name="Tc_ZXh3s_BjkUWWPoZHVLwZ_A_7_2"/>
      <w:bookmarkStart w:id="882" w:name="Tc_lkIACVUtF0ORd-XbFg_wZw_7_0"/>
      <w:bookmarkStart w:id="883" w:name="Tc_ZwQ9hxjDUU2pqqqIfnFh2A_6_0"/>
      <w:bookmarkStart w:id="884" w:name="Tc_AaLHtbDCaEuqwTRBeHaBhg_5_3"/>
      <w:bookmarkStart w:id="885" w:name="Tc_YG1DJ-qQzk6otBGs5YCGKg_5_0"/>
      <w:bookmarkStart w:id="886" w:name="Tc_6SlH_x2yyEG5Qxkx_yisJg_4_0"/>
      <w:bookmarkStart w:id="887" w:name="Tc_zH80l4ZZsEq64ePNka0tZw_3_5"/>
      <w:bookmarkStart w:id="888" w:name="Tc_o-RKf9jeMUSFLdFpMYntcQ_3_2"/>
      <w:bookmarkStart w:id="889" w:name="Tc_HulrOzuANkqkXS5r2e2HPA_3_0"/>
      <w:bookmarkStart w:id="890" w:name="Tc_-MlZsYv7-0yeAugrM4VlIg_2_5"/>
      <w:bookmarkStart w:id="891" w:name="Tc_wZI5-KWpVEGFmNchCvyXTg_2_2"/>
      <w:bookmarkStart w:id="892" w:name="Tc_Hp7RiSXGBUyPJnTaCs97aA_1_5"/>
      <w:bookmarkStart w:id="893" w:name="Tc_UqIcrUeu6ECZijgFhpWk7g_1_2"/>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tbl>
      <w:tblPr>
        <w:tblW w:w="5207" w:type="dxa"/>
        <w:jc w:val="left"/>
        <w:tblInd w:w="0" w:type="dxa"/>
        <w:tblCellMar>
          <w:top w:w="0" w:type="dxa"/>
          <w:left w:w="0" w:type="dxa"/>
          <w:bottom w:w="0" w:type="dxa"/>
          <w:right w:w="0" w:type="dxa"/>
        </w:tblCellMar>
      </w:tblPr>
      <w:tblGrid>
        <w:gridCol w:w="271"/>
        <w:gridCol w:w="493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7.</w:t>
            </w:r>
          </w:p>
        </w:tc>
        <w:tc>
          <w:tcPr>
            <w:tcW w:w="493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Prepaid expenses and other current assets (in thousands):</w:t>
            </w:r>
          </w:p>
        </w:tc>
      </w:tr>
    </w:tbl>
    <w:p>
      <w:pPr>
        <w:pStyle w:val="TextBody"/>
        <w:spacing w:before="0" w:after="0"/>
        <w:ind w:left="0" w:right="0" w:hanging="0"/>
        <w:rPr/>
      </w:pPr>
      <w:r>
        <w:rPr/>
        <w:t>​</w:t>
      </w:r>
    </w:p>
    <w:tbl>
      <w:tblPr>
        <w:tblW w:w="6293" w:type="dxa"/>
        <w:jc w:val="left"/>
        <w:tblInd w:w="0" w:type="dxa"/>
        <w:tblCellMar>
          <w:top w:w="0" w:type="dxa"/>
          <w:left w:w="0" w:type="dxa"/>
          <w:bottom w:w="0" w:type="dxa"/>
          <w:right w:w="0" w:type="dxa"/>
        </w:tblCellMar>
      </w:tblPr>
      <w:tblGrid>
        <w:gridCol w:w="3556"/>
        <w:gridCol w:w="326"/>
        <w:gridCol w:w="242"/>
        <w:gridCol w:w="658"/>
        <w:gridCol w:w="326"/>
        <w:gridCol w:w="281"/>
        <w:gridCol w:w="904"/>
      </w:tblGrid>
      <w:tr>
        <w:trPr/>
        <w:tc>
          <w:tcPr>
            <w:tcW w:w="3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58060" cy="175260"/>
                      <wp:effectExtent l="0" t="0" r="0" b="0"/>
                      <wp:wrapNone/>
                      <wp:docPr id="104" name="Frame104"/>
                      <a:graphic xmlns:a="http://schemas.openxmlformats.org/drawingml/2006/main">
                        <a:graphicData uri="http://schemas.microsoft.com/office/word/2010/wordprocessingShape">
                          <wps:wsp>
                            <wps:cNvSpPr txBox="1"/>
                            <wps:spPr>
                              <a:xfrm>
                                <a:off x="0" y="0"/>
                                <a:ext cx="2258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3670" cy="175260"/>
                      <wp:effectExtent l="0" t="0" r="0" b="0"/>
                      <wp:wrapNone/>
                      <wp:docPr id="106" name="Frame106"/>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17830" cy="175260"/>
                      <wp:effectExtent l="0" t="0" r="0" b="0"/>
                      <wp:wrapNone/>
                      <wp:docPr id="107" name="Frame107"/>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8435" cy="175260"/>
                      <wp:effectExtent l="0" t="0" r="0" b="0"/>
                      <wp:wrapNone/>
                      <wp:docPr id="109" name="Frame109"/>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4040" cy="175260"/>
                      <wp:effectExtent l="0" t="0" r="0" b="0"/>
                      <wp:wrapNone/>
                      <wp:docPr id="110" name="Frame110"/>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Prepayments and accrued income</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5,294</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5,887</w:t>
            </w:r>
          </w:p>
        </w:tc>
      </w:tr>
      <w:tr>
        <w:trPr/>
        <w:tc>
          <w:tcPr>
            <w:tcW w:w="35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Employee retention and payroll tax credit </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 </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5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incentive receivable</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w:t>
            </w:r>
          </w:p>
        </w:tc>
        <w:tc>
          <w:tcPr>
            <w:tcW w:w="65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w:t>
            </w:r>
          </w:p>
        </w:tc>
        <w:tc>
          <w:tcPr>
            <w:tcW w:w="9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r>
      <w:tr>
        <w:trPr/>
        <w:tc>
          <w:tcPr>
            <w:tcW w:w="35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5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shd w:fill="auto" w:val="clear"/>
            <w:vAlign w:val="center"/>
          </w:tcPr>
          <w:p>
            <w:pPr>
              <w:pStyle w:val="TableContents"/>
              <w:spacing w:before="0" w:after="1"/>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35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5,896</w:t>
            </w:r>
          </w:p>
        </w:tc>
        <w:tc>
          <w:tcPr>
            <w:tcW w:w="326" w:type="dxa"/>
            <w:tcBorders/>
            <w:shd w:fill="CCEEFF" w:val="clear"/>
            <w:vAlign w:val="center"/>
          </w:tcPr>
          <w:p>
            <w:pPr>
              <w:pStyle w:val="TableContents"/>
              <w:spacing w:before="0" w:after="1"/>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8,268</w:t>
            </w:r>
          </w:p>
        </w:tc>
      </w:tr>
    </w:tbl>
    <w:p>
      <w:pPr>
        <w:pStyle w:val="TextBody"/>
        <w:spacing w:before="0" w:after="240"/>
        <w:ind w:left="36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894" w:name="Tc_4XWyiRzxu0ueVeqIPuxpRQ_10_5"/>
      <w:bookmarkStart w:id="895" w:name="Tc_uppil_V-tEO_r1IQVYpULQ_10_2"/>
      <w:bookmarkStart w:id="896" w:name="Tc_xdk1YxJWM0-F7CbuX8fNnQ_10_0"/>
      <w:bookmarkStart w:id="897" w:name="Tc_4CSFzxqZwEaJkgI9PVMPZQ_9_0"/>
      <w:bookmarkStart w:id="898" w:name="Tc_GErX1hSHtkim_Zsf3IhHNg_8_6"/>
      <w:bookmarkStart w:id="899" w:name="Tc_YK5IEGFD3ked25g8u8UBbQ_8_0"/>
      <w:bookmarkStart w:id="900" w:name="Tc_oRSkfSuH0Eigf1KgDnEsWA_7_0"/>
      <w:bookmarkStart w:id="901" w:name="Tc_FI6ErtDut0yeyBPbyuZJgA_6_0"/>
      <w:bookmarkStart w:id="902" w:name="Tc_4_iulkXVnE2_DVpwlcu45Q_5_0"/>
      <w:bookmarkStart w:id="903" w:name="Tc_4u9ZK-t8Xk-W1QahvAWbgw_4_0"/>
      <w:bookmarkStart w:id="904" w:name="Tc_pO5tAPaePkiw_ojvlZY5Gw_3_5"/>
      <w:bookmarkStart w:id="905" w:name="Tc_ErW0k3FXSUeu6gpLKzckYA_3_2"/>
      <w:bookmarkStart w:id="906" w:name="Tc_dyfUC2pL9E-xpjgQzqacww_3_0"/>
      <w:bookmarkStart w:id="907" w:name="Tc_hxK584STg0qGFJKMxUQH-A_2_5"/>
      <w:bookmarkStart w:id="908" w:name="Tc_UxIQZqOURECxM8-_X6PufA_2_2"/>
      <w:bookmarkStart w:id="909" w:name="Tc_2ohgk3IYiE-1vF6RBrT7xw_1_5"/>
      <w:bookmarkStart w:id="910" w:name="Tc_J4odp_ZPPk6xkE4AyGdL0A_1_2"/>
      <w:bookmarkStart w:id="911" w:name="_65ec38a1_9d7e_434e_9112_26f5126e61ea"/>
      <w:bookmarkStart w:id="912" w:name="Tc_4XWyiRzxu0ueVeqIPuxpRQ_10_5"/>
      <w:bookmarkStart w:id="913" w:name="Tc_uppil_V-tEO_r1IQVYpULQ_10_2"/>
      <w:bookmarkStart w:id="914" w:name="Tc_xdk1YxJWM0-F7CbuX8fNnQ_10_0"/>
      <w:bookmarkStart w:id="915" w:name="Tc_4CSFzxqZwEaJkgI9PVMPZQ_9_0"/>
      <w:bookmarkStart w:id="916" w:name="Tc_GErX1hSHtkim_Zsf3IhHNg_8_6"/>
      <w:bookmarkStart w:id="917" w:name="Tc_YK5IEGFD3ked25g8u8UBbQ_8_0"/>
      <w:bookmarkStart w:id="918" w:name="Tc_oRSkfSuH0Eigf1KgDnEsWA_7_0"/>
      <w:bookmarkStart w:id="919" w:name="Tc_FI6ErtDut0yeyBPbyuZJgA_6_0"/>
      <w:bookmarkStart w:id="920" w:name="Tc_4_iulkXVnE2_DVpwlcu45Q_5_0"/>
      <w:bookmarkStart w:id="921" w:name="Tc_4u9ZK-t8Xk-W1QahvAWbgw_4_0"/>
      <w:bookmarkStart w:id="922" w:name="Tc_pO5tAPaePkiw_ojvlZY5Gw_3_5"/>
      <w:bookmarkStart w:id="923" w:name="Tc_ErW0k3FXSUeu6gpLKzckYA_3_2"/>
      <w:bookmarkStart w:id="924" w:name="Tc_dyfUC2pL9E-xpjgQzqacww_3_0"/>
      <w:bookmarkStart w:id="925" w:name="Tc_hxK584STg0qGFJKMxUQH-A_2_5"/>
      <w:bookmarkStart w:id="926" w:name="Tc_UxIQZqOURECxM8-_X6PufA_2_2"/>
      <w:bookmarkStart w:id="927" w:name="Tc_2ohgk3IYiE-1vF6RBrT7xw_1_5"/>
      <w:bookmarkStart w:id="928" w:name="Tc_J4odp_ZPPk6xkE4AyGdL0A_1_2"/>
      <w:bookmarkStart w:id="929" w:name="_65ec38a1_9d7e_434e_9112_26f5126e61ea"/>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tbl>
      <w:tblPr>
        <w:tblW w:w="4277" w:type="dxa"/>
        <w:jc w:val="left"/>
        <w:tblInd w:w="0" w:type="dxa"/>
        <w:tblCellMar>
          <w:top w:w="0" w:type="dxa"/>
          <w:left w:w="0" w:type="dxa"/>
          <w:bottom w:w="0" w:type="dxa"/>
          <w:right w:w="0" w:type="dxa"/>
        </w:tblCellMar>
      </w:tblPr>
      <w:tblGrid>
        <w:gridCol w:w="271"/>
        <w:gridCol w:w="400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8.</w:t>
            </w:r>
          </w:p>
        </w:tc>
        <w:tc>
          <w:tcPr>
            <w:tcW w:w="40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Accrued expenses and other current liabilities</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current liabilities consist of the following (in thousands):</w:t>
      </w:r>
    </w:p>
    <w:p>
      <w:pPr>
        <w:pStyle w:val="TextBody"/>
        <w:spacing w:before="0" w:after="240"/>
        <w:ind w:left="0" w:right="0" w:hanging="0"/>
        <w:rPr/>
      </w:pPr>
      <w:r>
        <w:rPr/>
        <w:t>​</w:t>
      </w:r>
    </w:p>
    <w:tbl>
      <w:tblPr>
        <w:tblW w:w="6548" w:type="dxa"/>
        <w:jc w:val="left"/>
        <w:tblInd w:w="0" w:type="dxa"/>
        <w:tblCellMar>
          <w:top w:w="0" w:type="dxa"/>
          <w:left w:w="0" w:type="dxa"/>
          <w:bottom w:w="0" w:type="dxa"/>
          <w:right w:w="0" w:type="dxa"/>
        </w:tblCellMar>
      </w:tblPr>
      <w:tblGrid>
        <w:gridCol w:w="3811"/>
        <w:gridCol w:w="326"/>
        <w:gridCol w:w="242"/>
        <w:gridCol w:w="658"/>
        <w:gridCol w:w="326"/>
        <w:gridCol w:w="281"/>
        <w:gridCol w:w="904"/>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19985" cy="175260"/>
                      <wp:effectExtent l="0" t="0" r="0" b="0"/>
                      <wp:wrapNone/>
                      <wp:docPr id="111" name="Frame111"/>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3670" cy="175260"/>
                      <wp:effectExtent l="0" t="0" r="0" b="0"/>
                      <wp:wrapNone/>
                      <wp:docPr id="113" name="Frame113"/>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7830" cy="175260"/>
                      <wp:effectExtent l="0" t="0" r="0" b="0"/>
                      <wp:wrapNone/>
                      <wp:docPr id="114" name="Frame114"/>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8435" cy="175260"/>
                      <wp:effectExtent l="0" t="0" r="0" b="0"/>
                      <wp:wrapNone/>
                      <wp:docPr id="116" name="Frame116"/>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74040" cy="175260"/>
                      <wp:effectExtent l="0" t="0" r="0" b="0"/>
                      <wp:wrapNone/>
                      <wp:docPr id="117" name="Frame117"/>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manufacturing and clinical expenses</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2,097</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2,997</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board of director compensation</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 </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bonus</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 </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1,925</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payroll and employee benefits</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 </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 </w:t>
            </w:r>
          </w:p>
        </w:tc>
        <w:tc>
          <w:tcPr>
            <w:tcW w:w="9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928</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 </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1,108</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pPr>
            <w:r>
              <w:rPr/>
              <w:t> </w:t>
            </w:r>
          </w:p>
        </w:tc>
        <w:tc>
          <w:tcPr>
            <w:tcW w:w="9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leasehold improvements</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1,163</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w:t>
            </w:r>
          </w:p>
        </w:tc>
        <w:tc>
          <w:tcPr>
            <w:tcW w:w="904" w:type="dxa"/>
            <w:tcBorders/>
            <w:shd w:fill="auto" w:val="clear"/>
            <w:vAlign w:val="center"/>
          </w:tcPr>
          <w:p>
            <w:pPr>
              <w:pStyle w:val="TableContents"/>
              <w:spacing w:before="0" w:after="1"/>
              <w:ind w:left="0" w:right="0" w:hanging="0"/>
              <w:jc w:val="right"/>
              <w:rPr/>
            </w:pPr>
            <w:r>
              <w:rPr/>
              <w:t>—</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other</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5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shd w:fill="CCEEFF" w:val="clear"/>
            <w:vAlign w:val="center"/>
          </w:tcPr>
          <w:p>
            <w:pPr>
              <w:pStyle w:val="TableContents"/>
              <w:spacing w:before="0" w:after="1"/>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7,012</w:t>
            </w:r>
          </w:p>
        </w:tc>
        <w:tc>
          <w:tcPr>
            <w:tcW w:w="326" w:type="dxa"/>
            <w:tcBorders/>
            <w:shd w:fill="auto" w:val="clear"/>
            <w:vAlign w:val="center"/>
          </w:tcPr>
          <w:p>
            <w:pPr>
              <w:pStyle w:val="TableContents"/>
              <w:spacing w:before="0" w:after="1"/>
              <w:ind w:left="0" w:right="0" w:hanging="0"/>
              <w:rPr/>
            </w:pPr>
            <w:r>
              <w:rPr/>
              <w:t>​</w:t>
            </w:r>
          </w:p>
        </w:tc>
        <w:tc>
          <w:tcPr>
            <w:tcW w:w="2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8,061</w:t>
            </w:r>
          </w:p>
        </w:tc>
      </w:tr>
    </w:tbl>
    <w:p>
      <w:pPr>
        <w:pStyle w:val="TextBody"/>
        <w:spacing w:before="0" w:after="240"/>
        <w:ind w:left="0" w:right="0" w:hanging="0"/>
        <w:rPr/>
      </w:pPr>
      <w:r>
        <w:rPr/>
        <w:t>​</w:t>
      </w:r>
    </w:p>
    <w:p>
      <w:pPr>
        <w:pStyle w:val="TextBody"/>
        <w:spacing w:before="0" w:after="0"/>
        <w:ind w:left="0" w:right="0" w:hanging="0"/>
        <w:rPr/>
      </w:pPr>
      <w:r>
        <w:rPr/>
        <w:t>​</w:t>
      </w:r>
    </w:p>
    <w:tbl>
      <w:tblPr>
        <w:tblW w:w="1847" w:type="dxa"/>
        <w:jc w:val="left"/>
        <w:tblInd w:w="0" w:type="dxa"/>
        <w:tblCellMar>
          <w:top w:w="0" w:type="dxa"/>
          <w:left w:w="0" w:type="dxa"/>
          <w:bottom w:w="0" w:type="dxa"/>
          <w:right w:w="0" w:type="dxa"/>
        </w:tblCellMar>
      </w:tblPr>
      <w:tblGrid>
        <w:gridCol w:w="271"/>
        <w:gridCol w:w="157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9.</w:t>
            </w:r>
          </w:p>
        </w:tc>
        <w:tc>
          <w:tcPr>
            <w:tcW w:w="15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Ordinary Shares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All ordinary shares rank pari passu as a single class. The following is a summary of the rights and privileges of the holders of ordinary shares as of March 31, 2023:</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Dividends: the Company may, subject to the provisions of the Companies Act 2006 and our Articles, by ordinary resolution from time to time declare dividends to be paid to shareholders not exceeding the amount recommended by the Company’s board of directors. Subject to the provisions of the Companies Act 2006, in so far as, in the board of directors’ opinions, the Company’s profits justify such payments, the board of directors may pay interim dividends on the Company’s ordinary shares.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Voting Rights: each holder of ordinary shares has the right to receive notice of, and to vote at, the Company’s general meetings. Each holder of ordinary shares who is present (in person or by proxy) at a general meeting on a show of hands has one vote and, on a poll, every such holder who is present (in person or by proxy) has one vote in respect of each share of which they are the holder.</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Preemption rights: pursuant to section 561 of the Companies Act 2006, shareholders are granted preemptive rights when new shares are issued for cash. However, it is possible for our Articles, or shareholders at a general meeting representing at least 75% of our ordinary shares present (in person or by proxy) and eligible to vote at that general meeting, to disapply these preemptive rights by passing a special resolution. Such a disapplication of preemption rights may be for a maximum period of up to five years from the date on which the shareholder resolution was passed. In either case, this disapplication would need to be renewed by our shareholders upon its expiration (</w:t>
      </w:r>
      <w:r>
        <w:rPr>
          <w:rFonts w:ascii="Times New Roman;Times;serif" w:hAnsi="Times New Roman;Times;serif"/>
          <w:i/>
          <w:sz w:val="20"/>
        </w:rPr>
        <w:t>i.e.</w:t>
      </w:r>
      <w:r>
        <w:rPr>
          <w:rFonts w:ascii="Times New Roman;Times;serif" w:hAnsi="Times New Roman;Times;serif"/>
          <w:sz w:val="20"/>
        </w:rPr>
        <w:t>, at least every five years) to remain effective.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April 21, 2021, our shareholders approved the disapplication of preemptive rights for a period of five years from the date of approval by way of a special resolution of our shareholders. This included the disapplication of preemption rights in relation to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allotment of our ordinary shares in connection with the IPO. This disapplication will need to be renewed upon expiration (</w:t>
      </w:r>
      <w:r>
        <w:rPr>
          <w:rFonts w:ascii="Times New Roman;Times;serif" w:hAnsi="Times New Roman;Times;serif"/>
          <w:i/>
          <w:sz w:val="20"/>
        </w:rPr>
        <w:t>i.e.</w:t>
      </w:r>
      <w:r>
        <w:rPr>
          <w:rFonts w:ascii="Times New Roman;Times;serif" w:hAnsi="Times New Roman;Times;serif"/>
          <w:sz w:val="20"/>
        </w:rPr>
        <w:t>, at least every five years) to remain effective, but may be sought more frequently for additional five-year terms (or any shorter period).</w:t>
      </w:r>
    </w:p>
    <w:tbl>
      <w:tblPr>
        <w:tblW w:w="1892" w:type="dxa"/>
        <w:jc w:val="left"/>
        <w:tblInd w:w="0" w:type="dxa"/>
        <w:tblCellMar>
          <w:top w:w="0" w:type="dxa"/>
          <w:left w:w="0" w:type="dxa"/>
          <w:bottom w:w="0" w:type="dxa"/>
          <w:right w:w="0" w:type="dxa"/>
        </w:tblCellMar>
      </w:tblPr>
      <w:tblGrid>
        <w:gridCol w:w="376"/>
        <w:gridCol w:w="151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10.</w:t>
            </w:r>
          </w:p>
        </w:tc>
        <w:tc>
          <w:tcPr>
            <w:tcW w:w="151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Deferred Shares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All deferred shares rank pari passu as a single class. The deferred shares do not have rights to dividends or to any other right of participation in the profits of the Company. On a return of assets on liquidation, the deferred shares shall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in respect of each ordinary share held by them respectively. The deferred shares shall confer on the holders thereof no further right to participate in the assets of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March 29, 2023, the Company transferred back to the Company and subsequently cancelled all of its deferred B shares (nominal value of £0.01 each) and deferred C shares (nominal value of £0.00000736245954692556 each) which were previously in issue. These deferred shares had previously been issued to certain pre-IPO shareholders in connection with the implementation of certain stages of the Company’s pre-IPO share capital reorganization. The Company received shareholder approval on April 21, 2021 (pursuant to the shareholder resolutions passed on that date) in order to effect the transfer back and cancellation of the deferred shares for nil consideration in accordance with sections 659 and 662 of the Companies Act 2006.</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Company’s deferred A shares with a nominal value of £1.00 each remain in issue for the purposes of satisfying the minimum share capital requirements for a public limited company as prescribed by the Companies Act 2006.</w:t>
      </w:r>
    </w:p>
    <w:p>
      <w:pPr>
        <w:pStyle w:val="Normal"/>
        <w:spacing w:before="0" w:after="0"/>
        <w:rPr>
          <w:sz w:val="4"/>
          <w:szCs w:val="4"/>
        </w:rPr>
      </w:pPr>
      <w:r>
        <w:rPr>
          <w:sz w:val="4"/>
          <w:szCs w:val="4"/>
        </w:rPr>
      </w:r>
      <w:bookmarkStart w:id="930" w:name="Tc_tvyx2Tto3UWLSU91jEVQPA_8_5"/>
      <w:bookmarkStart w:id="931" w:name="Tc_dAsumFz6rU2AfwThJedDpQ_8_2"/>
      <w:bookmarkStart w:id="932" w:name="Tc_oG5FHpwVgEiJwEiq6unPIw_8_0"/>
      <w:bookmarkStart w:id="933" w:name="Tc_jDHIiRf8wku87MkaI3j06Q_7_0"/>
      <w:bookmarkStart w:id="934" w:name="Tc_qA9ZgPCo5E2FHbaJVXfCrg_6_6"/>
      <w:bookmarkStart w:id="935" w:name="Tc_VnsuFj1cx0Sk5MUDzF0F7g_6_0"/>
      <w:bookmarkStart w:id="936" w:name="Tc_n5q1F8L7kEaGi8-xy-51xw_5_0"/>
      <w:bookmarkStart w:id="937" w:name="Tc_GwnIr1mqDUCX6jROQOrrLw_4_5"/>
      <w:bookmarkStart w:id="938" w:name="Tc_iN_TOlisvkm0yiON3TqdLQ_4_2"/>
      <w:bookmarkStart w:id="939" w:name="Tc_fOUZMtQ7B0GY5HP0UH1jqg_4_0"/>
      <w:bookmarkStart w:id="940" w:name="Tc_GIkvgfTegUir6SEbQtYi3g_3_5"/>
      <w:bookmarkStart w:id="941" w:name="Tc_mcbOQADckUi2VNblPJqxwg_3_2"/>
      <w:bookmarkStart w:id="942" w:name="Tc_ZDC-tGrLmkSho_1wT62XLQ_2_2"/>
      <w:bookmarkStart w:id="943" w:name="Tc_KIoCzRT2dE2mQWd0YcUIqw_1_2"/>
      <w:bookmarkStart w:id="944" w:name="_9e1d87ef_a877_43d6_8be6_eb98ca4b32e8"/>
      <w:bookmarkStart w:id="945" w:name="Tc_tvyx2Tto3UWLSU91jEVQPA_8_5"/>
      <w:bookmarkStart w:id="946" w:name="Tc_dAsumFz6rU2AfwThJedDpQ_8_2"/>
      <w:bookmarkStart w:id="947" w:name="Tc_oG5FHpwVgEiJwEiq6unPIw_8_0"/>
      <w:bookmarkStart w:id="948" w:name="Tc_jDHIiRf8wku87MkaI3j06Q_7_0"/>
      <w:bookmarkStart w:id="949" w:name="Tc_qA9ZgPCo5E2FHbaJVXfCrg_6_6"/>
      <w:bookmarkStart w:id="950" w:name="Tc_VnsuFj1cx0Sk5MUDzF0F7g_6_0"/>
      <w:bookmarkStart w:id="951" w:name="Tc_n5q1F8L7kEaGi8-xy-51xw_5_0"/>
      <w:bookmarkStart w:id="952" w:name="Tc_GwnIr1mqDUCX6jROQOrrLw_4_5"/>
      <w:bookmarkStart w:id="953" w:name="Tc_iN_TOlisvkm0yiON3TqdLQ_4_2"/>
      <w:bookmarkStart w:id="954" w:name="Tc_fOUZMtQ7B0GY5HP0UH1jqg_4_0"/>
      <w:bookmarkStart w:id="955" w:name="Tc_GIkvgfTegUir6SEbQtYi3g_3_5"/>
      <w:bookmarkStart w:id="956" w:name="Tc_mcbOQADckUi2VNblPJqxwg_3_2"/>
      <w:bookmarkStart w:id="957" w:name="Tc_ZDC-tGrLmkSho_1wT62XLQ_2_2"/>
      <w:bookmarkStart w:id="958" w:name="Tc_KIoCzRT2dE2mQWd0YcUIqw_1_2"/>
      <w:bookmarkStart w:id="959" w:name="_9e1d87ef_a877_43d6_8be6_eb98ca4b32e8"/>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tbl>
      <w:tblPr>
        <w:tblW w:w="1412" w:type="dxa"/>
        <w:jc w:val="left"/>
        <w:tblInd w:w="0" w:type="dxa"/>
        <w:tblCellMar>
          <w:top w:w="0" w:type="dxa"/>
          <w:left w:w="0" w:type="dxa"/>
          <w:bottom w:w="0" w:type="dxa"/>
          <w:right w:w="0" w:type="dxa"/>
        </w:tblCellMar>
      </w:tblPr>
      <w:tblGrid>
        <w:gridCol w:w="376"/>
        <w:gridCol w:w="103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11.</w:t>
            </w:r>
          </w:p>
        </w:tc>
        <w:tc>
          <w:tcPr>
            <w:tcW w:w="103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Fair value</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Company’s financial instruments consist of cash and cash equivalents, accounts receivable, accounts payable, certain accrued expenses, and contingent consideration. The carrying amounts of cash and cash equivalents, accounts receivable, accounts payable and accrued expenses approximated their respective fair value due to the short-term nature and maturity of these instruments.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the Company had a contingent consideration liability of $1.7 million related to the acquisition of Avidea Technologies, Inc. The fair value of the contingent consideration is a Level 3 valuation with the significant unobservable inputs being the probability of success of achievement of the milestone and the expected date of the milestone achievement. Significant judgment is employed in determining the appropriateness of certain of these inputs.</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summarizes changes to our financial instruments carried at fair value and classified within Level 3 of the fair value hierarchy (in thousands):</w:t>
      </w:r>
    </w:p>
    <w:p>
      <w:pPr>
        <w:pStyle w:val="TextBody"/>
        <w:spacing w:before="0" w:after="240"/>
        <w:ind w:left="360" w:right="0" w:hanging="0"/>
        <w:rPr/>
      </w:pPr>
      <w:r>
        <w:rPr/>
        <w:t>​</w:t>
      </w:r>
    </w:p>
    <w:tbl>
      <w:tblPr>
        <w:tblW w:w="8067" w:type="dxa"/>
        <w:jc w:val="left"/>
        <w:tblInd w:w="0" w:type="dxa"/>
        <w:tblCellMar>
          <w:top w:w="0" w:type="dxa"/>
          <w:left w:w="0" w:type="dxa"/>
          <w:bottom w:w="0" w:type="dxa"/>
          <w:right w:w="0" w:type="dxa"/>
        </w:tblCellMar>
      </w:tblPr>
      <w:tblGrid>
        <w:gridCol w:w="5746"/>
        <w:gridCol w:w="326"/>
        <w:gridCol w:w="211"/>
        <w:gridCol w:w="571"/>
        <w:gridCol w:w="326"/>
        <w:gridCol w:w="211"/>
        <w:gridCol w:w="676"/>
      </w:tblGrid>
      <w:tr>
        <w:trPr/>
        <w:tc>
          <w:tcPr>
            <w:tcW w:w="5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48710" cy="175260"/>
                      <wp:effectExtent l="0" t="0" r="0" b="0"/>
                      <wp:wrapNone/>
                      <wp:docPr id="118" name="Frame118"/>
                      <a:graphic xmlns:a="http://schemas.openxmlformats.org/drawingml/2006/main">
                        <a:graphicData uri="http://schemas.microsoft.com/office/word/2010/wordprocessingShape">
                          <wps:wsp>
                            <wps:cNvSpPr txBox="1"/>
                            <wps:spPr>
                              <a:xfrm>
                                <a:off x="0" y="0"/>
                                <a:ext cx="3648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1" name="Frame12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7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9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7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Beginning balance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2,371</w:t>
            </w:r>
          </w:p>
        </w:tc>
      </w:tr>
      <w:tr>
        <w:trPr/>
        <w:tc>
          <w:tcPr>
            <w:tcW w:w="5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Change in fair value recognized in net (loss)/ income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5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exchange loss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r>
      <w:tr>
        <w:trPr/>
        <w:tc>
          <w:tcPr>
            <w:tcW w:w="57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exchange translation recognized in other comprehensive loss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7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2,444</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Goodwill</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identified qualitative indicators of impairment in 2022 due to a sustained decline in the price of the Company’s American Depositary Shares, whereby the market capitalization continues to be below the value of the net assets of the Company. Therefore, the Company performed an interim qualitative assessment as of March 31, 2023 to determine whether it was more likely than not that the fair value of the reporting unit is less than its carrying amount. Based on this assessment, management determined it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 not more likely than not that the fair value of the reporting unit is less than its carrying amount. No additional qualitative indicators of impairment were identified during the three month period ended March 31, 2023.</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960" w:name="Tc_LCfkpUYsc06BXPVwlBGLgA_5_5"/>
      <w:bookmarkStart w:id="961" w:name="Tc_8J0RK85qc02MorgOFHlXXw_5_2"/>
      <w:bookmarkStart w:id="962" w:name="Tc_BWF5QCrKIUOBw3zBZ4U8Pw_5_0"/>
      <w:bookmarkStart w:id="963" w:name="Tc_2RRw_QWoqEqTPuBtzWdbrQ_4_0"/>
      <w:bookmarkStart w:id="964" w:name="Tc_OiwWjd-YY06E1rGqsr4K-g_3_5"/>
      <w:bookmarkStart w:id="965" w:name="Tc_j2J9B9TG7kuav3E_TDqYDQ_3_2"/>
      <w:bookmarkStart w:id="966" w:name="Tc_jKPve-eCd0OVlea1NY8bSw_3_0"/>
      <w:bookmarkStart w:id="967" w:name="Tc_Y6fuYF2AgkeO9m7Uu3xFzw_2_5"/>
      <w:bookmarkStart w:id="968" w:name="Tc_7TbqsureJ0u3-yqtEpVDLA_2_2"/>
      <w:bookmarkStart w:id="969" w:name="Tc_OLBTSxPlkkWFSvghyWhAeQ_1_2"/>
      <w:bookmarkStart w:id="970" w:name="_c19a4c2e_25f3_4bac_b5b4_9a944788d467"/>
      <w:bookmarkStart w:id="971" w:name="Tc_T1xPBIPkT0-PPYwyym94mA_7_5"/>
      <w:bookmarkStart w:id="972" w:name="Tc_taY-n0x6EU69tRc4oQP0dw_7_4"/>
      <w:bookmarkStart w:id="973" w:name="Tc_c8EYm0_7ok2-tGqkt9nSSg_7_3"/>
      <w:bookmarkStart w:id="974" w:name="Tc_U1qipI6VHkiUmrBIg-ib-A_7_2"/>
      <w:bookmarkStart w:id="975" w:name="Tc_lTRsOL9wjk2TtuOUlo92yw_7_0"/>
      <w:bookmarkStart w:id="976" w:name="Tc_N86MZCneTkWUtG9_f3VSxA_6_5"/>
      <w:bookmarkStart w:id="977" w:name="Tc_vl4vS2TRu0idbI3II1dTBg_6_3"/>
      <w:bookmarkStart w:id="978" w:name="Tc_snTq9g_WRU65dPcUEJrcTA_6_0"/>
      <w:bookmarkStart w:id="979" w:name="Tc_rXij65cDkE21KeJjGyAE3g_5_0"/>
      <w:bookmarkStart w:id="980" w:name="Tc__rXM8QdYS0qxrF51TfVaTA_4_5"/>
      <w:bookmarkStart w:id="981" w:name="Tc_IfHAgqn1lU6H6rQYVut-Uw_4_3"/>
      <w:bookmarkStart w:id="982" w:name="Tc_ES3jpBK-8EedixvEqiSYtg_4_0"/>
      <w:bookmarkStart w:id="983" w:name="Tc_bubT7oTOt0mdB_5Bg_wZlA_3_4"/>
      <w:bookmarkStart w:id="984" w:name="Tc_klXLUTBpnUevXLLPJ4RaZw_3_2"/>
      <w:bookmarkStart w:id="985" w:name="Tc_0j15EARewUix6QA35_DbXg_2_2"/>
      <w:bookmarkStart w:id="986" w:name="Tc_Wl89xLBFjUu1o4_fXQpxNw_1_2"/>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b/>
          <w:i w:val="false"/>
          <w:caps w:val="false"/>
          <w:smallCaps w:val="false"/>
          <w:sz w:val="20"/>
        </w:rPr>
        <w:t>13.</w:t>
      </w:r>
      <w:r>
        <w:rPr>
          <w:rFonts w:ascii="Times New Roman;Times;serif" w:hAnsi="Times New Roman;Times;serif"/>
          <w:b/>
          <w:sz w:val="20"/>
        </w:rPr>
        <w:t>Share-Based Compensation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During the three month period ended March 31, 2023, in accordance with the terms of the Annual Increase of the Vaccitech plc Share Award Plan 2021 (the “Plan”), the total number of ordinary shares available for issuance under the Plan increased by 4% of the Company’s issued and outstanding ordinary shares as of January 1, 2023.</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the three months ended March 31, 2023, the Company granted 1,987,289 options to employees and directors with a weighted average grant date fair value of $2.01 and a weighted average exercise price of $2.53 per share. For the three months ended March 31, 2022, the Company granted 1,632,922 options to employees and directors with a weighted average grant date fair value of $3.75 and a weighted average exercise price of $11.24 per share. For the three months ended March 31, 2023, the Company canceled 57,970 options to employees and directors for forfeitures on unvested options when leaving the Company (March 31 2022: nil).</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fair value of each stock option issued to employees was estimated at the date of grant using the Black-Scholes model with the following weighted-average assumptions:</w:t>
      </w:r>
    </w:p>
    <w:p>
      <w:pPr>
        <w:pStyle w:val="TextBody"/>
        <w:spacing w:before="0" w:after="240"/>
        <w:ind w:left="0" w:right="0" w:hanging="0"/>
        <w:rPr/>
      </w:pPr>
      <w:r>
        <w:rPr/>
        <w:t>​</w:t>
      </w:r>
    </w:p>
    <w:tbl>
      <w:tblPr>
        <w:tblW w:w="4467" w:type="dxa"/>
        <w:jc w:val="left"/>
        <w:tblInd w:w="0" w:type="dxa"/>
        <w:tblCellMar>
          <w:top w:w="0" w:type="dxa"/>
          <w:left w:w="0" w:type="dxa"/>
          <w:bottom w:w="0" w:type="dxa"/>
          <w:right w:w="0" w:type="dxa"/>
        </w:tblCellMar>
      </w:tblPr>
      <w:tblGrid>
        <w:gridCol w:w="2131"/>
        <w:gridCol w:w="326"/>
        <w:gridCol w:w="578"/>
        <w:gridCol w:w="448"/>
        <w:gridCol w:w="578"/>
        <w:gridCol w:w="406"/>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53185" cy="175260"/>
                      <wp:effectExtent l="0" t="0" r="0" b="0"/>
                      <wp:wrapNone/>
                      <wp:docPr id="125" name="Frame125"/>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67030" cy="175260"/>
                      <wp:effectExtent l="0" t="0" r="0" b="0"/>
                      <wp:wrapNone/>
                      <wp:docPr id="127" name="Frame127"/>
                      <a:graphic xmlns:a="http://schemas.openxmlformats.org/drawingml/2006/main">
                        <a:graphicData uri="http://schemas.microsoft.com/office/word/2010/wordprocessingShape">
                          <wps:wsp>
                            <wps:cNvSpPr txBox="1"/>
                            <wps:spPr>
                              <a:xfrm>
                                <a:off x="0" y="0"/>
                                <a:ext cx="367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84480" cy="175260"/>
                      <wp:effectExtent l="0" t="0" r="0" b="0"/>
                      <wp:wrapNone/>
                      <wp:docPr id="128" name="Frame128"/>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7030" cy="175260"/>
                      <wp:effectExtent l="0" t="0" r="0" b="0"/>
                      <wp:wrapNone/>
                      <wp:docPr id="129" name="Frame129"/>
                      <a:graphic xmlns:a="http://schemas.openxmlformats.org/drawingml/2006/main">
                        <a:graphicData uri="http://schemas.microsoft.com/office/word/2010/wordprocessingShape">
                          <wps:wsp>
                            <wps:cNvSpPr txBox="1"/>
                            <wps:spPr>
                              <a:xfrm>
                                <a:off x="0" y="0"/>
                                <a:ext cx="367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57810" cy="175260"/>
                      <wp:effectExtent l="0" t="0" r="0" b="0"/>
                      <wp:wrapNone/>
                      <wp:docPr id="130" name="Frame13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604"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06" w:type="dxa"/>
            <w:tcBorders/>
            <w:shd w:fill="auto" w:val="clear"/>
            <w:vAlign w:val="center"/>
          </w:tcPr>
          <w:p>
            <w:pPr>
              <w:pStyle w:val="TableContents"/>
              <w:spacing w:before="0" w:after="1"/>
              <w:ind w:left="0" w:right="0" w:hanging="0"/>
              <w:rPr/>
            </w:pPr>
            <w:r>
              <w:rPr/>
              <w:t>    </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6" w:type="dxa"/>
            <w:tcBorders/>
            <w:shd w:fill="auto"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7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8" w:type="dxa"/>
            <w:tcBorders/>
            <w:shd w:fill="auto" w:val="clear"/>
            <w:vAlign w:val="center"/>
          </w:tcPr>
          <w:p>
            <w:pPr>
              <w:pStyle w:val="TableContents"/>
              <w:spacing w:before="0" w:after="1"/>
              <w:ind w:left="0" w:right="0" w:hanging="0"/>
              <w:rPr/>
            </w:pPr>
            <w:r>
              <w:rPr/>
              <w:t>    </w:t>
            </w:r>
          </w:p>
        </w:tc>
        <w:tc>
          <w:tcPr>
            <w:tcW w:w="57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1"/>
              <w:ind w:left="0" w:right="0" w:hanging="0"/>
              <w:jc w:val="center"/>
              <w:rPr/>
            </w:pPr>
            <w:r>
              <w:rPr/>
              <w:t>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4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448"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406" w:type="dxa"/>
            <w:tcBorders/>
            <w:shd w:fill="auto" w:val="clear"/>
            <w:vAlign w:val="center"/>
          </w:tcPr>
          <w:p>
            <w:pPr>
              <w:pStyle w:val="TableContents"/>
              <w:spacing w:before="0" w:after="1"/>
              <w:ind w:left="0" w:right="0" w:hanging="0"/>
              <w:rPr/>
            </w:pPr>
            <w:r>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1"/>
              <w:ind w:left="0" w:right="0" w:hanging="0"/>
              <w:rPr/>
            </w:pPr>
            <w:r>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1"/>
              <w:ind w:left="0" w:right="0" w:hanging="0"/>
              <w:rPr/>
            </w:pPr>
            <w:r>
              <w:rPr/>
              <w:t> </w:t>
            </w:r>
          </w:p>
        </w:tc>
        <w:tc>
          <w:tcPr>
            <w:tcW w:w="578" w:type="dxa"/>
            <w:tcBorders/>
            <w:shd w:fill="auto" w:val="clear"/>
            <w:vAlign w:val="center"/>
          </w:tcPr>
          <w:p>
            <w:pPr>
              <w:pStyle w:val="TableContents"/>
              <w:spacing w:before="0" w:after="1"/>
              <w:ind w:left="0" w:right="0" w:hanging="0"/>
              <w:jc w:val="right"/>
              <w:rPr/>
            </w:pPr>
            <w:r>
              <w:rPr/>
              <w:t>—</w:t>
            </w:r>
          </w:p>
        </w:tc>
        <w:tc>
          <w:tcPr>
            <w:tcW w:w="44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78" w:type="dxa"/>
            <w:tcBorders/>
            <w:shd w:fill="auto" w:val="clear"/>
            <w:vAlign w:val="center"/>
          </w:tcPr>
          <w:p>
            <w:pPr>
              <w:pStyle w:val="TableContents"/>
              <w:spacing w:before="0" w:after="1"/>
              <w:ind w:left="0" w:right="0" w:hanging="0"/>
              <w:jc w:val="right"/>
              <w:rPr/>
            </w:pPr>
            <w:r>
              <w:rPr/>
              <w:t>—</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 of March 31, 2023, 6,807,859 options with a weighted average exercise price of $9.69 were outstanding. As of March 31, 2023, there was $9.0 million unrecognized compensation cost related to stock options, which is expected to be recognized over a weighted average period of 2.1 years. As of March 31, 2022, 4,814,173 options with a weighted average exercise price of $9.52 were outstanding. As of March 31, 2022, there was $14.8 million unrecognized compensation expense related to stock options, which is expected to be recognized over a weighted average period of 2.36 years.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Share based compensation expense is classified in the unaudited condensed consolidated statements of operations and comprehensive loss as follows (in thousands):</w:t>
      </w:r>
    </w:p>
    <w:p>
      <w:pPr>
        <w:pStyle w:val="TextBody"/>
        <w:spacing w:before="0" w:after="240"/>
        <w:ind w:left="0" w:right="0" w:hanging="0"/>
        <w:rPr/>
      </w:pPr>
      <w:r>
        <w:rPr/>
        <w:t>​</w:t>
      </w:r>
    </w:p>
    <w:tbl>
      <w:tblPr>
        <w:tblW w:w="5080" w:type="dxa"/>
        <w:jc w:val="left"/>
        <w:tblInd w:w="0" w:type="dxa"/>
        <w:tblCellMar>
          <w:top w:w="0" w:type="dxa"/>
          <w:left w:w="0" w:type="dxa"/>
          <w:bottom w:w="0" w:type="dxa"/>
          <w:right w:w="0" w:type="dxa"/>
        </w:tblCellMar>
      </w:tblPr>
      <w:tblGrid>
        <w:gridCol w:w="2311"/>
        <w:gridCol w:w="326"/>
        <w:gridCol w:w="258"/>
        <w:gridCol w:w="700"/>
        <w:gridCol w:w="399"/>
        <w:gridCol w:w="258"/>
        <w:gridCol w:w="828"/>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467485" cy="175260"/>
                      <wp:effectExtent l="0" t="0" r="0" b="0"/>
                      <wp:wrapNone/>
                      <wp:docPr id="131" name="Frame131"/>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3830" cy="175260"/>
                      <wp:effectExtent l="0" t="0" r="0" b="0"/>
                      <wp:wrapNone/>
                      <wp:docPr id="133" name="Frame133"/>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44500" cy="175260"/>
                      <wp:effectExtent l="0" t="0" r="0" b="0"/>
                      <wp:wrapNone/>
                      <wp:docPr id="134" name="Frame134"/>
                      <a:graphic xmlns:a="http://schemas.openxmlformats.org/drawingml/2006/main">
                        <a:graphicData uri="http://schemas.microsoft.com/office/word/2010/wordprocessingShape">
                          <wps:wsp>
                            <wps:cNvSpPr txBox="1"/>
                            <wps:spPr>
                              <a:xfrm>
                                <a:off x="0" y="0"/>
                                <a:ext cx="444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53365" cy="175260"/>
                      <wp:effectExtent l="0" t="0" r="0" b="0"/>
                      <wp:wrapNone/>
                      <wp:docPr id="135" name="Frame135"/>
                      <a:graphic xmlns:a="http://schemas.openxmlformats.org/drawingml/2006/main">
                        <a:graphicData uri="http://schemas.microsoft.com/office/word/2010/wordprocessingShape">
                          <wps:wsp>
                            <wps:cNvSpPr txBox="1"/>
                            <wps:spPr>
                              <a:xfrm>
                                <a:off x="0" y="0"/>
                                <a:ext cx="253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3830" cy="175260"/>
                      <wp:effectExtent l="0" t="0" r="0" b="0"/>
                      <wp:wrapNone/>
                      <wp:docPr id="136" name="Frame136"/>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25780" cy="175260"/>
                      <wp:effectExtent l="0" t="0" r="0" b="0"/>
                      <wp:wrapNone/>
                      <wp:docPr id="137" name="Frame137"/>
                      <a:graphic xmlns:a="http://schemas.openxmlformats.org/drawingml/2006/main">
                        <a:graphicData uri="http://schemas.microsoft.com/office/word/2010/wordprocessingShape">
                          <wps:wsp>
                            <wps:cNvSpPr txBox="1"/>
                            <wps:spPr>
                              <a:xfrm>
                                <a:off x="0" y="0"/>
                                <a:ext cx="525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5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9" w:type="dxa"/>
            <w:tcBorders/>
            <w:shd w:fill="auto" w:val="clear"/>
            <w:vAlign w:val="center"/>
          </w:tcPr>
          <w:p>
            <w:pPr>
              <w:pStyle w:val="TableContents"/>
              <w:spacing w:before="0" w:after="1"/>
              <w:ind w:left="0" w:right="0" w:hanging="0"/>
              <w:rPr/>
            </w:pPr>
            <w:r>
              <w:rPr/>
              <w:t>    </w:t>
            </w:r>
          </w:p>
        </w:tc>
        <w:tc>
          <w:tcPr>
            <w:tcW w:w="10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1,119</w:t>
            </w:r>
          </w:p>
        </w:tc>
        <w:tc>
          <w:tcPr>
            <w:tcW w:w="399"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1"/>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0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c>
          <w:tcPr>
            <w:tcW w:w="399" w:type="dxa"/>
            <w:tcBorders/>
            <w:shd w:fill="auto" w:val="clear"/>
            <w:vAlign w:val="center"/>
          </w:tcPr>
          <w:p>
            <w:pPr>
              <w:pStyle w:val="TableContents"/>
              <w:spacing w:before="0" w:after="1"/>
              <w:ind w:left="0" w:right="0" w:hanging="0"/>
              <w:rPr/>
            </w:pPr>
            <w:r>
              <w:rPr/>
              <w:t>​</w:t>
            </w:r>
          </w:p>
        </w:tc>
        <w:tc>
          <w:tcPr>
            <w:tcW w:w="25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3,142</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5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2,222</w:t>
            </w:r>
          </w:p>
        </w:tc>
        <w:tc>
          <w:tcPr>
            <w:tcW w:w="399" w:type="dxa"/>
            <w:tcBorders/>
            <w:shd w:fill="CCEEFF" w:val="clear"/>
            <w:vAlign w:val="center"/>
          </w:tcPr>
          <w:p>
            <w:pPr>
              <w:pStyle w:val="TableContents"/>
              <w:spacing w:before="0" w:after="1"/>
              <w:ind w:left="0" w:right="0" w:hanging="0"/>
              <w:rPr/>
            </w:pPr>
            <w:r>
              <w:rPr/>
              <w:t>​</w:t>
            </w:r>
          </w:p>
        </w:tc>
        <w:tc>
          <w:tcPr>
            <w:tcW w:w="25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3,984</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tbl>
      <w:tblPr>
        <w:tblW w:w="3302" w:type="dxa"/>
        <w:jc w:val="left"/>
        <w:tblInd w:w="0" w:type="dxa"/>
        <w:tblCellMar>
          <w:top w:w="0" w:type="dxa"/>
          <w:left w:w="0" w:type="dxa"/>
          <w:bottom w:w="0" w:type="dxa"/>
          <w:right w:w="0" w:type="dxa"/>
        </w:tblCellMar>
      </w:tblPr>
      <w:tblGrid>
        <w:gridCol w:w="376"/>
        <w:gridCol w:w="292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14.</w:t>
            </w:r>
          </w:p>
        </w:tc>
        <w:tc>
          <w:tcPr>
            <w:tcW w:w="292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In-License Agreements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human papillomavirus infection, (“HPV”), hepatitis B virus (“HBV”) and middle east respiratory syndrome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sz w:val="20"/>
        </w:rPr>
      </w:pPr>
      <w:bookmarkStart w:id="987" w:name="Tc_4NV7OpDHzkCzHpTAzqO2cg_10_5"/>
      <w:bookmarkStart w:id="988" w:name="Tc_Q8qy7yR7XUWalEgTarUNeg_10_2"/>
      <w:bookmarkStart w:id="989" w:name="Tc_Omy5FH-pF0Kp3dNW8Lr9ZA_10_0"/>
      <w:bookmarkStart w:id="990" w:name="Tc_0K6g5QZ71Um9_YJTqRFjYA_9_5"/>
      <w:bookmarkStart w:id="991" w:name="Tc_WPntABU3oUWG5N7-JiVy0Q_9_2"/>
      <w:bookmarkStart w:id="992" w:name="Tc_SY_-5XZGs0CegUCgevyS3Q_9_0"/>
      <w:bookmarkStart w:id="993" w:name="Tc_o3DwhBDPOkOGQ4-Mf2YAnQ_8_0"/>
      <w:bookmarkStart w:id="994" w:name="Tc_M3DOz9nv6Uq1CJ9UEh-YJA_7_7"/>
      <w:bookmarkStart w:id="995" w:name="Tc_6vcI14ssR0-LupLRc_YDfg_7_4"/>
      <w:bookmarkStart w:id="996" w:name="Tc_HCTceSNMFEG82vjRaRP56g_7_0"/>
      <w:bookmarkStart w:id="997" w:name="Tc_QNEgs1w8fUeVZySxHvC-ig_6_0"/>
      <w:bookmarkStart w:id="998" w:name="Tc_NK9wqZ0ryU2U65JMwSNYKw_5_5"/>
      <w:bookmarkStart w:id="999" w:name="Tc_hrRaqh10BECtH6lHXsJAdg_5_2"/>
      <w:bookmarkStart w:id="1000" w:name="Tc_m_P5X2W9EkWYKT9lJyHjsQ_5_0"/>
      <w:bookmarkStart w:id="1001" w:name="Tc_YHeZDAwT90WIaRsZefH21w_4_5"/>
      <w:bookmarkStart w:id="1002" w:name="Tc_Ci-c7bXnTUOhXBE4Zhm1oQ_4_2"/>
      <w:bookmarkStart w:id="1003" w:name="Tc_M1dxxEoUzUmQg2FFVmKyvA_4_0"/>
      <w:bookmarkStart w:id="1004" w:name="Tc_Dd8bTUYAtkyNnUqKU95O6A_3_5"/>
      <w:bookmarkStart w:id="1005" w:name="Tc_IVsmZ4yfB0m5O3kXrMK0lg_3_2"/>
      <w:bookmarkStart w:id="1006" w:name="Tc_qQ8gVYsfhUycGtEiwsuu8g_3_0"/>
      <w:bookmarkStart w:id="1007" w:name="Tc_iyMWpbY8eEa6rN0J_zpxWw_2_5"/>
      <w:bookmarkStart w:id="1008" w:name="Tc_o-4I2EmjoUqvjHYP1Qc1iw_2_2"/>
      <w:bookmarkStart w:id="1009" w:name="Tc_BJvCX35xrkemwG93M2ogKQ_1_5"/>
      <w:bookmarkStart w:id="1010" w:name="Tc_M2rWg_EftE-Rr-en8ejfyA_1_2"/>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ascii="Times New Roman;Times;serif" w:hAnsi="Times New Roman;Times;serif"/>
          <w:sz w:val="20"/>
        </w:rPr>
        <w:t>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or accrued any material payments under these license agreements during the three months ended March 31, 2023, and March 31,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Leases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 leases certain laboratory and office space under operating leases, which are described below.</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The Harwell Science and Innovation Campus, Oxfordshire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September 3, 2021, the Company entered into a lease agreement for the lease of approximately 31,000 square feet in Harwell, Oxfordshire which expires in September 2031. The property is the Company’s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$0.7 million which is included in Other assets.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Germantown, Maryland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June 14, 2022, the Company entered into a lease agreement for the lease of approximately 19,700 square feet in Germantown, Maryland. The site will house the Company’s, state-of-the-art wet laboratory in the United States of America. The lease expires on February 28, 2034, with the Company having a single right to extend for an additional five years on the same terms and conditions other than for the base rent. The Company has a rent-free period up to February 29, 2024, and is entitled to up to $3.5 million for leasehold improvements to the premises desired by the Company. The Company has provided the lessor with a refundable security deposit of $0.2 million which is included in Other assets.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recorded a right-of-use asset and a lease liability on the effective date of the lease term. The Company’s right-of-use asset and lease liability are as follows (in thousands):</w:t>
      </w:r>
    </w:p>
    <w:p>
      <w:pPr>
        <w:pStyle w:val="TextBody"/>
        <w:spacing w:before="0" w:after="240"/>
        <w:ind w:left="331" w:right="0" w:hanging="0"/>
        <w:rPr/>
      </w:pPr>
      <w:r>
        <w:rPr/>
        <w:t>​</w:t>
      </w:r>
    </w:p>
    <w:tbl>
      <w:tblPr>
        <w:tblW w:w="6909" w:type="dxa"/>
        <w:jc w:val="left"/>
        <w:tblInd w:w="0" w:type="dxa"/>
        <w:tblCellMar>
          <w:top w:w="0" w:type="dxa"/>
          <w:left w:w="0" w:type="dxa"/>
          <w:bottom w:w="0" w:type="dxa"/>
          <w:right w:w="0" w:type="dxa"/>
        </w:tblCellMar>
      </w:tblPr>
      <w:tblGrid>
        <w:gridCol w:w="3901"/>
        <w:gridCol w:w="326"/>
        <w:gridCol w:w="214"/>
        <w:gridCol w:w="686"/>
        <w:gridCol w:w="326"/>
        <w:gridCol w:w="307"/>
        <w:gridCol w:w="833"/>
        <w:gridCol w:w="316"/>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77135" cy="175260"/>
                      <wp:effectExtent l="0" t="0" r="0" b="0"/>
                      <wp:wrapNone/>
                      <wp:docPr id="138" name="Frame138"/>
                      <a:graphic xmlns:a="http://schemas.openxmlformats.org/drawingml/2006/main">
                        <a:graphicData uri="http://schemas.microsoft.com/office/word/2010/wordprocessingShape">
                          <wps:wsp>
                            <wps:cNvSpPr txBox="1"/>
                            <wps:spPr>
                              <a:xfrm>
                                <a:off x="0" y="0"/>
                                <a:ext cx="2477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5890" cy="175260"/>
                      <wp:effectExtent l="0" t="0" r="0" b="0"/>
                      <wp:wrapNone/>
                      <wp:docPr id="140" name="Frame140"/>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5610" cy="175260"/>
                      <wp:effectExtent l="0" t="0" r="0" b="0"/>
                      <wp:wrapNone/>
                      <wp:docPr id="141" name="Frame141"/>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94945" cy="175260"/>
                      <wp:effectExtent l="0" t="0" r="0" b="0"/>
                      <wp:wrapNone/>
                      <wp:docPr id="143" name="Frame143"/>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28955" cy="175260"/>
                      <wp:effectExtent l="0" t="0" r="0" b="0"/>
                      <wp:wrapNone/>
                      <wp:docPr id="144" name="Frame144"/>
                      <a:graphic xmlns:a="http://schemas.openxmlformats.org/drawingml/2006/main">
                        <a:graphicData uri="http://schemas.microsoft.com/office/word/2010/wordprocessingShape">
                          <wps:wsp>
                            <wps:cNvSpPr txBox="1"/>
                            <wps:spPr>
                              <a:xfrm>
                                <a:off x="0" y="0"/>
                                <a:ext cx="5289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0660" cy="175260"/>
                      <wp:effectExtent l="0" t="0" r="0" b="0"/>
                      <wp:wrapNone/>
                      <wp:docPr id="145" name="Frame14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shd w:fill="auto" w:val="clear"/>
            <w:vAlign w:val="center"/>
          </w:tcPr>
          <w:p>
            <w:pPr>
              <w:pStyle w:val="TableContents"/>
              <w:spacing w:before="0" w:after="1"/>
              <w:ind w:left="0" w:right="0" w:hanging="0"/>
              <w:jc w:val="center"/>
              <w:rPr/>
            </w:pPr>
            <w:r>
              <w:rPr/>
              <w:t> </w:t>
            </w:r>
          </w:p>
        </w:tc>
      </w:tr>
      <w:tr>
        <w:trPr/>
        <w:tc>
          <w:tcPr>
            <w:tcW w:w="3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1"/>
              <w:ind w:left="0" w:right="0" w:hanging="0"/>
              <w:jc w:val="center"/>
              <w:rPr/>
            </w:pPr>
            <w:r>
              <w:rPr/>
              <w:t>​</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w:t>
            </w:r>
          </w:p>
        </w:tc>
        <w:tc>
          <w:tcPr>
            <w:tcW w:w="326" w:type="dxa"/>
            <w:tcBorders/>
            <w:shd w:fill="CCEEFF" w:val="clear"/>
            <w:vAlign w:val="center"/>
          </w:tcPr>
          <w:p>
            <w:pPr>
              <w:pStyle w:val="TableContents"/>
              <w:spacing w:before="0" w:after="1"/>
              <w:ind w:left="0" w:right="0" w:hanging="0"/>
              <w:jc w:val="center"/>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7,723</w:t>
            </w:r>
          </w:p>
        </w:tc>
        <w:tc>
          <w:tcPr>
            <w:tcW w:w="326" w:type="dxa"/>
            <w:tcBorders/>
            <w:shd w:fill="CCEEFF" w:val="clear"/>
            <w:vAlign w:val="center"/>
          </w:tcPr>
          <w:p>
            <w:pPr>
              <w:pStyle w:val="TableContents"/>
              <w:spacing w:before="0" w:after="1"/>
              <w:ind w:left="0" w:right="0" w:hanging="0"/>
              <w:jc w:val="center"/>
              <w:rPr/>
            </w:pPr>
            <w:r>
              <w:rPr/>
              <w:t>​</w:t>
            </w:r>
          </w:p>
        </w:tc>
        <w:tc>
          <w:tcPr>
            <w:tcW w:w="30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7,753</w:t>
            </w:r>
          </w:p>
        </w:tc>
        <w:tc>
          <w:tcPr>
            <w:tcW w:w="316" w:type="dxa"/>
            <w:tcBorders/>
            <w:shd w:fill="CCEEFF" w:val="clear"/>
            <w:vAlign w:val="center"/>
          </w:tcPr>
          <w:p>
            <w:pPr>
              <w:pStyle w:val="TableContents"/>
              <w:spacing w:before="0" w:after="1"/>
              <w:ind w:left="0" w:right="0" w:hanging="0"/>
              <w:jc w:val="center"/>
              <w:rPr/>
            </w:pPr>
            <w:r>
              <w:rPr/>
              <w:t> </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liability, current</w:t>
            </w:r>
          </w:p>
        </w:tc>
        <w:tc>
          <w:tcPr>
            <w:tcW w:w="326" w:type="dxa"/>
            <w:tcBorders/>
            <w:shd w:fill="auto" w:val="clear"/>
            <w:vAlign w:val="center"/>
          </w:tcPr>
          <w:p>
            <w:pPr>
              <w:pStyle w:val="TableContents"/>
              <w:spacing w:before="0" w:after="1"/>
              <w:ind w:left="0" w:right="0" w:hanging="0"/>
              <w:rPr/>
            </w:pPr>
            <w:r>
              <w:rPr/>
              <w:t> </w:t>
            </w:r>
          </w:p>
        </w:tc>
        <w:tc>
          <w:tcPr>
            <w:tcW w:w="2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auto" w:val="clear"/>
            <w:vAlign w:val="center"/>
          </w:tcPr>
          <w:p>
            <w:pPr>
              <w:pStyle w:val="TableContents"/>
              <w:spacing w:before="0" w:after="1"/>
              <w:ind w:left="0" w:right="0" w:hanging="0"/>
              <w:rPr/>
            </w:pPr>
            <w:r>
              <w:rPr/>
              <w:t> </w:t>
            </w:r>
          </w:p>
        </w:tc>
        <w:tc>
          <w:tcPr>
            <w:tcW w:w="3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16" w:type="dxa"/>
            <w:tcBorders/>
            <w:shd w:fill="auto" w:val="clear"/>
            <w:vAlign w:val="center"/>
          </w:tcPr>
          <w:p>
            <w:pPr>
              <w:pStyle w:val="TableContents"/>
              <w:spacing w:before="0" w:after="1"/>
              <w:ind w:left="0" w:right="0" w:hanging="0"/>
              <w:rPr/>
            </w:pPr>
            <w:r>
              <w:rPr/>
              <w:t>​</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liability, non-current</w:t>
            </w:r>
          </w:p>
        </w:tc>
        <w:tc>
          <w:tcPr>
            <w:tcW w:w="326" w:type="dxa"/>
            <w:tcBorders/>
            <w:shd w:fill="CCEEFF" w:val="clear"/>
            <w:vAlign w:val="center"/>
          </w:tcPr>
          <w:p>
            <w:pPr>
              <w:pStyle w:val="TableContents"/>
              <w:spacing w:before="0" w:after="1"/>
              <w:ind w:left="0" w:right="0" w:hanging="0"/>
              <w:rPr/>
            </w:pPr>
            <w:r>
              <w:rPr/>
              <w:t> </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10,005</w:t>
            </w:r>
          </w:p>
        </w:tc>
        <w:tc>
          <w:tcPr>
            <w:tcW w:w="326" w:type="dxa"/>
            <w:tcBorders/>
            <w:shd w:fill="CCEEFF" w:val="clear"/>
            <w:vAlign w:val="center"/>
          </w:tcPr>
          <w:p>
            <w:pPr>
              <w:pStyle w:val="TableContents"/>
              <w:spacing w:before="0" w:after="1"/>
              <w:ind w:left="0" w:right="0" w:hanging="0"/>
              <w:rPr/>
            </w:pPr>
            <w:r>
              <w:rPr/>
              <w:t> </w:t>
            </w:r>
          </w:p>
        </w:tc>
        <w:tc>
          <w:tcPr>
            <w:tcW w:w="30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8,340</w:t>
            </w:r>
          </w:p>
        </w:tc>
        <w:tc>
          <w:tcPr>
            <w:tcW w:w="316" w:type="dxa"/>
            <w:tcBorders/>
            <w:shd w:fill="CCEEFF" w:val="clear"/>
            <w:vAlign w:val="center"/>
          </w:tcPr>
          <w:p>
            <w:pPr>
              <w:pStyle w:val="TableContents"/>
              <w:spacing w:before="0" w:after="1"/>
              <w:ind w:left="0" w:right="0" w:hanging="0"/>
              <w:rPr/>
            </w:pPr>
            <w:r>
              <w:rPr/>
              <w:t>​</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remaining lease term (years)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8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16" w:type="dxa"/>
            <w:tcBorders/>
            <w:shd w:fill="auto" w:val="clear"/>
            <w:vAlign w:val="center"/>
          </w:tcPr>
          <w:p>
            <w:pPr>
              <w:pStyle w:val="TableContents"/>
              <w:spacing w:before="0" w:after="1"/>
              <w:ind w:left="0" w:right="0" w:hanging="0"/>
              <w:rPr/>
            </w:pPr>
            <w:r>
              <w:rPr/>
              <w:t>​</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spacing w:before="0" w:after="1"/>
              <w:ind w:left="0" w:right="0" w:hanging="0"/>
              <w:rPr/>
            </w:pPr>
            <w:r>
              <w:rPr/>
              <w:t>​</w:t>
            </w:r>
          </w:p>
        </w:tc>
        <w:tc>
          <w:tcPr>
            <w:tcW w:w="8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information</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pPr>
            <w:r>
              <w:rPr/>
              <w:t>​</w:t>
            </w:r>
          </w:p>
        </w:tc>
        <w:tc>
          <w:tcPr>
            <w:tcW w:w="833"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rPr/>
            </w:pPr>
            <w:r>
              <w:rPr/>
              <w:t>​</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lease costs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spacing w:before="0" w:after="1"/>
              <w:ind w:left="0" w:right="0" w:hanging="0"/>
              <w:rPr/>
            </w:pPr>
            <w:r>
              <w:rPr/>
              <w:t>​</w:t>
            </w:r>
          </w:p>
        </w:tc>
        <w:tc>
          <w:tcPr>
            <w:tcW w:w="30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16" w:type="dxa"/>
            <w:tcBorders/>
            <w:shd w:fill="CCEEFF" w:val="clear"/>
            <w:vAlign w:val="center"/>
          </w:tcPr>
          <w:p>
            <w:pPr>
              <w:pStyle w:val="TableContents"/>
              <w:spacing w:before="0" w:after="1"/>
              <w:ind w:left="0" w:right="0" w:hanging="0"/>
              <w:rPr/>
            </w:pPr>
            <w:r>
              <w:rPr/>
              <w:t>​</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cash flows operating leases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auto" w:val="clear"/>
            <w:vAlign w:val="center"/>
          </w:tcPr>
          <w:p>
            <w:pPr>
              <w:pStyle w:val="TableContents"/>
              <w:spacing w:before="0" w:after="1"/>
              <w:ind w:left="0" w:right="0" w:hanging="0"/>
              <w:rPr/>
            </w:pPr>
            <w:r>
              <w:rPr/>
              <w:t>​</w:t>
            </w:r>
          </w:p>
        </w:tc>
        <w:tc>
          <w:tcPr>
            <w:tcW w:w="3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1,081</w:t>
            </w:r>
          </w:p>
        </w:tc>
        <w:tc>
          <w:tcPr>
            <w:tcW w:w="316"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3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VACCITECH PLC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bookmarkStart w:id="1011" w:name="Tc_-W532U7arkuvGl8EgEXMCA_9_2"/>
      <w:bookmarkStart w:id="1012" w:name="Tc_l6JmNA_i7ECRQELEyLUA5g_9_0"/>
      <w:bookmarkStart w:id="1013" w:name="Tc_6aBhj_4ip0OOIly4gEGDbg_8_0"/>
      <w:bookmarkStart w:id="1014" w:name="Tc_3-alWYPGy0mXTaI_r1tjpg_7_2"/>
      <w:bookmarkStart w:id="1015" w:name="Tc_Hte3NMy5z0iCgHa6Zgk-Ow_7_0"/>
      <w:bookmarkStart w:id="1016" w:name="Tc_843mWECeaES9mvKHx9Kc_w_6_0"/>
      <w:bookmarkStart w:id="1017" w:name="Tc_zoJsf1NXrk2gkrIgZdMmvg_5_0"/>
      <w:bookmarkStart w:id="1018" w:name="Tc_xFIdjxupGUuGT-6n0DOEeA_4_0"/>
      <w:bookmarkStart w:id="1019" w:name="Tc_oACi6hGwP0aIcKxMAecr6A_3_0"/>
      <w:bookmarkStart w:id="1020" w:name="Tc_7g_SIABiQUW_st3FKp8Siw_2_0"/>
      <w:bookmarkStart w:id="1021" w:name="Tc_j_nJ8OQrE0uupMkR9RatbQ_1_2"/>
      <w:bookmarkStart w:id="1022" w:name="Tc_Az1mhcp5IEeuw_iR8_3G-g_1_0"/>
      <w:bookmarkStart w:id="1023" w:name="_d98bce02_ccd7_4f23_a730_0cccc748b72d"/>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rFonts w:ascii="Times New Roman;Times;serif" w:hAnsi="Times New Roman;Times;serif"/>
          <w:sz w:val="20"/>
        </w:rPr>
        <w:t>Future annual minimum lease payments under operating leases as of March 31, 2023, were as follows (in thousands):</w:t>
      </w:r>
    </w:p>
    <w:p>
      <w:pPr>
        <w:pStyle w:val="TextBody"/>
        <w:spacing w:before="0" w:after="240"/>
        <w:ind w:left="0" w:right="0" w:hanging="0"/>
        <w:rPr/>
      </w:pPr>
      <w:r>
        <w:rPr/>
        <w:t>​</w:t>
      </w:r>
    </w:p>
    <w:tbl>
      <w:tblPr>
        <w:tblW w:w="3974" w:type="dxa"/>
        <w:jc w:val="left"/>
        <w:tblInd w:w="0" w:type="dxa"/>
        <w:tblCellMar>
          <w:top w:w="0" w:type="dxa"/>
          <w:left w:w="0" w:type="dxa"/>
          <w:bottom w:w="0" w:type="dxa"/>
          <w:right w:w="0" w:type="dxa"/>
        </w:tblCellMar>
      </w:tblPr>
      <w:tblGrid>
        <w:gridCol w:w="2656"/>
        <w:gridCol w:w="326"/>
        <w:gridCol w:w="211"/>
        <w:gridCol w:w="781"/>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86560" cy="175260"/>
                      <wp:effectExtent l="0" t="0" r="0" b="0"/>
                      <wp:wrapNone/>
                      <wp:docPr id="146" name="Frame146"/>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95935" cy="175260"/>
                      <wp:effectExtent l="0" t="0" r="0" b="0"/>
                      <wp:wrapNone/>
                      <wp:docPr id="149" name="Frame14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(1,457)</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1,904</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9,890</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minimum lease payments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15,969</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(5,315)</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lease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10,654</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contingencies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 of the date of this Quarterly Report on Form 10-Q, we do not believe we are party to any claim or litigation the outcome of which, if determined adversely to us, would individually or in the aggreagate be reasonably expected to have a material adverse effect on our business.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Related Party Transactions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three months ended March 31, 2023, the Company incurred $Nil expenses from its shareholder, Oxford Science Enterprises plc. During the three months ended March 31, 2022, the Company recognized net income of $55 thousand after offsetting lease costs for laboratory and office space in Oxford of $74 thousand, against a refund of $129 thousand from its shareholder, Oxford Science Enterprises plc.</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three months ended March 31, 2023, the Company incurred expenses of $</w:t>
      </w:r>
      <w:r>
        <w:rPr>
          <w:rFonts w:ascii="Times New Roman;Times;serif" w:hAnsi="Times New Roman;Times;serif"/>
          <w:b w:val="false"/>
          <w:i w:val="false"/>
          <w:caps w:val="false"/>
          <w:smallCaps w:val="false"/>
          <w:sz w:val="20"/>
        </w:rPr>
        <w:t>Nil</w:t>
      </w:r>
      <w:r>
        <w:rPr>
          <w:rFonts w:ascii="Times New Roman;Times;serif" w:hAnsi="Times New Roman;Times;serif"/>
          <w:sz w:val="20"/>
        </w:rPr>
        <w:t xml:space="preserve"> (three months ended March 31, 2022: $1 thousand) to its shareholder, the University of Oxford, related to clinical study costs. As of March 31, 2023, the Company owed $Nil (December 31, 2022: $Nil) to the University of Oxford.</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During the three months ended March 31, 2023, the Company incurred expenses of $98 thousand (three months ended March 31, 2022: $193 thousand) and recognized license revenue of $0.5 million (three months ended March 31, 2022: $15.0 million) from Oxford University Innovation Limited which is a wholly owned subsidiary of the Company’s shareholder, the University of Oxford. As of March 31, 2023, the Company was owed $0.8 million (December 31, 2022: $5.5 million) from Oxford University Innovation Limited.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024" w:name="Item2ManagementsDiscussionandAnalysisofF"/>
      <w:bookmarkStart w:id="1025" w:name="_e19a231d_f5e7_4d7e_a261_9b120e0f509d"/>
      <w:bookmarkEnd w:id="1024"/>
      <w:bookmarkEnd w:id="1025"/>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condensed consolidated financial statements and the related notes appearing elsewhere in this unaudited Quarterly Report on Form 10-Q and our audited financial statements and related notes thereto for the year ended December 31, 2022 included in our Annual Report on Form 10-K for the year ended December 31, 2022, which was filed with the SEC on March 24, 2023.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and in other filings with the SEC.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a clinical-stage biopharmaceutical company engaged in the discovery and development of novel immunotherapeutics and vaccines for the treatment and prevention of infectious diseases, cancer, and autoimmunity. We aim to treat and prevent infectious diseases and cancer by using our proprietary platforms to develop product candidates that stimulate powerful, targeted immune responses against pathogens, infected cells, and tumor cells. We design these product candidates to stimulate immune responses that are robust, highly specific, and are differentiated by the magnitude of the T cell populations induced, which exhibit critical functionality and durability. In the field of autoimmunity, we use our proprietary platform to develop product candidates that are designed to induce regulatory T cells to suppress specific immune responses and prevent/reverse autoimmunity. We are focused on applying our platform capabilities and the expertise of our team to address significant unmet medical needs in two settings - the therapeutic setting, for the treatment of chronic infectious diseases, cancer, and autoimmunity and the prophylactic setting, for the prevention of infectious diseases, based on our platform’s ability to respond rapidly to epidemic and pandemic threats.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a broad pipeline of both clinical and preclinical stage therapeutic and prophylactic programs. Our current therapeutic programs include VTP-300 for the treatment of chronic hepatitis B infection, or CHB, VTP-200 for the treatment of HPV, VTP-850 for the treatment of prostate cancer, VTP-600 for the treatment of non-small cell lung cancer, or NSCLC, VTP-1000 for treatment of celiac disease, and VTP-1100 for treatment of HPV-associated cancers. The latter two programs are designed to utilize our SNAPvax platform. Our current prophylactic programs include VTP-400 for the prevention of herpes zoster, or shingles, and VTP-500 for the prevention of MERS. In addition, we co-invented a COVID-19 vaccine with the University of Oxford, the rights to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May 4, 2021, we completed our initial public offering, or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and a $2.4 million upfront payment from OUI in July 2020 in connection with the Amendment, Assignment and Revenue Share Agreement, or the OUI License Agreement Amendment, related to the licensing of the COVID-19 vaccine, Vaxzevria. We do not expect to generate revenue from any of our own product candidates, excluding Vaxzevria, until we obtain regulatory authorization for one or more of such product candidates, if at all, and commercialize our products, or we enter into out-licensing agreements with third parties.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March 28, 2022, pursuant to the OUI License Agreement Amendment, we were notified of the commencement of payments, arising from AstraZeneca’s commercial sales of Vaxzevria. Under the terms of an exclusive worldwide license agreement between OUI and AstraZeneca, OUI is entitled to milestone payments and royalties on commercial sales of Vaxzevria that began after the pandemic period. As part of the assignment from us to OUI, we are entitled to receive approximately 24% of payments received by OUI from AstraZeneca. For the three months ended March 31, 2023, we recognized $0.5 million as revenue (three months ended March 31, 2022: $15.0 million). There is, however, no guarantee that such payments will continue in the future and, if they do, that we will be notified of such payments in a timely manner.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March 31, 2023, we have sold 945,835 ordinary shares represented by ADSs under the sales agreement, amounting to net proceeds of $2.5 million.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We have incurred net losses each year since inception through to December 31, 2021. For the year ended December 31, 2022, we generated net income of $5.3 million, primarily as a result of revenues arising from AstraZeneca sales of Vaxzevria and our agreement with OUI. For the three months ended March 31, 2023, we incurred a net loss of $18.2 million. As of March 31, 2023, we had an accumulated deficit of $121.4 million and we do not currently expect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tbl>
      <w:tblPr>
        <w:tblW w:w="5477" w:type="dxa"/>
        <w:jc w:val="left"/>
        <w:tblInd w:w="0" w:type="dxa"/>
        <w:tblCellMar>
          <w:top w:w="0" w:type="dxa"/>
          <w:left w:w="0" w:type="dxa"/>
          <w:bottom w:w="0" w:type="dxa"/>
          <w:right w:w="0" w:type="dxa"/>
        </w:tblCellMar>
      </w:tblPr>
      <w:tblGrid>
        <w:gridCol w:w="271"/>
        <w:gridCol w:w="5206"/>
      </w:tblGrid>
      <w:tr>
        <w:trPr/>
        <w:tc>
          <w:tcPr>
            <w:tcW w:w="271" w:type="dxa"/>
            <w:tcBorders/>
            <w:shd w:fill="auto" w:val="clear"/>
            <w:vAlign w:val="center"/>
          </w:tcPr>
          <w:p>
            <w:pPr>
              <w:pStyle w:val="TableContents"/>
              <w:spacing w:before="0" w:after="283"/>
              <w:rPr/>
            </w:pPr>
            <w:r>
              <w:rPr/>
              <w:t>●</w:t>
            </w:r>
          </w:p>
        </w:tc>
        <w:tc>
          <w:tcPr>
            <w:tcW w:w="52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preclinical studies and clinical trials;</w:t>
            </w:r>
          </w:p>
        </w:tc>
      </w:tr>
    </w:tbl>
    <w:tbl>
      <w:tblPr>
        <w:tblW w:w="9392" w:type="dxa"/>
        <w:jc w:val="left"/>
        <w:tblInd w:w="0" w:type="dxa"/>
        <w:tblCellMar>
          <w:top w:w="0" w:type="dxa"/>
          <w:left w:w="0" w:type="dxa"/>
          <w:bottom w:w="0" w:type="dxa"/>
          <w:right w:w="0" w:type="dxa"/>
        </w:tblCellMar>
      </w:tblPr>
      <w:tblGrid>
        <w:gridCol w:w="271"/>
        <w:gridCol w:w="9121"/>
      </w:tblGrid>
      <w:tr>
        <w:trPr/>
        <w:tc>
          <w:tcPr>
            <w:tcW w:w="271" w:type="dxa"/>
            <w:tcBorders/>
            <w:shd w:fill="auto" w:val="clear"/>
            <w:vAlign w:val="center"/>
          </w:tcPr>
          <w:p>
            <w:pPr>
              <w:pStyle w:val="TableContents"/>
              <w:spacing w:before="0" w:after="283"/>
              <w:rPr/>
            </w:pPr>
            <w:r>
              <w:rPr/>
              <w:t>●</w:t>
            </w:r>
          </w:p>
        </w:tc>
        <w:tc>
          <w:tcPr>
            <w:tcW w:w="91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our financial and other resources to complete the necessary preclinical studies and clinical trials;</w:t>
            </w:r>
          </w:p>
        </w:tc>
      </w:tr>
    </w:tbl>
    <w:tbl>
      <w:tblPr>
        <w:tblW w:w="9707" w:type="dxa"/>
        <w:jc w:val="left"/>
        <w:tblInd w:w="0" w:type="dxa"/>
        <w:tblCellMar>
          <w:top w:w="0" w:type="dxa"/>
          <w:left w:w="0" w:type="dxa"/>
          <w:bottom w:w="0" w:type="dxa"/>
          <w:right w:w="0" w:type="dxa"/>
        </w:tblCellMar>
      </w:tblPr>
      <w:tblGrid>
        <w:gridCol w:w="271"/>
        <w:gridCol w:w="9436"/>
      </w:tblGrid>
      <w:tr>
        <w:trPr/>
        <w:tc>
          <w:tcPr>
            <w:tcW w:w="271" w:type="dxa"/>
            <w:tcBorders/>
            <w:shd w:fill="auto" w:val="clear"/>
            <w:vAlign w:val="center"/>
          </w:tcPr>
          <w:p>
            <w:pPr>
              <w:pStyle w:val="TableContents"/>
              <w:spacing w:before="0" w:after="283"/>
              <w:rPr/>
            </w:pPr>
            <w:r>
              <w:rPr/>
              <w:t>●</w:t>
            </w:r>
          </w:p>
        </w:tc>
        <w:tc>
          <w:tcPr>
            <w:tcW w:w="94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investigational new drug applications, or INDs, for our planned clinical trials or future clinical trials;</w:t>
            </w:r>
          </w:p>
        </w:tc>
      </w:tr>
    </w:tbl>
    <w:tbl>
      <w:tblPr>
        <w:tblW w:w="5792" w:type="dxa"/>
        <w:jc w:val="left"/>
        <w:tblInd w:w="0" w:type="dxa"/>
        <w:tblCellMar>
          <w:top w:w="0" w:type="dxa"/>
          <w:left w:w="0" w:type="dxa"/>
          <w:bottom w:w="0" w:type="dxa"/>
          <w:right w:w="0" w:type="dxa"/>
        </w:tblCellMar>
      </w:tblPr>
      <w:tblGrid>
        <w:gridCol w:w="271"/>
        <w:gridCol w:w="5521"/>
      </w:tblGrid>
      <w:tr>
        <w:trPr/>
        <w:tc>
          <w:tcPr>
            <w:tcW w:w="271" w:type="dxa"/>
            <w:tcBorders/>
            <w:shd w:fill="auto" w:val="clear"/>
            <w:vAlign w:val="center"/>
          </w:tcPr>
          <w:p>
            <w:pPr>
              <w:pStyle w:val="TableContents"/>
              <w:spacing w:before="0" w:after="283"/>
              <w:rPr/>
            </w:pPr>
            <w:r>
              <w:rPr/>
              <w:t>●</w:t>
            </w:r>
          </w:p>
        </w:tc>
        <w:tc>
          <w:tcPr>
            <w:tcW w:w="55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and timely enrollment and completion of clinical trials;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our clinical program supporting approvable and commercially acceptable risk/benefit profiles for our product candidates in the intended populations;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and maintenance of necessary regulatory and marketing approvals from applicable regulatory authorities, in the light of the commercial environment then existent;</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and successful procurement of raw materials required to manufacture our products for clinical trials, scale-up of our manufacturing processes and formulation of our product candidates for later stages of development and commercial production;</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either our own manufacturing capabilities or satisfactory agreements with third-party manufacturers for clinical supply for later stages of development and commercial manufacturing;</w:t>
            </w:r>
          </w:p>
        </w:tc>
      </w:tr>
    </w:tbl>
    <w:tbl>
      <w:tblPr>
        <w:tblW w:w="8312" w:type="dxa"/>
        <w:jc w:val="left"/>
        <w:tblInd w:w="0" w:type="dxa"/>
        <w:tblCellMar>
          <w:top w:w="0" w:type="dxa"/>
          <w:left w:w="0" w:type="dxa"/>
          <w:bottom w:w="0" w:type="dxa"/>
          <w:right w:w="0" w:type="dxa"/>
        </w:tblCellMar>
      </w:tblPr>
      <w:tblGrid>
        <w:gridCol w:w="271"/>
        <w:gridCol w:w="8041"/>
      </w:tblGrid>
      <w:tr>
        <w:trPr/>
        <w:tc>
          <w:tcPr>
            <w:tcW w:w="271" w:type="dxa"/>
            <w:tcBorders/>
            <w:shd w:fill="auto" w:val="clear"/>
            <w:vAlign w:val="center"/>
          </w:tcPr>
          <w:p>
            <w:pPr>
              <w:pStyle w:val="TableContents"/>
              <w:spacing w:before="0" w:after="283"/>
              <w:rPr/>
            </w:pPr>
            <w:r>
              <w:rPr/>
              <w:t>●</w:t>
            </w:r>
          </w:p>
        </w:tc>
        <w:tc>
          <w:tcPr>
            <w:tcW w:w="80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collaborations where appropriate to further the development of our product candidates;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intellectual property and trade secret protection or regulatory exclusivity for our product candidates as well as qualifying for, maintaining, enforcing and defending such intellectual property rights and claims;</w:t>
            </w:r>
          </w:p>
        </w:tc>
      </w:tr>
    </w:tbl>
    <w:tbl>
      <w:tblPr>
        <w:tblW w:w="9962" w:type="dxa"/>
        <w:jc w:val="left"/>
        <w:tblInd w:w="0" w:type="dxa"/>
        <w:tblCellMar>
          <w:top w:w="0" w:type="dxa"/>
          <w:left w:w="0" w:type="dxa"/>
          <w:bottom w:w="0" w:type="dxa"/>
          <w:right w:w="0" w:type="dxa"/>
        </w:tblCellMar>
      </w:tblPr>
      <w:tblGrid>
        <w:gridCol w:w="271"/>
        <w:gridCol w:w="9691"/>
      </w:tblGrid>
      <w:tr>
        <w:trPr/>
        <w:tc>
          <w:tcPr>
            <w:tcW w:w="271" w:type="dxa"/>
            <w:tcBorders/>
            <w:shd w:fill="auto" w:val="clear"/>
            <w:vAlign w:val="center"/>
          </w:tcPr>
          <w:p>
            <w:pPr>
              <w:pStyle w:val="TableContents"/>
              <w:spacing w:before="0" w:after="283"/>
              <w:rPr/>
            </w:pPr>
            <w:r>
              <w:rPr/>
              <w:t>●</w:t>
            </w:r>
          </w:p>
        </w:tc>
        <w:tc>
          <w:tcPr>
            <w:tcW w:w="96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launching or assisting with the launch of commercial sales of our product candidates following approval;</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each product’s benefits and uses by patients, the medical community and third-party payors following approval;</w:t>
            </w:r>
          </w:p>
        </w:tc>
      </w:tr>
    </w:tbl>
    <w:tbl>
      <w:tblPr>
        <w:tblW w:w="9152" w:type="dxa"/>
        <w:jc w:val="left"/>
        <w:tblInd w:w="0" w:type="dxa"/>
        <w:tblCellMar>
          <w:top w:w="0" w:type="dxa"/>
          <w:left w:w="0" w:type="dxa"/>
          <w:bottom w:w="0" w:type="dxa"/>
          <w:right w:w="0" w:type="dxa"/>
        </w:tblCellMar>
      </w:tblPr>
      <w:tblGrid>
        <w:gridCol w:w="271"/>
        <w:gridCol w:w="8881"/>
      </w:tblGrid>
      <w:tr>
        <w:trPr/>
        <w:tc>
          <w:tcPr>
            <w:tcW w:w="271" w:type="dxa"/>
            <w:tcBorders/>
            <w:shd w:fill="auto" w:val="clear"/>
            <w:vAlign w:val="center"/>
          </w:tcPr>
          <w:p>
            <w:pPr>
              <w:pStyle w:val="TableContents"/>
              <w:spacing w:before="0" w:after="283"/>
              <w:rPr/>
            </w:pPr>
            <w:r>
              <w:rPr/>
              <w:t>●</w:t>
            </w:r>
          </w:p>
        </w:tc>
        <w:tc>
          <w:tcPr>
            <w:tcW w:w="88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adverse events experienced with our product candidates in development;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587" w:type="dxa"/>
        <w:jc w:val="left"/>
        <w:tblInd w:w="0" w:type="dxa"/>
        <w:tblCellMar>
          <w:top w:w="0" w:type="dxa"/>
          <w:left w:w="0" w:type="dxa"/>
          <w:bottom w:w="0" w:type="dxa"/>
          <w:right w:w="0" w:type="dxa"/>
        </w:tblCellMar>
      </w:tblPr>
      <w:tblGrid>
        <w:gridCol w:w="271"/>
        <w:gridCol w:w="9316"/>
      </w:tblGrid>
      <w:tr>
        <w:trPr/>
        <w:tc>
          <w:tcPr>
            <w:tcW w:w="271" w:type="dxa"/>
            <w:tcBorders/>
            <w:shd w:fill="auto" w:val="clear"/>
            <w:vAlign w:val="center"/>
          </w:tcPr>
          <w:p>
            <w:pPr>
              <w:pStyle w:val="TableContents"/>
              <w:spacing w:before="0" w:after="283"/>
              <w:rPr/>
            </w:pPr>
            <w:r>
              <w:rPr/>
              <w:t>●</w:t>
            </w:r>
          </w:p>
        </w:tc>
        <w:tc>
          <w:tcPr>
            <w:tcW w:w="93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continued acceptable safety profile of the product candidates following approval;</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healthcare coverage and adequate reimbursement from third-party payors if necessary or desirable; and</w:t>
            </w:r>
          </w:p>
        </w:tc>
      </w:tr>
    </w:tbl>
    <w:tbl>
      <w:tblPr>
        <w:tblW w:w="3902" w:type="dxa"/>
        <w:jc w:val="left"/>
        <w:tblInd w:w="0" w:type="dxa"/>
        <w:tblCellMar>
          <w:top w:w="0" w:type="dxa"/>
          <w:left w:w="0" w:type="dxa"/>
          <w:bottom w:w="0" w:type="dxa"/>
          <w:right w:w="0" w:type="dxa"/>
        </w:tblCellMar>
      </w:tblPr>
      <w:tblGrid>
        <w:gridCol w:w="271"/>
        <w:gridCol w:w="3631"/>
      </w:tblGrid>
      <w:tr>
        <w:trPr/>
        <w:tc>
          <w:tcPr>
            <w:tcW w:w="271" w:type="dxa"/>
            <w:tcBorders/>
            <w:shd w:fill="auto" w:val="clear"/>
            <w:vAlign w:val="center"/>
          </w:tcPr>
          <w:p>
            <w:pPr>
              <w:pStyle w:val="TableContents"/>
              <w:spacing w:before="0" w:after="283"/>
              <w:rPr/>
            </w:pPr>
            <w:r>
              <w:rPr/>
              <w:t>●</w:t>
            </w:r>
          </w:p>
        </w:tc>
        <w:tc>
          <w:tcPr>
            <w:tcW w:w="36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competing with other therapies.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We expect that our cash balance as of March 31, 2023 will enable us to fund our operating expenses and capital requirements into the first quarter of 2025.</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hanging="0"/>
        <w:jc w:val="center"/>
        <w:rPr/>
      </w:pPr>
      <w:r>
        <w:rPr/>
        <w:drawing>
          <wp:inline distT="0" distB="0" distL="0" distR="0">
            <wp:extent cx="6376035" cy="2843530"/>
            <wp:effectExtent l="0" t="0" r="0" b="0"/>
            <wp:docPr id="1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 descr=""/>
                    <pic:cNvPicPr>
                      <a:picLocks noChangeAspect="1" noChangeArrowheads="1"/>
                    </pic:cNvPicPr>
                  </pic:nvPicPr>
                  <pic:blipFill>
                    <a:blip r:embed="rId2"/>
                    <a:stretch>
                      <a:fillRect/>
                    </a:stretch>
                  </pic:blipFill>
                  <pic:spPr bwMode="auto">
                    <a:xfrm>
                      <a:off x="0" y="0"/>
                      <a:ext cx="6376035" cy="2843530"/>
                    </a:xfrm>
                    <a:prstGeom prst="rect">
                      <a:avLst/>
                    </a:prstGeom>
                  </pic:spPr>
                </pic:pic>
              </a:graphicData>
            </a:graphic>
          </wp:inline>
        </w:drawing>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VTP-300: An Immunotherapeutic Targeting Chronic HBV Infection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March 28, 2023, we announced positive topline final data from the HBV002 phase 2 clinical trial. The completed trial, which included 55 patients with chronic hepatitis B, supported the generally favorable tolerability profile previously reported with VTP-300, with no incidents of VTP-300-related Grade 3 adverse events or product-related serious adverse events, or SAEs, following study dosing. VTP-300 was observed to induce meaningful, sustained reductions of Hepatitis B surface antigen (HBsAg) in patients with chronic HBV. Declines were most prominent in patients with lower baseline HbsAg. The final results of the immunology assays are currently being analyzed and the full data, including tolerability results and immunology pharmacodynamic biomarker readouts, will be presented at the upcoming European Association for the Study of the Liver (EASL) Congress, June 21-24, 2023.</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VTP-200: Developing a Non-Invasive Treatment for Persistent High-Risk HPV</w:t>
      </w:r>
    </w:p>
    <w:p>
      <w:pPr>
        <w:pStyle w:val="TextBody"/>
        <w:spacing w:lineRule="auto" w:line="240" w:before="0" w:after="0"/>
        <w:ind w:left="0" w:right="0" w:hanging="0"/>
        <w:rPr>
          <w:rFonts w:ascii="Times New Roman;Times;serif" w:hAnsi="Times New Roman;Times;serif"/>
          <w:sz w:val="20"/>
        </w:rPr>
      </w:pPr>
      <w:r>
        <w:rPr>
          <w:rFonts w:ascii="Times New Roman;Times;serif" w:hAnsi="Times New Roman;Times;serif"/>
          <w:sz w:val="20"/>
        </w:rPr>
        <w:t>On April 20, 2023, our Chief Medical Officer, Dr. Meg Marshall, presented topline data from the VTP-200 HPV001 phase 1b/2 clinical trial at the 35</w:t>
      </w:r>
      <w:r>
        <w:rPr>
          <w:rFonts w:ascii="Times New Roman;Times;serif" w:hAnsi="Times New Roman;Times;serif"/>
          <w:sz w:val="15"/>
        </w:rPr>
        <w:t>th</w:t>
      </w:r>
      <w:r>
        <w:rPr>
          <w:rFonts w:ascii="Times New Roman;Times;serif" w:hAnsi="Times New Roman;Times;serif"/>
          <w:sz w:val="20"/>
        </w:rPr>
        <w:t xml:space="preserve"> Annual International Papillomavirus Conference (IPVC). The poster showed data for 42 women at Day 35, 7 days after the last dose of VTP-200, split by active treatment versus placebo. VTP-200 was generally well-tolerated and was administered with no product-related grade 3 unsolicited adverse events and no product-related SAEs. While the placebo group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showed no antigen-specific T cell responses as measured by IFNg ELISpot, 26 of 29 women receiving varying doses of VTP-200 showed a response. The pooled active groups showed meaningful responses, with the average being greater than 1,000 spot-forming units per million peripheral blood mononuclear cells. Responses were strongest to the E1, E2 and E6 antigens. In addition, intracellular cytokine staining data from the active groups showed both CD4 and CD8 responses. The final dataset, including data on clearance of infection and cervical lesions at 12 months post-treatment, is expected in the second quarter of 2024.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Management Team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April 28, 2023, we announced the that our Chief Operating Office, Chris Ellis has notified the Company that he intends to retire, effective October 31,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Impact of the Ukraine Crisis</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Impact of Global Economic Conditions and Inflationary Pressures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Instability in global economic conditions and geopolitical matters, as well as volatility in financial markets, could have a material adverse effect on the Company’s results of operations and financial condition. These inflationary pressures and rising interest rates in the United States, the United Kingdom and elsewhere have given rise to increasing concerns that the U.S., U.K. and other economies are now in, or may soon enter, economic recession. Sustained inflationary pressures, increased interest rates, an economic recession or continued or intensified disruptions in the global financial markets could adversely affect our future financing capability or ability to access the capital markets. Additionally, we may incur future increases in operating costs due to additional inflationary increases.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Components of Our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date, we have not generated any revenue from direct product sales and do not expect to do so in the near future, if at all. Most of our revenue to date has been derived from the OUI License Agreement Amendment with OUI relating to Vaxzevria.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In March 2022, we were notified by OUI of the commencement of revenue relating to the commercial sales of Vaxzevria. Our revenue for the three months ending March 31, 2023 was $0.5 million (three months ending March 31, 2022: $15.0 million), representing the amounts we have been notified of as due by OUI to date and an estimate of future receipts, constrained to the extent that it is probable that a significant reversal of revenue would not occur.</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determined that we have no further performance obligations under the terms of the OUI License Agreement Amendment, which comprised the transfer of intellectual property rights only. Accordingly, we plan to recognize these and any future amounts as revenue when earned, and it is probable that a significant reversal of revenue will not occur.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operating expenses since inception have consisted of research and development costs and general and administrative costs.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Since our inception, we have focused significant resources on our research and development activities, including establishing and building on our adenovirus platform, further enhancing our in-licensed ChAdOx1, ChAdOx2 and MVA vectors, developing a new next-generation adenoviral vector, acquiring new technology platforms including SNAPvax, conducting preclinical studies, developing various manufacturing processes, and advancing clinical development of our programs including Phase 2 clinical trials for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VTP-100, which we subsequently discontinued development of, as well as initiating the clinical trials for VTP-200, VTP-300, VTP-600 and VTP-850 and readying VTP-500, VTP-1000 and VTP-1100 for clinical trials. Research and development activities account for a large portion of our operating expenses, and we expect research and development expenses to increase in the future. Research and development costs are expensed as incurred. These costs include:</w:t>
      </w:r>
    </w:p>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related costs, including share-based compensation, for personnel engaged in research and development functions;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the development of our programs including preclinical studies and clinical trials of our product candidates, under agreements with third parties, such as consultants, contractors, academic institutions and CROs;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drug products for use in preclinical development and clinical trials, including agreements with third parties, such as CMOs, consultants and contractors;</w:t>
            </w:r>
          </w:p>
        </w:tc>
      </w:tr>
    </w:tbl>
    <w:tbl>
      <w:tblPr>
        <w:tblW w:w="2117" w:type="dxa"/>
        <w:jc w:val="left"/>
        <w:tblInd w:w="0" w:type="dxa"/>
        <w:tblCellMar>
          <w:top w:w="0" w:type="dxa"/>
          <w:left w:w="0" w:type="dxa"/>
          <w:bottom w:w="0" w:type="dxa"/>
          <w:right w:w="0" w:type="dxa"/>
        </w:tblCellMar>
      </w:tblPr>
      <w:tblGrid>
        <w:gridCol w:w="271"/>
        <w:gridCol w:w="1846"/>
      </w:tblGrid>
      <w:tr>
        <w:trPr/>
        <w:tc>
          <w:tcPr>
            <w:tcW w:w="271" w:type="dxa"/>
            <w:tcBorders/>
            <w:shd w:fill="auto" w:val="clear"/>
            <w:vAlign w:val="center"/>
          </w:tcPr>
          <w:p>
            <w:pPr>
              <w:pStyle w:val="TableContents"/>
              <w:spacing w:before="0" w:after="283"/>
              <w:rPr/>
            </w:pPr>
            <w:r>
              <w:rPr/>
              <w:t>●</w:t>
            </w:r>
          </w:p>
        </w:tc>
        <w:tc>
          <w:tcPr>
            <w:tcW w:w="18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costs; and</w:t>
            </w:r>
          </w:p>
        </w:tc>
      </w:tr>
    </w:tbl>
    <w:tbl>
      <w:tblPr>
        <w:tblW w:w="9347" w:type="dxa"/>
        <w:jc w:val="left"/>
        <w:tblInd w:w="0" w:type="dxa"/>
        <w:tblCellMar>
          <w:top w:w="0" w:type="dxa"/>
          <w:left w:w="0" w:type="dxa"/>
          <w:bottom w:w="0" w:type="dxa"/>
          <w:right w:w="0" w:type="dxa"/>
        </w:tblCellMar>
      </w:tblPr>
      <w:tblGrid>
        <w:gridCol w:w="271"/>
        <w:gridCol w:w="9076"/>
      </w:tblGrid>
      <w:tr>
        <w:trPr/>
        <w:tc>
          <w:tcPr>
            <w:tcW w:w="271" w:type="dxa"/>
            <w:tcBorders/>
            <w:shd w:fill="auto" w:val="clear"/>
            <w:vAlign w:val="center"/>
          </w:tcPr>
          <w:p>
            <w:pPr>
              <w:pStyle w:val="TableContents"/>
              <w:spacing w:before="0" w:after="283"/>
              <w:rPr/>
            </w:pPr>
            <w:r>
              <w:rPr/>
              <w:t>●</w:t>
            </w:r>
          </w:p>
        </w:tc>
        <w:tc>
          <w:tcPr>
            <w:tcW w:w="90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facility costs, equipment depreciation and other expenses, which include direct and allocated expenses.</w:t>
            </w:r>
          </w:p>
        </w:tc>
      </w:tr>
    </w:tbl>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general and administrative expenses consist primarily of personnel costs,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For the three month period ended March 31, 2023, we recognized a change in fair value in relation to the updated assumptions in the assessment of the contingent consideration fair value recognized from the acquisition of Avidea on December 10, 2021. Significant judgment is used to determine the probability of success of achievement of the technology and clinical milestones and the date of the expected milestone. We expect our general and administrative expenses to continue to increase in the future as we expand our operating activities in both the United Kingdom and United States and potentially prepare for manufacturing and/or commercialization of our current and future product candidates. These costs will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Income (Expense)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Income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Interest income results primarily from the interest earned on our short-term cash deposits and cash balances held by Vaccitech (UK) Limited in United States dollars.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Incentives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Research and development incentives contain payments receivable from the United Kingdom government related to corporation tax relief on research and development projects in the United Kingdom. We account for such relief received as other income.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 benefits from the United Kingdom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Under the SME program, the Company is able to surrender some of its trading losses that arise from qualifying research and development activities for a cash rebate of up to 33.35% of such qualifying research and development expenditure. Qualifying expenditures largely comprise employment costs for research staff, consumables, outsourced contract research organization costs and utilities costs incurred as part of research projects. Certain subcontracted qualifying research and development expenditures are eligible for a cash rebate of up to 21.67%. A large portion of costs relating to research and development, clinical trials and manufacturing activities are eligible for inclusion within these tax credit cash rebate claims.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Company may not be able to continue to claim research and development tax credits under the SME program in the future because it may no longer qualify as a small or medium-sized company. In addition, the EU State Aid cap limits the total aid claimable in respect of a given project to €7.5 million which may impact the Company’s ability to claim R&amp;D tax credits in future. Further, the U.K. Finance Act of 2021 introduced a cap on payable credit claims under the SME Program in excess of £20,000 with effect from April 2021 by reference to, broadly, three times the total Pay As You Earn, or PAYE, and National Insurance Contributions, or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an exception does not apply, this could restrict the amount of payable credit that we claim.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From April 2023 under the SME program the additional deduction will decrease from 130% to 86% and the SME credit rate will reduce from 14.5% to 10%.</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 xml:space="preserve">This discussion and analysis of financial condition and results of operations is based on our unaudited condensed consolidated financial statements, which have been prepared in accordance with accounting principles generally accepted in the United States, or U.S. GAAP. The preparation of unaudited condensed consolidated financial statements requires management to make estimates and judgments that affect the reported amounts of assets and liabilities and disclosures of contingent assets and liabilities as of the date of the financial statements and the reported amounts of revenue and expenses during the reporting period. On an ongoing basis, management evaluates its estimates, including those related to revenue, expenses, accruals and prepayments for external manufacturing of clinical trial material as well as clinical study conduct, fair value of contingent consideration, impairment of goodwill and intangible assets,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 </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We believe that the following accounting policies are critical to the process of making significant judgments and estimates in the preparation of our unaudited condensed consolidated financial statements and understanding and evaluating our reported financial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Recognition of Revenue from Contracts with Customers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2020, we entered into the OUI License Agreement Amendment with OUI to facilitate the license of our rights to the COVID-19 vaccine we co-invented with OUI to AstraZeneca, which is now known as Vaxzevria. Our performance obligations under the terms of this agreement are limited to the transfer of intellectual property rights (licenses and other rights). Payments by AstraZeneca to OUI under this agreement include an up-front payment, payments based upon the achievement of defined milestones, royalties on product sales, and may include payments of commercial and other milestones, if certain future conditions are met. We are entitled to receive approximately 24% of receipts, including royalties and milestones, received by OUI from that license agreement with AstraZeneca as set out in the OUI License Agreement Amendment.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evaluate our collaboration and licensing arrangements pursuant to Accounting Standards Codification 606, or ASC 606. We use judgment to determine whether milestones or other variable consideration, except for sales-based royalties, should be included in the transaction price. For sales-based and clinical development milestones and royalties, when the license is deemed to be the predominant item to which the royalties relate, we recognize revenue at the later of (i) when the related sales or milestone achievement occurs 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(ii) when the performance obligation to which some or all of the royalty has been allocated has been satisfied (or partially satisfied). This could require management to estimate the amount of revenue to recognize in the period if the actual data for the period has not been provided.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Research and Development Costs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Research and development costs are expensed as incurred. Research and development expenses consist of costs incurred in performing research and development activities, including salaries and bonuses, share-based compensation, employee benefits, facilities costs, laboratory supplies, depreciation, manufacturing expenses and external costs of vendors engaged to conduct preclinical development activities and clinical trials as well as the cost of licensing technology. Advance payments for goods or services to be received in the future for use in research and development activities are recorded as prepaid expenses. The prepaid amounts are then expensed as the related goods are delivered or the services are performed. Research and development costs are accrued when the related services or goods are delivered ahead of being billed.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All patent-related costs incurred in connection with filing and prosecuting patent applications are classified as research and development costs and expensed as incurred due to the uncertainty about any future recovery of the expenditure. Upfront payments, milestone payments and annual payments made for the licensing of technology are generally expensed as research and development in the period in which they are incurred. Incremental sublicense fees triggered by contracts with customers are capitalized and expensed as research and development expenses over the period in which the relating revenue is recognized.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Share-based Compensation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grant options and restricted shares to employees and directors and account for share-based compensation using a fair value method. All of these arrangements are settled in equity at a predetermined price and generally vest over a period of three years. All share options have a life of 10 years before expiration. To the extent such incentives are in the form of share options, up until the first quarter of 2021, the options may have been granted pursuant bilateral EMI option awards or unapproved option awards. On April 8, 2021, we adopted the Vaccitech plc Share Award Plan 2021 and the Vaccitech plc Non-Employee Sub-Plan which is a sub-plan of the Vaccitech plc Share Award Plan 2021. Under the terms of the Vaccitech plc Share Award Plan 2021, the Board is permitted to grant awards to employees as restricted share units, options, share appreciation rights or restricted shares. Upon adoption of the Vaccitech plc Share Award Plan 2021, no further awards are granted pursuant to the bilateral EMI option awards or unapproved option awards.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Share based compensation awards are measured at the grant date fair value. For service-based awards, compensation expense is generally recognized over the requisite service period of the awards, usually the vesting period. We apply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We have elected to recognize the effect of forfeitures on share-based compensation when they occur. Any differences in compensation recognized at the time of forfeiture are recorded as a cumulative adjustment in the period where the forfeiture occurs.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measure share-based awards granted to employees and directors based on the fair value on the date of grant using the Black-Scholes option-pricing model for options. Black-Scholes utilizes assumptions related to expected term, volatility, the risk-free interest rate and the dividend yield (which is assumed to be zero, as we have not paid any cash dividends). The volatility assumption utilizes both the Company’s historical volatility and those of a portfolio of listed peer companies, weighted towards the Company as we build the historical records following IPO.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assumptions used in the Black-Scholes model to determine fair value for the share option grants during the three months ended March 31, 2023 and 2022 were:</w:t>
      </w:r>
    </w:p>
    <w:tbl>
      <w:tblPr>
        <w:tblW w:w="5621" w:type="dxa"/>
        <w:jc w:val="left"/>
        <w:tblInd w:w="0" w:type="dxa"/>
        <w:tblCellMar>
          <w:top w:w="0" w:type="dxa"/>
          <w:left w:w="0" w:type="dxa"/>
          <w:bottom w:w="0" w:type="dxa"/>
          <w:right w:w="0" w:type="dxa"/>
        </w:tblCellMar>
      </w:tblPr>
      <w:tblGrid>
        <w:gridCol w:w="2131"/>
        <w:gridCol w:w="326"/>
        <w:gridCol w:w="1261"/>
        <w:gridCol w:w="326"/>
        <w:gridCol w:w="1261"/>
        <w:gridCol w:w="316"/>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53185" cy="175260"/>
                      <wp:effectExtent l="0" t="0" r="0" b="0"/>
                      <wp:wrapNone/>
                      <wp:docPr id="151" name="Frame150"/>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00735" cy="175260"/>
                      <wp:effectExtent l="0" t="0" r="0" b="0"/>
                      <wp:wrapNone/>
                      <wp:docPr id="153" name="Frame152"/>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800735" cy="175260"/>
                      <wp:effectExtent l="0" t="0" r="0" b="0"/>
                      <wp:wrapNone/>
                      <wp:docPr id="155" name="Frame154"/>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0660" cy="175260"/>
                      <wp:effectExtent l="0" t="0" r="0" b="0"/>
                      <wp:wrapNone/>
                      <wp:docPr id="156" name="Frame15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w:t>
            </w:r>
          </w:p>
        </w:tc>
        <w:tc>
          <w:tcPr>
            <w:tcW w:w="316" w:type="dxa"/>
            <w:tcBorders/>
            <w:shd w:fill="auto" w:val="clear"/>
            <w:vAlign w:val="center"/>
          </w:tcPr>
          <w:p>
            <w:pPr>
              <w:pStyle w:val="TableContents"/>
              <w:spacing w:before="0" w:after="1"/>
              <w:ind w:left="0" w:right="0" w:hanging="0"/>
              <w:jc w:val="center"/>
              <w:rPr/>
            </w:pPr>
            <w:r>
              <w:rPr/>
              <w:t> </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w:t>
            </w:r>
          </w:p>
        </w:tc>
        <w:tc>
          <w:tcPr>
            <w:tcW w:w="316" w:type="dxa"/>
            <w:tcBorders/>
            <w:shd w:fill="auto"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1"/>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2022</w:t>
            </w:r>
          </w:p>
        </w:tc>
        <w:tc>
          <w:tcPr>
            <w:tcW w:w="316" w:type="dxa"/>
            <w:tcBorders/>
            <w:shd w:fill="auto" w:val="clear"/>
            <w:vAlign w:val="center"/>
          </w:tcPr>
          <w:p>
            <w:pPr>
              <w:pStyle w:val="TableContents"/>
              <w:spacing w:before="0" w:after="1"/>
              <w:ind w:left="0" w:right="0" w:hanging="0"/>
              <w:rPr/>
            </w:pPr>
            <w:r>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16" w:type="dxa"/>
            <w:tcBorders/>
            <w:shd w:fill="auto" w:val="clear"/>
            <w:vAlign w:val="center"/>
          </w:tcPr>
          <w:p>
            <w:pPr>
              <w:pStyle w:val="TableContents"/>
              <w:spacing w:before="0" w:after="1"/>
              <w:ind w:left="0" w:right="0" w:hanging="0"/>
              <w:rPr/>
            </w:pPr>
            <w:r>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three months ended March 31, 2023, 1,987,289 share options were granted and 1,632,922 share options were granted for the three months ended March 31,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Business Combinations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acquired Avidea on December 10, 2021 and have accounted for the acquisition using the acquisition method of accounting. This required us to assess and make judgments as to whether the acquisition met the criteria of a business combination or an asset acquisition. In determining that the acquisition of Avidea met the criteria of a business combination we first used the “screen test” to assess whether substantially all of the fair value of the gross assets acquired is concentrated in a single identifiable asset or a group of similar identifiable assets. As the “screen test” was not met, as the identifiable assets were not substantially all of the fair value of the gross assets acquired, we then applied the “framework” for determining whether the acquired assets included at minimum, an input and substantive process that together significantly contribute to the ability to create output. We concluded that the framework criteria are met because the scientists make up an organized workforce that has the necessary skills, knowledge, or experience to perform processes that when applied to the developed technology (input) is critical to the ability to undertake research and development of a product that can be provided to a customer. The more than-insignificant amount of goodwill (including the fair value associated with the workforce) was also an indicator that management considered in determining that the workforce is performing a critical process. We therefore determined the acquisition to meet the definition of a business combination.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recognize tangible and identifiable intangible assets acquired and liabilities assumed at their estimated fair values as of the acquisition date. Any excess purchase price over the estimated fair value assigned to the net tangible and identifiable intangible assets acquired and liabilities is allocated to goodwill.</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acquired Avidea for an up-front amount of $32.8 million (after working capital adjustments), of which $11.8 million was payable in cash and $21.0 million in 2,151,831 of American Depositary Shares of the Company. In addition, Avidea’s stockholders may be entitled to receive an aggregate of up to $40.0 million in additional payments, payable in a mixture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earnings in the condensed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Transaction costs are expensed as incurred in general and administrative expenses. Results of operations and cash flows of acquired companies are included in our operating results from the date of acquisition.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Goodwill and Purchased Intangible Asset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test goodwill for impairment at least annually or more frequently if events or changes in circumstances indicate that the carrying amount of goodwill may not be recoverable. We have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goodwill of $12.2 million recognized to March 31, 2023 wholly relates to the acquisition of Avidea on December 10, 2021. During the year ended December 31, 2022, the Company identified qualitative indicators of impairment due to a sustained decline in the price of the Company’s American Depositary Shares, whereby the market capitalization fell below the value of the net assets of the Company, which continued through to the first quarter of 2023. Therefore, the Company performed an interim assessment as of March 31, 2023 to determine whether it is more likely than not that the fair value of the reporting unit is less than its carrying amount. Based off this assessment, the Company has not recognized any impairment losses related to goodwill or intangible assets for the three months ending March 31,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Comparison of the Three Months Ended March 31, 2023 and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sets forth the significant components of our results of operations (in thousands):</w:t>
      </w:r>
    </w:p>
    <w:tbl>
      <w:tblPr>
        <w:tblW w:w="7763" w:type="dxa"/>
        <w:jc w:val="left"/>
        <w:tblInd w:w="0" w:type="dxa"/>
        <w:tblCellMar>
          <w:top w:w="0" w:type="dxa"/>
          <w:left w:w="0" w:type="dxa"/>
          <w:bottom w:w="0" w:type="dxa"/>
          <w:right w:w="0" w:type="dxa"/>
        </w:tblCellMar>
      </w:tblPr>
      <w:tblGrid>
        <w:gridCol w:w="3541"/>
        <w:gridCol w:w="326"/>
        <w:gridCol w:w="244"/>
        <w:gridCol w:w="852"/>
        <w:gridCol w:w="326"/>
        <w:gridCol w:w="260"/>
        <w:gridCol w:w="836"/>
        <w:gridCol w:w="326"/>
        <w:gridCol w:w="211"/>
        <w:gridCol w:w="841"/>
      </w:tblGrid>
      <w:tr>
        <w:trPr/>
        <w:tc>
          <w:tcPr>
            <w:tcW w:w="3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48535" cy="175260"/>
                      <wp:effectExtent l="0" t="0" r="0" b="0"/>
                      <wp:wrapNone/>
                      <wp:docPr id="157" name="Frame156"/>
                      <a:graphic xmlns:a="http://schemas.openxmlformats.org/drawingml/2006/main">
                        <a:graphicData uri="http://schemas.microsoft.com/office/word/2010/wordprocessingShape">
                          <wps:wsp>
                            <wps:cNvSpPr txBox="1"/>
                            <wps:spPr>
                              <a:xfrm>
                                <a:off x="0" y="0"/>
                                <a:ext cx="2248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54940" cy="175260"/>
                      <wp:effectExtent l="0" t="0" r="0" b="0"/>
                      <wp:wrapNone/>
                      <wp:docPr id="159" name="Frame158"/>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41020" cy="175260"/>
                      <wp:effectExtent l="0" t="0" r="0" b="0"/>
                      <wp:wrapNone/>
                      <wp:docPr id="160" name="Frame159"/>
                      <a:graphic xmlns:a="http://schemas.openxmlformats.org/drawingml/2006/main">
                        <a:graphicData uri="http://schemas.microsoft.com/office/word/2010/wordprocessingShape">
                          <wps:wsp>
                            <wps:cNvSpPr txBox="1"/>
                            <wps:spPr>
                              <a:xfrm>
                                <a:off x="0" y="0"/>
                                <a:ext cx="5410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5100" cy="175260"/>
                      <wp:effectExtent l="0" t="0" r="0" b="0"/>
                      <wp:wrapNone/>
                      <wp:docPr id="162" name="Frame161"/>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0860" cy="175260"/>
                      <wp:effectExtent l="0" t="0" r="0" b="0"/>
                      <wp:wrapNone/>
                      <wp:docPr id="163" name="Frame162"/>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34035" cy="175260"/>
                      <wp:effectExtent l="0" t="0" r="0" b="0"/>
                      <wp:wrapNone/>
                      <wp:docPr id="166" name="Frame16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jc w:val="center"/>
              <w:rPr/>
            </w:pPr>
            <w:r>
              <w:rPr/>
              <w:t>    </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pPr>
            <w:r>
              <w:rPr/>
              <w:t>    </w:t>
            </w:r>
          </w:p>
        </w:tc>
      </w:tr>
      <w:tr>
        <w:trPr/>
        <w:tc>
          <w:tcPr>
            <w:tcW w:w="3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March</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March</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pPr>
            <w:r>
              <w:rPr/>
              <w:t>​</w:t>
            </w:r>
          </w:p>
        </w:tc>
      </w:tr>
      <w:tr>
        <w:trPr/>
        <w:tc>
          <w:tcPr>
            <w:tcW w:w="3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31, 2023</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31, 2022</w:t>
            </w:r>
          </w:p>
        </w:tc>
        <w:tc>
          <w:tcPr>
            <w:tcW w:w="326" w:type="dxa"/>
            <w:tcBorders/>
            <w:shd w:fill="auto" w:val="clear"/>
            <w:vAlign w:val="center"/>
          </w:tcPr>
          <w:p>
            <w:pPr>
              <w:pStyle w:val="TableContents"/>
              <w:spacing w:before="0" w:after="1"/>
              <w:ind w:left="0" w:right="0" w:hanging="0"/>
              <w:jc w:val="center"/>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from Licenses, Grants &amp; Services</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26" w:type="dxa"/>
            <w:tcBorders/>
            <w:shd w:fill="CCEEFF" w:val="clear"/>
            <w:vAlign w:val="center"/>
          </w:tcPr>
          <w:p>
            <w:pPr>
              <w:pStyle w:val="TableContents"/>
              <w:spacing w:before="0" w:after="1"/>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15,018</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(14,550)</w:t>
            </w:r>
          </w:p>
        </w:tc>
      </w:tr>
      <w:tr>
        <w:trPr/>
        <w:tc>
          <w:tcPr>
            <w:tcW w:w="3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8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w:t>
            </w:r>
          </w:p>
        </w:tc>
      </w:tr>
      <w:tr>
        <w:trPr/>
        <w:tc>
          <w:tcPr>
            <w:tcW w:w="3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&amp; development</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 </w:t>
            </w:r>
          </w:p>
        </w:tc>
        <w:tc>
          <w:tcPr>
            <w:tcW w:w="8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9,814</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10,701</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r>
      <w:tr>
        <w:trPr/>
        <w:tc>
          <w:tcPr>
            <w:tcW w:w="3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1"/>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12,138</w:t>
            </w:r>
          </w:p>
        </w:tc>
        <w:tc>
          <w:tcPr>
            <w:tcW w:w="326" w:type="dxa"/>
            <w:tcBorders/>
            <w:shd w:fill="auto" w:val="clear"/>
            <w:vAlign w:val="center"/>
          </w:tcPr>
          <w:p>
            <w:pPr>
              <w:pStyle w:val="TableContents"/>
              <w:spacing w:before="0" w:after="1"/>
              <w:ind w:left="0" w:right="0" w:hanging="0"/>
              <w:rPr/>
            </w:pPr>
            <w:r>
              <w:rPr/>
              <w:t> </w:t>
            </w:r>
          </w:p>
        </w:tc>
        <w:tc>
          <w:tcPr>
            <w:tcW w:w="26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3,663</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8,475</w:t>
            </w:r>
          </w:p>
        </w:tc>
      </w:tr>
      <w:tr>
        <w:trPr/>
        <w:tc>
          <w:tcPr>
            <w:tcW w:w="3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(income)/expenses</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21,952</w:t>
            </w:r>
          </w:p>
        </w:tc>
        <w:tc>
          <w:tcPr>
            <w:tcW w:w="326" w:type="dxa"/>
            <w:tcBorders/>
            <w:shd w:fill="CCEEFF" w:val="clear"/>
            <w:vAlign w:val="center"/>
          </w:tcPr>
          <w:p>
            <w:pPr>
              <w:pStyle w:val="TableContents"/>
              <w:spacing w:before="0" w:after="1"/>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14,364</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7,588</w:t>
            </w:r>
          </w:p>
        </w:tc>
      </w:tr>
      <w:tr>
        <w:trPr/>
        <w:tc>
          <w:tcPr>
            <w:tcW w:w="3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(Loss)/income from operations</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8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(21,484)</w:t>
            </w:r>
          </w:p>
        </w:tc>
        <w:tc>
          <w:tcPr>
            <w:tcW w:w="326" w:type="dxa"/>
            <w:tcBorders/>
            <w:shd w:fill="auto" w:val="clear"/>
            <w:vAlign w:val="center"/>
          </w:tcPr>
          <w:p>
            <w:pPr>
              <w:pStyle w:val="TableContents"/>
              <w:spacing w:before="0" w:after="1"/>
              <w:ind w:left="0" w:right="0" w:hanging="0"/>
              <w:rPr/>
            </w:pPr>
            <w:r>
              <w:rPr/>
              <w:t> </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(22,138)</w:t>
            </w:r>
          </w:p>
        </w:tc>
      </w:tr>
      <w:tr>
        <w:trPr/>
        <w:tc>
          <w:tcPr>
            <w:tcW w:w="3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 </w:t>
            </w:r>
          </w:p>
        </w:tc>
        <w:tc>
          <w:tcPr>
            <w:tcW w:w="85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w:t>
            </w:r>
          </w:p>
        </w:tc>
      </w:tr>
      <w:tr>
        <w:trPr/>
        <w:tc>
          <w:tcPr>
            <w:tcW w:w="3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8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1,588</w:t>
            </w:r>
          </w:p>
        </w:tc>
        <w:tc>
          <w:tcPr>
            <w:tcW w:w="326" w:type="dxa"/>
            <w:tcBorders/>
            <w:shd w:fill="auto" w:val="clear"/>
            <w:vAlign w:val="center"/>
          </w:tcPr>
          <w:p>
            <w:pPr>
              <w:pStyle w:val="TableContents"/>
              <w:spacing w:before="0" w:after="1"/>
              <w:ind w:left="0" w:right="0" w:hanging="0"/>
              <w:rPr/>
            </w:pPr>
            <w:r>
              <w:rPr/>
              <w:t> </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r>
      <w:tr>
        <w:trPr/>
        <w:tc>
          <w:tcPr>
            <w:tcW w:w="3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 </w:t>
            </w:r>
          </w:p>
        </w:tc>
        <w:tc>
          <w:tcPr>
            <w:tcW w:w="85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 incentives</w:t>
            </w:r>
          </w:p>
        </w:tc>
        <w:tc>
          <w:tcPr>
            <w:tcW w:w="326" w:type="dxa"/>
            <w:tcBorders/>
            <w:shd w:fill="auto" w:val="clear"/>
            <w:vAlign w:val="center"/>
          </w:tcPr>
          <w:p>
            <w:pPr>
              <w:pStyle w:val="TableContents"/>
              <w:spacing w:before="0" w:after="1"/>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shd w:fill="auto" w:val="clear"/>
            <w:vAlign w:val="center"/>
          </w:tcPr>
          <w:p>
            <w:pPr>
              <w:pStyle w:val="TableContents"/>
              <w:spacing w:before="0" w:after="1"/>
              <w:ind w:left="0" w:right="0" w:hanging="0"/>
              <w:rPr/>
            </w:pPr>
            <w:r>
              <w:rPr/>
              <w:t> </w:t>
            </w:r>
          </w:p>
        </w:tc>
        <w:tc>
          <w:tcPr>
            <w:tcW w:w="26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3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income</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2,745</w:t>
            </w:r>
          </w:p>
        </w:tc>
        <w:tc>
          <w:tcPr>
            <w:tcW w:w="326" w:type="dxa"/>
            <w:tcBorders/>
            <w:shd w:fill="CCEEFF" w:val="clear"/>
            <w:vAlign w:val="center"/>
          </w:tcPr>
          <w:p>
            <w:pPr>
              <w:pStyle w:val="TableContents"/>
              <w:spacing w:before="0" w:after="1"/>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1,688</w:t>
            </w:r>
          </w:p>
        </w:tc>
      </w:tr>
      <w:tr>
        <w:trPr/>
        <w:tc>
          <w:tcPr>
            <w:tcW w:w="3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(Loss)/profit before income tax</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8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(18,739)</w:t>
            </w:r>
          </w:p>
        </w:tc>
        <w:tc>
          <w:tcPr>
            <w:tcW w:w="326" w:type="dxa"/>
            <w:tcBorders/>
            <w:shd w:fill="auto" w:val="clear"/>
            <w:vAlign w:val="center"/>
          </w:tcPr>
          <w:p>
            <w:pPr>
              <w:pStyle w:val="TableContents"/>
              <w:spacing w:before="0" w:after="1"/>
              <w:ind w:left="0" w:right="0" w:hanging="0"/>
              <w:rPr/>
            </w:pPr>
            <w:r>
              <w:rPr/>
              <w:t> </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(20,450)</w:t>
            </w:r>
          </w:p>
        </w:tc>
      </w:tr>
      <w:tr>
        <w:trPr/>
        <w:tc>
          <w:tcPr>
            <w:tcW w:w="3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benefit</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shd w:fill="CCEEFF" w:val="clear"/>
            <w:vAlign w:val="center"/>
          </w:tcPr>
          <w:p>
            <w:pPr>
              <w:pStyle w:val="TableContents"/>
              <w:spacing w:before="0" w:after="1"/>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3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(loss)/income</w:t>
            </w:r>
          </w:p>
        </w:tc>
        <w:tc>
          <w:tcPr>
            <w:tcW w:w="326" w:type="dxa"/>
            <w:tcBorders/>
            <w:shd w:fill="auto" w:val="clear"/>
            <w:vAlign w:val="center"/>
          </w:tcPr>
          <w:p>
            <w:pPr>
              <w:pStyle w:val="TableContents"/>
              <w:spacing w:before="0" w:after="1"/>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(18,223)</w:t>
            </w:r>
          </w:p>
        </w:tc>
        <w:tc>
          <w:tcPr>
            <w:tcW w:w="326" w:type="dxa"/>
            <w:tcBorders/>
            <w:shd w:fill="auto" w:val="clear"/>
            <w:vAlign w:val="center"/>
          </w:tcPr>
          <w:p>
            <w:pPr>
              <w:pStyle w:val="TableContents"/>
              <w:spacing w:before="0" w:after="1"/>
              <w:ind w:left="0" w:right="0" w:hanging="0"/>
              <w:rPr/>
            </w:pPr>
            <w:r>
              <w:rPr/>
              <w:t> </w:t>
            </w:r>
          </w:p>
        </w:tc>
        <w:tc>
          <w:tcPr>
            <w:tcW w:w="26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(20,797)</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three months ended March 31, 2023, and 2022, our revenue consisted of $0.5 million and $15.0 million respectively, primarily from the OUI License Agreement Amendment with respect to payments from OUI in connection with commercial sales of Vaxzevria, which reduced due to lower sales in the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summarizes our research and development expenses for the three months ended March 31, 2023 and 2022 (in thousands):</w:t>
      </w:r>
    </w:p>
    <w:tbl>
      <w:tblPr>
        <w:tblW w:w="8783" w:type="dxa"/>
        <w:jc w:val="left"/>
        <w:tblInd w:w="0" w:type="dxa"/>
        <w:tblCellMar>
          <w:top w:w="0" w:type="dxa"/>
          <w:left w:w="0" w:type="dxa"/>
          <w:bottom w:w="0" w:type="dxa"/>
          <w:right w:w="0" w:type="dxa"/>
        </w:tblCellMar>
      </w:tblPr>
      <w:tblGrid>
        <w:gridCol w:w="4666"/>
        <w:gridCol w:w="326"/>
        <w:gridCol w:w="295"/>
        <w:gridCol w:w="801"/>
        <w:gridCol w:w="326"/>
        <w:gridCol w:w="260"/>
        <w:gridCol w:w="836"/>
        <w:gridCol w:w="326"/>
        <w:gridCol w:w="211"/>
        <w:gridCol w:w="736"/>
      </w:tblGrid>
      <w:tr>
        <w:trPr/>
        <w:tc>
          <w:tcPr>
            <w:tcW w:w="4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962910" cy="175260"/>
                      <wp:effectExtent l="0" t="0" r="0" b="0"/>
                      <wp:wrapNone/>
                      <wp:docPr id="167" name="Frame166"/>
                      <a:graphic xmlns:a="http://schemas.openxmlformats.org/drawingml/2006/main">
                        <a:graphicData uri="http://schemas.microsoft.com/office/word/2010/wordprocessingShape">
                          <wps:wsp>
                            <wps:cNvSpPr txBox="1"/>
                            <wps:spPr>
                              <a:xfrm>
                                <a:off x="0" y="0"/>
                                <a:ext cx="2962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7325" cy="175260"/>
                      <wp:effectExtent l="0" t="0" r="0" b="0"/>
                      <wp:wrapNone/>
                      <wp:docPr id="169" name="Frame168"/>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8635" cy="175260"/>
                      <wp:effectExtent l="0" t="0" r="0" b="0"/>
                      <wp:wrapNone/>
                      <wp:docPr id="170" name="Frame169"/>
                      <a:graphic xmlns:a="http://schemas.openxmlformats.org/drawingml/2006/main">
                        <a:graphicData uri="http://schemas.microsoft.com/office/word/2010/wordprocessingShape">
                          <wps:wsp>
                            <wps:cNvSpPr txBox="1"/>
                            <wps:spPr>
                              <a:xfrm>
                                <a:off x="0" y="0"/>
                                <a:ext cx="508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5100" cy="175260"/>
                      <wp:effectExtent l="0" t="0" r="0" b="0"/>
                      <wp:wrapNone/>
                      <wp:docPr id="172" name="Frame171"/>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0860" cy="175260"/>
                      <wp:effectExtent l="0" t="0" r="0" b="0"/>
                      <wp:wrapNone/>
                      <wp:docPr id="173" name="Frame172"/>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67360" cy="175260"/>
                      <wp:effectExtent l="0" t="0" r="0" b="0"/>
                      <wp:wrapNone/>
                      <wp:docPr id="176" name="Frame175"/>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6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jc w:val="center"/>
              <w:rPr/>
            </w:pPr>
            <w:r>
              <w:rPr/>
              <w:t>    </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    </w:t>
            </w:r>
          </w:p>
        </w:tc>
      </w:tr>
      <w:tr>
        <w:trPr/>
        <w:tc>
          <w:tcPr>
            <w:tcW w:w="46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March</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March</w:t>
            </w:r>
          </w:p>
        </w:tc>
        <w:tc>
          <w:tcPr>
            <w:tcW w:w="326" w:type="dxa"/>
            <w:tcBorders/>
            <w:shd w:fill="auto" w:val="clear"/>
            <w:vAlign w:val="center"/>
          </w:tcPr>
          <w:p>
            <w:pPr>
              <w:pStyle w:val="TableContents"/>
              <w:spacing w:before="0" w:after="1"/>
              <w:ind w:left="0" w:right="0" w:hanging="0"/>
              <w:jc w:val="center"/>
              <w:rPr/>
            </w:pPr>
            <w:r>
              <w:rPr/>
              <w:t>​</w:t>
            </w:r>
          </w:p>
        </w:tc>
        <w:tc>
          <w:tcPr>
            <w:tcW w:w="947" w:type="dxa"/>
            <w:gridSpan w:val="2"/>
            <w:tcBorders/>
            <w:shd w:fill="auto" w:val="clear"/>
            <w:vAlign w:val="center"/>
          </w:tcPr>
          <w:p>
            <w:pPr>
              <w:pStyle w:val="TableContents"/>
              <w:spacing w:before="0" w:after="1"/>
              <w:ind w:left="0" w:right="0" w:hanging="0"/>
              <w:jc w:val="center"/>
              <w:rPr/>
            </w:pPr>
            <w:r>
              <w:rPr/>
              <w:t>​</w:t>
            </w:r>
          </w:p>
        </w:tc>
      </w:tr>
      <w:tr>
        <w:trPr/>
        <w:tc>
          <w:tcPr>
            <w:tcW w:w="46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31, 2023</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31, 2022</w:t>
            </w:r>
          </w:p>
        </w:tc>
        <w:tc>
          <w:tcPr>
            <w:tcW w:w="326" w:type="dxa"/>
            <w:tcBorders/>
            <w:shd w:fill="auto" w:val="clear"/>
            <w:vAlign w:val="center"/>
          </w:tcPr>
          <w:p>
            <w:pPr>
              <w:pStyle w:val="TableContents"/>
              <w:spacing w:before="0" w:after="1"/>
              <w:ind w:left="0" w:right="0" w:hanging="0"/>
              <w:jc w:val="center"/>
              <w:rPr/>
            </w:pPr>
            <w:r>
              <w:rPr/>
              <w:t>​</w:t>
            </w:r>
          </w:p>
        </w:tc>
        <w:tc>
          <w:tcPr>
            <w:tcW w:w="9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 research and development expenses by program:</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w:t>
            </w:r>
          </w:p>
        </w:tc>
        <w:tc>
          <w:tcPr>
            <w:tcW w:w="8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w:t>
            </w:r>
          </w:p>
        </w:tc>
        <w:tc>
          <w:tcPr>
            <w:tcW w:w="8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  </w:t>
            </w:r>
          </w:p>
        </w:tc>
      </w:tr>
      <w:tr>
        <w:trPr/>
        <w:tc>
          <w:tcPr>
            <w:tcW w:w="4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VTP-200 HPV</w:t>
            </w:r>
          </w:p>
        </w:tc>
        <w:tc>
          <w:tcPr>
            <w:tcW w:w="326" w:type="dxa"/>
            <w:tcBorders/>
            <w:shd w:fill="auto" w:val="clear"/>
            <w:vAlign w:val="center"/>
          </w:tcPr>
          <w:p>
            <w:pPr>
              <w:pStyle w:val="TableContents"/>
              <w:spacing w:before="0" w:after="1"/>
              <w:ind w:left="0" w:right="0" w:hanging="0"/>
              <w:rPr/>
            </w:pPr>
            <w:r>
              <w:rPr/>
              <w:t> </w:t>
            </w:r>
          </w:p>
        </w:tc>
        <w:tc>
          <w:tcPr>
            <w:tcW w:w="29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1,338</w:t>
            </w:r>
          </w:p>
        </w:tc>
        <w:tc>
          <w:tcPr>
            <w:tcW w:w="326" w:type="dxa"/>
            <w:tcBorders/>
            <w:shd w:fill="auto" w:val="clear"/>
            <w:vAlign w:val="center"/>
          </w:tcPr>
          <w:p>
            <w:pPr>
              <w:pStyle w:val="TableContents"/>
              <w:spacing w:before="0" w:after="1"/>
              <w:ind w:left="0" w:right="0" w:hanging="0"/>
              <w:rPr/>
            </w:pPr>
            <w:r>
              <w:rPr/>
              <w:t> </w:t>
            </w:r>
          </w:p>
        </w:tc>
        <w:tc>
          <w:tcPr>
            <w:tcW w:w="26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4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VTP-300 HBV</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 </w:t>
            </w:r>
          </w:p>
        </w:tc>
        <w:tc>
          <w:tcPr>
            <w:tcW w:w="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2,118</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4,185</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r>
      <w:tr>
        <w:trPr/>
        <w:tc>
          <w:tcPr>
            <w:tcW w:w="4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VTP-600 NSCLC</w:t>
            </w:r>
          </w:p>
        </w:tc>
        <w:tc>
          <w:tcPr>
            <w:tcW w:w="326" w:type="dxa"/>
            <w:tcBorders/>
            <w:shd w:fill="auto" w:val="clear"/>
            <w:vAlign w:val="center"/>
          </w:tcPr>
          <w:p>
            <w:pPr>
              <w:pStyle w:val="TableContents"/>
              <w:spacing w:before="0" w:after="1"/>
              <w:ind w:left="0" w:right="0" w:hanging="0"/>
              <w:rPr/>
            </w:pPr>
            <w:r>
              <w:rPr/>
              <w:t> </w:t>
            </w:r>
          </w:p>
        </w:tc>
        <w:tc>
          <w:tcPr>
            <w:tcW w:w="295" w:type="dxa"/>
            <w:tcBorders/>
            <w:shd w:fill="auto" w:val="clear"/>
            <w:vAlign w:val="center"/>
          </w:tcPr>
          <w:p>
            <w:pPr>
              <w:pStyle w:val="TableContents"/>
              <w:spacing w:before="0" w:after="1"/>
              <w:ind w:left="0" w:right="0" w:hanging="0"/>
              <w:rPr/>
            </w:pPr>
            <w:r>
              <w:rPr/>
              <w:t> </w:t>
            </w:r>
          </w:p>
        </w:tc>
        <w:tc>
          <w:tcPr>
            <w:tcW w:w="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shd w:fill="auto" w:val="clear"/>
            <w:vAlign w:val="center"/>
          </w:tcPr>
          <w:p>
            <w:pPr>
              <w:pStyle w:val="TableContents"/>
              <w:spacing w:before="0" w:after="1"/>
              <w:ind w:left="0" w:right="0" w:hanging="0"/>
              <w:rPr/>
            </w:pPr>
            <w:r>
              <w:rPr/>
              <w:t> </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4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VTP-850 Prostate cancer</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 </w:t>
            </w:r>
          </w:p>
        </w:tc>
        <w:tc>
          <w:tcPr>
            <w:tcW w:w="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1,339</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4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VTP-1000/VTP-1100 (SNAPvax candidates)</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1,572</w:t>
            </w:r>
          </w:p>
        </w:tc>
      </w:tr>
      <w:tr>
        <w:trPr/>
        <w:tc>
          <w:tcPr>
            <w:tcW w:w="4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and earlier stage programs</w:t>
            </w:r>
          </w:p>
        </w:tc>
        <w:tc>
          <w:tcPr>
            <w:tcW w:w="326" w:type="dxa"/>
            <w:tcBorders/>
            <w:shd w:fill="CCEEFF" w:val="clear"/>
            <w:vAlign w:val="center"/>
          </w:tcPr>
          <w:p>
            <w:pPr>
              <w:pStyle w:val="TableContents"/>
              <w:spacing w:before="0" w:after="1"/>
              <w:ind w:left="0" w:right="0" w:hanging="0"/>
              <w:rPr/>
            </w:pPr>
            <w:r>
              <w:rPr/>
              <w:t> </w:t>
            </w:r>
          </w:p>
        </w:tc>
        <w:tc>
          <w:tcPr>
            <w:tcW w:w="29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shd w:fill="CCEEFF" w:val="clear"/>
            <w:vAlign w:val="center"/>
          </w:tcPr>
          <w:p>
            <w:pPr>
              <w:pStyle w:val="TableContents"/>
              <w:spacing w:before="0" w:after="1"/>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4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direct research and development expenses</w:t>
            </w:r>
          </w:p>
        </w:tc>
        <w:tc>
          <w:tcPr>
            <w:tcW w:w="326"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5,798</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7,581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(1,783)</w:t>
            </w:r>
          </w:p>
        </w:tc>
      </w:tr>
      <w:tr>
        <w:trPr/>
        <w:tc>
          <w:tcPr>
            <w:tcW w:w="4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Internal research and development expenses:</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 </w:t>
            </w:r>
          </w:p>
        </w:tc>
        <w:tc>
          <w:tcPr>
            <w:tcW w:w="8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r>
      <w:tr>
        <w:trPr/>
        <w:tc>
          <w:tcPr>
            <w:tcW w:w="4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Personnel-related (including share-based compensation)</w:t>
            </w:r>
          </w:p>
        </w:tc>
        <w:tc>
          <w:tcPr>
            <w:tcW w:w="326" w:type="dxa"/>
            <w:tcBorders/>
            <w:shd w:fill="auto" w:val="clear"/>
            <w:vAlign w:val="center"/>
          </w:tcPr>
          <w:p>
            <w:pPr>
              <w:pStyle w:val="TableContents"/>
              <w:spacing w:before="0" w:after="1"/>
              <w:ind w:left="0" w:right="0" w:hanging="0"/>
              <w:rPr/>
            </w:pPr>
            <w:r>
              <w:rPr/>
              <w:t> </w:t>
            </w:r>
          </w:p>
        </w:tc>
        <w:tc>
          <w:tcPr>
            <w:tcW w:w="295" w:type="dxa"/>
            <w:tcBorders/>
            <w:shd w:fill="auto" w:val="clear"/>
            <w:vAlign w:val="center"/>
          </w:tcPr>
          <w:p>
            <w:pPr>
              <w:pStyle w:val="TableContents"/>
              <w:spacing w:before="0" w:after="1"/>
              <w:ind w:left="0" w:right="0" w:hanging="0"/>
              <w:rPr/>
            </w:pPr>
            <w:r>
              <w:rPr/>
              <w:t> </w:t>
            </w:r>
          </w:p>
        </w:tc>
        <w:tc>
          <w:tcPr>
            <w:tcW w:w="8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shd w:fill="auto" w:val="clear"/>
            <w:vAlign w:val="center"/>
          </w:tcPr>
          <w:p>
            <w:pPr>
              <w:pStyle w:val="TableContents"/>
              <w:spacing w:before="0" w:after="1"/>
              <w:ind w:left="0" w:right="0" w:hanging="0"/>
              <w:rPr/>
            </w:pPr>
            <w:r>
              <w:rPr/>
              <w:t> </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2,726</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r>
      <w:tr>
        <w:trPr/>
        <w:tc>
          <w:tcPr>
            <w:tcW w:w="4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Facility related</w:t>
            </w:r>
          </w:p>
        </w:tc>
        <w:tc>
          <w:tcPr>
            <w:tcW w:w="326" w:type="dxa"/>
            <w:tcBorders/>
            <w:shd w:fill="CCEEFF" w:val="clear"/>
            <w:vAlign w:val="center"/>
          </w:tcPr>
          <w:p>
            <w:pPr>
              <w:pStyle w:val="TableContents"/>
              <w:spacing w:before="0" w:after="1"/>
              <w:ind w:left="0" w:right="0" w:hanging="0"/>
              <w:rPr/>
            </w:pPr>
            <w:r>
              <w:rPr/>
              <w:t> </w:t>
            </w:r>
          </w:p>
        </w:tc>
        <w:tc>
          <w:tcPr>
            <w:tcW w:w="295" w:type="dxa"/>
            <w:tcBorders/>
            <w:shd w:fill="CCEEFF" w:val="clear"/>
            <w:vAlign w:val="center"/>
          </w:tcPr>
          <w:p>
            <w:pPr>
              <w:pStyle w:val="TableContents"/>
              <w:spacing w:before="0" w:after="1"/>
              <w:ind w:left="0" w:right="0" w:hanging="0"/>
              <w:rPr/>
            </w:pPr>
            <w:r>
              <w:rPr/>
              <w:t> </w:t>
            </w:r>
          </w:p>
        </w:tc>
        <w:tc>
          <w:tcPr>
            <w:tcW w:w="8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spacing w:before="0" w:after="1"/>
              <w:ind w:left="0" w:right="0" w:hanging="0"/>
              <w:rPr/>
            </w:pPr>
            <w:r>
              <w:rPr/>
              <w:t> </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internal costs</w:t>
            </w:r>
          </w:p>
        </w:tc>
        <w:tc>
          <w:tcPr>
            <w:tcW w:w="326" w:type="dxa"/>
            <w:tcBorders/>
            <w:shd w:fill="auto" w:val="clear"/>
            <w:vAlign w:val="center"/>
          </w:tcPr>
          <w:p>
            <w:pPr>
              <w:pStyle w:val="TableContents"/>
              <w:spacing w:before="0" w:after="1"/>
              <w:ind w:left="0" w:right="0" w:hanging="0"/>
              <w:rPr/>
            </w:pPr>
            <w:r>
              <w:rPr/>
              <w:t> </w:t>
            </w:r>
          </w:p>
        </w:tc>
        <w:tc>
          <w:tcPr>
            <w:tcW w:w="29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1"/>
              <w:ind w:left="0" w:right="0" w:hanging="0"/>
              <w:rPr/>
            </w:pPr>
            <w:r>
              <w:rPr/>
              <w:t> </w:t>
            </w:r>
          </w:p>
        </w:tc>
        <w:tc>
          <w:tcPr>
            <w:tcW w:w="26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internal research and development expenses</w:t>
            </w:r>
          </w:p>
        </w:tc>
        <w:tc>
          <w:tcPr>
            <w:tcW w:w="326" w:type="dxa"/>
            <w:tcBorders/>
            <w:shd w:fill="CCEEFF" w:val="clear"/>
            <w:vAlign w:val="center"/>
          </w:tcPr>
          <w:p>
            <w:pPr>
              <w:pStyle w:val="TableContents"/>
              <w:spacing w:before="0" w:after="1"/>
              <w:ind w:left="0" w:right="0" w:hanging="0"/>
              <w:rPr/>
            </w:pPr>
            <w:r>
              <w:rPr/>
              <w:t> </w:t>
            </w:r>
          </w:p>
        </w:tc>
        <w:tc>
          <w:tcPr>
            <w:tcW w:w="29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4,016</w:t>
            </w:r>
          </w:p>
        </w:tc>
        <w:tc>
          <w:tcPr>
            <w:tcW w:w="326" w:type="dxa"/>
            <w:tcBorders/>
            <w:shd w:fill="CCEEFF" w:val="clear"/>
            <w:vAlign w:val="center"/>
          </w:tcPr>
          <w:p>
            <w:pPr>
              <w:pStyle w:val="TableContents"/>
              <w:spacing w:before="0" w:after="1"/>
              <w:ind w:left="0" w:right="0" w:hanging="0"/>
              <w:rPr/>
            </w:pPr>
            <w:r>
              <w:rPr/>
              <w:t> </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3,120</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4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shd w:fill="auto" w:val="clear"/>
            <w:vAlign w:val="center"/>
          </w:tcPr>
          <w:p>
            <w:pPr>
              <w:pStyle w:val="TableContents"/>
              <w:spacing w:before="0" w:after="1"/>
              <w:ind w:left="0" w:right="0" w:hanging="0"/>
              <w:rPr/>
            </w:pPr>
            <w:r>
              <w:rPr/>
              <w:t> </w:t>
            </w:r>
          </w:p>
        </w:tc>
        <w:tc>
          <w:tcPr>
            <w:tcW w:w="29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9,814</w:t>
            </w:r>
          </w:p>
        </w:tc>
        <w:tc>
          <w:tcPr>
            <w:tcW w:w="326" w:type="dxa"/>
            <w:tcBorders/>
            <w:shd w:fill="auto" w:val="clear"/>
            <w:vAlign w:val="center"/>
          </w:tcPr>
          <w:p>
            <w:pPr>
              <w:pStyle w:val="TableContents"/>
              <w:spacing w:before="0" w:after="1"/>
              <w:ind w:left="0" w:right="0" w:hanging="0"/>
              <w:rPr/>
            </w:pPr>
            <w:r>
              <w:rPr/>
              <w:t> </w:t>
            </w:r>
          </w:p>
        </w:tc>
        <w:tc>
          <w:tcPr>
            <w:tcW w:w="26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10,701</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Our research and development expenses for the three months ended March 31, 2023 and 2022 were $9.8 million and $10.7 million, respectively.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Direct expenses for the three months ended March 31, 2023 and 2022 were $5.8 million and $7.6 million, respectively, and consisted of outside services, consultants, laboratory materials, clinical trials, manufacturing of clinical trial materials, as well as costs for external preclinical services and sample testing. Of the $1.8 million decrease, $2.1 million pertains to VTP-300, as a result of completing the HBV002 Phase 2 clinical trial with topline data announced in March 2023, and continuing enrollment in the HBV003 Phase 2 clinical and the AB-729-202 Phase 2a clinical collaboration with Arbutus. $1.1 million of the decrease pertains to VTP-850, which progressed to FDA clearance of our IND for PCA001 in December 2022, and is screening patients currently. These decreases were offset by a $1.5 million increase that pertains to the commencement of VTP-1000 Celiac disease and VTP-1100 HPV cancer programs in the second quarter of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Internal research and development expenses for the three months ended March 31, 2023 and 2022 were $4.0 million and $3.1 million, respectively. Of the $0.9 million increase, $0.9 million pertains to personnel-related expenses as a result of the relative increase in headcount across locations in the United Kingdom and United States.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General and administrative expenses for the three months ended March 31, 2023 were $12.1 million mainly attributable to personnel expense of $3.4 million, including share-based payment charge of $1.1 million, foreign exchange loss of $3.5 million, insurance cost of $1.6 million, legal and professional fees of $1.2 million and other expenses of $1.8 million.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General and administrative expenses for the three months ended March 31, 2022 were $3.7 million, which were mainly attributable to personnel expenses of $4.3 million, including the share-based payment charge of $3.1 million, insurance costs of $1.7 million and legal and professional fees of $1.3 million, netted by unrealized foreign exchange gain on cash balances of $5.3 million.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Income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three months ended March 31, 2023, interest income was $1.6 million resulting from the interest earned on our short-term cash deposits held by Vaccitech (UK) Limited in United States dollars. For the three months ended March 31, 2022, interest income was less than $0.1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Incentives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For the three months ended March 31, 2023 and 2022 research and development incentives were $1.2 million and $1.0 million, respectively. Such research and development incentives relate to corporation tax relief on research and development projects incentive programs in the United Kingdom.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Tax benefit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three months ended March 31, 2023 and 2022, the tax benefit was $0.5 million and $0.9 million respectively, which primarily relates to movements in deferred tax.</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Sources of Liquidity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upfront, royalty and milestone payments from OUI in connection with the OUI License Agreement Amendment. Through March 31, 2023, we had received gross proceeds of approximately $327.3 million from the issuance of our ordinary and preferred shares and convertible loan notes. As of March 31, 2023, we had cash and cash equivalents of $191.3 million. Key financing and corporate milestones include the following:</w:t>
      </w:r>
    </w:p>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2016, we raised gross proceeds of approximately $14.0 million from the issuance of our seed round of ordinary shares;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November 2017 and December 2018, we raised gross proceeds of $33.9 million from the issuance of our series A shares;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2020 and November 2020, we raised gross proceeds of $41.2 million from the issuance of convertible loan notes;</w:t>
            </w:r>
          </w:p>
        </w:tc>
      </w:tr>
    </w:tbl>
    <w:tbl>
      <w:tblPr>
        <w:tblW w:w="8417" w:type="dxa"/>
        <w:jc w:val="left"/>
        <w:tblInd w:w="0" w:type="dxa"/>
        <w:tblCellMar>
          <w:top w:w="0" w:type="dxa"/>
          <w:left w:w="0" w:type="dxa"/>
          <w:bottom w:w="0" w:type="dxa"/>
          <w:right w:w="0" w:type="dxa"/>
        </w:tblCellMar>
      </w:tblPr>
      <w:tblGrid>
        <w:gridCol w:w="271"/>
        <w:gridCol w:w="8146"/>
      </w:tblGrid>
      <w:tr>
        <w:trPr/>
        <w:tc>
          <w:tcPr>
            <w:tcW w:w="271" w:type="dxa"/>
            <w:tcBorders/>
            <w:shd w:fill="auto" w:val="clear"/>
            <w:vAlign w:val="center"/>
          </w:tcPr>
          <w:p>
            <w:pPr>
              <w:pStyle w:val="TableContents"/>
              <w:spacing w:before="0" w:after="283"/>
              <w:rPr/>
            </w:pPr>
            <w:r>
              <w:rPr/>
              <w:t>●</w:t>
            </w:r>
          </w:p>
        </w:tc>
        <w:tc>
          <w:tcPr>
            <w:tcW w:w="81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we raised gross proceeds of $125.2 million from the issuance of our series B shares;</w:t>
            </w:r>
          </w:p>
        </w:tc>
      </w:tr>
    </w:tbl>
    <w:tbl>
      <w:tblPr>
        <w:tblW w:w="10472" w:type="dxa"/>
        <w:jc w:val="left"/>
        <w:tblInd w:w="0" w:type="dxa"/>
        <w:tblCellMar>
          <w:top w:w="0" w:type="dxa"/>
          <w:left w:w="0" w:type="dxa"/>
          <w:bottom w:w="0" w:type="dxa"/>
          <w:right w:w="0" w:type="dxa"/>
        </w:tblCellMar>
      </w:tblPr>
      <w:tblGrid>
        <w:gridCol w:w="271"/>
        <w:gridCol w:w="10201"/>
      </w:tblGrid>
      <w:tr>
        <w:trPr/>
        <w:tc>
          <w:tcPr>
            <w:tcW w:w="271" w:type="dxa"/>
            <w:tcBorders/>
            <w:shd w:fill="auto" w:val="clear"/>
            <w:vAlign w:val="center"/>
          </w:tcPr>
          <w:p>
            <w:pPr>
              <w:pStyle w:val="TableContents"/>
              <w:spacing w:before="0" w:after="283"/>
              <w:rPr/>
            </w:pPr>
            <w:r>
              <w:rPr/>
              <w:t>●</w:t>
            </w:r>
          </w:p>
        </w:tc>
        <w:tc>
          <w:tcPr>
            <w:tcW w:w="102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we raised gross proceeds of $110.5 million from the initial public offering of our ordinary shares on NASDAQ;</w:t>
            </w:r>
          </w:p>
        </w:tc>
      </w:tr>
    </w:tbl>
    <w:tbl>
      <w:tblPr>
        <w:tblW w:w="10187" w:type="dxa"/>
        <w:jc w:val="left"/>
        <w:tblInd w:w="0" w:type="dxa"/>
        <w:tblCellMar>
          <w:top w:w="0" w:type="dxa"/>
          <w:left w:w="0" w:type="dxa"/>
          <w:bottom w:w="0" w:type="dxa"/>
          <w:right w:w="0" w:type="dxa"/>
        </w:tblCellMar>
      </w:tblPr>
      <w:tblGrid>
        <w:gridCol w:w="271"/>
        <w:gridCol w:w="9916"/>
      </w:tblGrid>
      <w:tr>
        <w:trPr/>
        <w:tc>
          <w:tcPr>
            <w:tcW w:w="271" w:type="dxa"/>
            <w:tcBorders/>
            <w:shd w:fill="auto" w:val="clear"/>
            <w:vAlign w:val="center"/>
          </w:tcPr>
          <w:p>
            <w:pPr>
              <w:pStyle w:val="TableContents"/>
              <w:spacing w:before="0" w:after="283"/>
              <w:rPr/>
            </w:pPr>
            <w:r>
              <w:rPr/>
              <w:t>●</w:t>
            </w:r>
          </w:p>
        </w:tc>
        <w:tc>
          <w:tcPr>
            <w:tcW w:w="99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2022 and March 2023, we received $43.4 million of cash from OUI for the commercial sales of Vaxzevria;</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December 2022 and March 2023, we raised net proceeds of $2.5 million from the issuance of shares represented by ADSs through “at-the-market” offerings under the sales agreement with Jefferies LLC.</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March 31, 2023, we have sold 945,835 ordinary shares represented by ADSs under the sales agreement amounting to net proceeds of $2.5 million.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do not currently expect positive cash flows from operations in the foreseeable future, if at all. Historically, we have incurred operating losses as a result of ongoing efforts to develop our heterologous ChAdOx1-MVA prime-boost immunotherapy platform and our product candidates, including conducting ongoing research and development, preclinical studies, clinical trials, providing general 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sets forth a summary of the primary sources and uses of cash (in thousands) for each period presented:</w:t>
      </w:r>
    </w:p>
    <w:tbl>
      <w:tblPr>
        <w:tblW w:w="7343" w:type="dxa"/>
        <w:jc w:val="left"/>
        <w:tblInd w:w="0" w:type="dxa"/>
        <w:tblCellMar>
          <w:top w:w="0" w:type="dxa"/>
          <w:left w:w="0" w:type="dxa"/>
          <w:bottom w:w="0" w:type="dxa"/>
          <w:right w:w="0" w:type="dxa"/>
        </w:tblCellMar>
      </w:tblPr>
      <w:tblGrid>
        <w:gridCol w:w="4456"/>
        <w:gridCol w:w="326"/>
        <w:gridCol w:w="256"/>
        <w:gridCol w:w="839"/>
        <w:gridCol w:w="326"/>
        <w:gridCol w:w="228"/>
        <w:gridCol w:w="912"/>
      </w:tblGrid>
      <w:tr>
        <w:trPr/>
        <w:tc>
          <w:tcPr>
            <w:tcW w:w="4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829560" cy="175260"/>
                      <wp:effectExtent l="0" t="0" r="0" b="0"/>
                      <wp:wrapNone/>
                      <wp:docPr id="177" name="Frame176"/>
                      <a:graphic xmlns:a="http://schemas.openxmlformats.org/drawingml/2006/main">
                        <a:graphicData uri="http://schemas.microsoft.com/office/word/2010/wordprocessingShape">
                          <wps:wsp>
                            <wps:cNvSpPr txBox="1"/>
                            <wps:spPr>
                              <a:xfrm>
                                <a:off x="0" y="0"/>
                                <a:ext cx="2829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62560" cy="175260"/>
                      <wp:effectExtent l="0" t="0" r="0" b="0"/>
                      <wp:wrapNone/>
                      <wp:docPr id="179" name="Frame178"/>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32765" cy="175260"/>
                      <wp:effectExtent l="0" t="0" r="0" b="0"/>
                      <wp:wrapNone/>
                      <wp:docPr id="180" name="Frame179"/>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4780" cy="175260"/>
                      <wp:effectExtent l="0" t="0" r="0" b="0"/>
                      <wp:wrapNone/>
                      <wp:docPr id="182" name="Frame181"/>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79120" cy="175260"/>
                      <wp:effectExtent l="0" t="0" r="0" b="0"/>
                      <wp:wrapNone/>
                      <wp:docPr id="183" name="Frame182"/>
                      <a:graphic xmlns:a="http://schemas.openxmlformats.org/drawingml/2006/main">
                        <a:graphicData uri="http://schemas.microsoft.com/office/word/2010/wordprocessingShape">
                          <wps:wsp>
                            <wps:cNvSpPr txBox="1"/>
                            <wps:spPr>
                              <a:xfrm>
                                <a:off x="0" y="0"/>
                                <a:ext cx="579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March</w:t>
            </w:r>
          </w:p>
        </w:tc>
        <w:tc>
          <w:tcPr>
            <w:tcW w:w="326" w:type="dxa"/>
            <w:tcBorders/>
            <w:shd w:fill="auto" w:val="clear"/>
            <w:vAlign w:val="center"/>
          </w:tcPr>
          <w:p>
            <w:pPr>
              <w:pStyle w:val="TableContents"/>
              <w:spacing w:before="0" w:after="0"/>
              <w:ind w:left="0" w:right="0" w:hanging="0"/>
              <w:jc w:val="center"/>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March</w: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31, 2023</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31, 2022</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(3,174)</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(6,579)</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(2,507)</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9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(1,092)</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 </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(5,628)</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(decrease)/increase in cash and cash equivalents</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(13,458)</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Used in Operating Activities</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During the three months ended March 31, 2023, net cash used in operating activities was $3.2 million, primarily resulting from our net loss of $18.2 million adjusted by share based compensation of $2.2 million, depreciation and amortization of $1.2 million, foreign exchange gain of $3.5 million, and changes in our operating assets and liabilities, net of $8.3 million.</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During the three months ended March 31, 2022, net cash used in operating activities was $6.6 million, primarily resulting from our net income of $2.6 million, adjusted by share based compensation of $3.9 million, depreciation of $1.0 million and changes in our operating assets and liabilities, net of $13.6 million.</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Net Cash Used in Investing Activities</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During the three months ended March 31, 2023, cash used in investing activities was $2.5 million primarily resulting from capital expenditures related to leasehold improvements on our new office in Germantown, Maryland, United States. During the three months ended March 31, 2022, cash used in investing activities was $1.1 million, primarily resulting from capital expenditure related to our corporate headquarters in Harwell, United Kingdom.</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Net Cash Provided by/(Used in) Financing Activities</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 xml:space="preserve">During the three months ended March 31, 2023, cash provided by financing activities was $1.7 million mainly as a result of net proceeds from the issuance of ordinary shares through the “at-the-market” sales agreement. During the three months ended March 31, 2022, cash used in financing activities was $0.2 million from the repayment of debt incurred previously by the acquired company Avidea (acquired on December 10, 2021, and subsequently became Vaccitech North America, Inc.). </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Effect of exchange rates on cash and cash equivalents</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During the three months ended March 31, 2023 and 2022, the effect of foreign exchange on cash and cash equivalents was gain of $1.0 million and loss of $5.6 million respectively, primarily as a result of fluctuations between the United States dollar and pound sterling exchange rates.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Future Funding Requirements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through to December 31, 2021. We were profitable in 2022, however we have negative operating cash flows as March 31, 2023. As of March 31, 2023, we had an accumulated deficit of $121.4 million. We expect to continue to incur significant losses and negative cash flows from operations for the foreseeable future. We anticipate that our expenses will increase substantially as we:</w:t>
      </w:r>
    </w:p>
    <w:tbl>
      <w:tblPr>
        <w:tblW w:w="7082" w:type="dxa"/>
        <w:jc w:val="left"/>
        <w:tblInd w:w="0" w:type="dxa"/>
        <w:tblCellMar>
          <w:top w:w="0" w:type="dxa"/>
          <w:left w:w="0" w:type="dxa"/>
          <w:bottom w:w="0" w:type="dxa"/>
          <w:right w:w="0" w:type="dxa"/>
        </w:tblCellMar>
      </w:tblPr>
      <w:tblGrid>
        <w:gridCol w:w="271"/>
        <w:gridCol w:w="6811"/>
      </w:tblGrid>
      <w:tr>
        <w:trPr/>
        <w:tc>
          <w:tcPr>
            <w:tcW w:w="271" w:type="dxa"/>
            <w:tcBorders/>
            <w:shd w:fill="auto" w:val="clear"/>
            <w:vAlign w:val="center"/>
          </w:tcPr>
          <w:p>
            <w:pPr>
              <w:pStyle w:val="TableContents"/>
              <w:spacing w:before="0" w:after="283"/>
              <w:rPr/>
            </w:pPr>
            <w:r>
              <w:rPr/>
              <w:t>●</w:t>
            </w:r>
          </w:p>
        </w:tc>
        <w:tc>
          <w:tcPr>
            <w:tcW w:w="68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the clinical and preclinical development of our current product candidates;</w:t>
            </w:r>
          </w:p>
        </w:tc>
      </w:tr>
    </w:tbl>
    <w:tbl>
      <w:tblPr>
        <w:tblW w:w="8972" w:type="dxa"/>
        <w:jc w:val="left"/>
        <w:tblInd w:w="0" w:type="dxa"/>
        <w:tblCellMar>
          <w:top w:w="0" w:type="dxa"/>
          <w:left w:w="0" w:type="dxa"/>
          <w:bottom w:w="0" w:type="dxa"/>
          <w:right w:w="0" w:type="dxa"/>
        </w:tblCellMar>
      </w:tblPr>
      <w:tblGrid>
        <w:gridCol w:w="271"/>
        <w:gridCol w:w="8701"/>
      </w:tblGrid>
      <w:tr>
        <w:trPr/>
        <w:tc>
          <w:tcPr>
            <w:tcW w:w="271" w:type="dxa"/>
            <w:tcBorders/>
            <w:shd w:fill="auto" w:val="clear"/>
            <w:vAlign w:val="center"/>
          </w:tcPr>
          <w:p>
            <w:pPr>
              <w:pStyle w:val="TableContents"/>
              <w:spacing w:before="0" w:after="283"/>
              <w:rPr/>
            </w:pPr>
            <w:r>
              <w:rPr/>
              <w:t>●</w:t>
            </w:r>
          </w:p>
        </w:tc>
        <w:tc>
          <w:tcPr>
            <w:tcW w:w="87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our technologies to advance additional product candidates into preclinical and clinical development;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642" w:type="dxa"/>
        <w:jc w:val="left"/>
        <w:tblInd w:w="0" w:type="dxa"/>
        <w:tblCellMar>
          <w:top w:w="0" w:type="dxa"/>
          <w:left w:w="0" w:type="dxa"/>
          <w:bottom w:w="0" w:type="dxa"/>
          <w:right w:w="0" w:type="dxa"/>
        </w:tblCellMar>
      </w:tblPr>
      <w:tblGrid>
        <w:gridCol w:w="271"/>
        <w:gridCol w:w="8371"/>
      </w:tblGrid>
      <w:tr>
        <w:trPr/>
        <w:tc>
          <w:tcPr>
            <w:tcW w:w="271" w:type="dxa"/>
            <w:tcBorders/>
            <w:shd w:fill="auto" w:val="clear"/>
            <w:vAlign w:val="center"/>
          </w:tcPr>
          <w:p>
            <w:pPr>
              <w:pStyle w:val="TableContents"/>
              <w:spacing w:before="0" w:after="283"/>
              <w:rPr/>
            </w:pPr>
            <w:r>
              <w:rPr/>
              <w:t>●</w:t>
            </w:r>
          </w:p>
        </w:tc>
        <w:tc>
          <w:tcPr>
            <w:tcW w:w="83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authorizations for product candidates that successfully complete clinical trials, if any;</w:t>
            </w:r>
          </w:p>
        </w:tc>
      </w:tr>
    </w:tbl>
    <w:tbl>
      <w:tblPr>
        <w:tblW w:w="8477" w:type="dxa"/>
        <w:jc w:val="left"/>
        <w:tblInd w:w="0" w:type="dxa"/>
        <w:tblCellMar>
          <w:top w:w="0" w:type="dxa"/>
          <w:left w:w="0" w:type="dxa"/>
          <w:bottom w:w="0" w:type="dxa"/>
          <w:right w:w="0" w:type="dxa"/>
        </w:tblCellMar>
      </w:tblPr>
      <w:tblGrid>
        <w:gridCol w:w="271"/>
        <w:gridCol w:w="8206"/>
      </w:tblGrid>
      <w:tr>
        <w:trPr/>
        <w:tc>
          <w:tcPr>
            <w:tcW w:w="271" w:type="dxa"/>
            <w:tcBorders/>
            <w:shd w:fill="auto" w:val="clear"/>
            <w:vAlign w:val="center"/>
          </w:tcPr>
          <w:p>
            <w:pPr>
              <w:pStyle w:val="TableContents"/>
              <w:spacing w:before="0" w:after="283"/>
              <w:rPr/>
            </w:pPr>
            <w:r>
              <w:rPr/>
              <w:t>●</w:t>
            </w:r>
          </w:p>
        </w:tc>
        <w:tc>
          <w:tcPr>
            <w:tcW w:w="82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hire and retain additional clinical, regulatory, quality control and other scientific personnel;</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our manufacturing capabilities through third parties or by ourselves and scale-up manufacturing to provide adequate supply for clinical trials and commercialization, including any manufacturing finishing and logistics personnel;</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operational, financial and management systems and increase personnel appropriately, including personnel to support our manufacturing and commercialization efforts and our operations as a public company;</w:t>
            </w:r>
          </w:p>
        </w:tc>
      </w:tr>
    </w:tbl>
    <w:tbl>
      <w:tblPr>
        <w:tblW w:w="7562" w:type="dxa"/>
        <w:jc w:val="left"/>
        <w:tblInd w:w="0" w:type="dxa"/>
        <w:tblCellMar>
          <w:top w:w="0" w:type="dxa"/>
          <w:left w:w="0" w:type="dxa"/>
          <w:bottom w:w="0" w:type="dxa"/>
          <w:right w:w="0" w:type="dxa"/>
        </w:tblCellMar>
      </w:tblPr>
      <w:tblGrid>
        <w:gridCol w:w="271"/>
        <w:gridCol w:w="7291"/>
      </w:tblGrid>
      <w:tr>
        <w:trPr/>
        <w:tc>
          <w:tcPr>
            <w:tcW w:w="271" w:type="dxa"/>
            <w:tcBorders/>
            <w:shd w:fill="auto" w:val="clear"/>
            <w:vAlign w:val="center"/>
          </w:tcPr>
          <w:p>
            <w:pPr>
              <w:pStyle w:val="TableContents"/>
              <w:spacing w:before="0" w:after="283"/>
              <w:rPr/>
            </w:pPr>
            <w:r>
              <w:rPr/>
              <w:t>●</w:t>
            </w:r>
          </w:p>
        </w:tc>
        <w:tc>
          <w:tcPr>
            <w:tcW w:w="72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enforce, and protect our intellectual property portfolio as appropriate;</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medical affairs and distribution teams and infrastructure to commercialize any products for which we may obtain marketing approval and intend to commercialize on our own or jointly;</w:t>
            </w:r>
          </w:p>
        </w:tc>
      </w:tr>
    </w:tbl>
    <w:tbl>
      <w:tblPr>
        <w:tblW w:w="6932" w:type="dxa"/>
        <w:jc w:val="left"/>
        <w:tblInd w:w="0" w:type="dxa"/>
        <w:tblCellMar>
          <w:top w:w="0" w:type="dxa"/>
          <w:left w:w="0" w:type="dxa"/>
          <w:bottom w:w="0" w:type="dxa"/>
          <w:right w:w="0" w:type="dxa"/>
        </w:tblCellMar>
      </w:tblPr>
      <w:tblGrid>
        <w:gridCol w:w="271"/>
        <w:gridCol w:w="6661"/>
      </w:tblGrid>
      <w:tr>
        <w:trPr/>
        <w:tc>
          <w:tcPr>
            <w:tcW w:w="271" w:type="dxa"/>
            <w:tcBorders/>
            <w:shd w:fill="auto" w:val="clear"/>
            <w:vAlign w:val="center"/>
          </w:tcPr>
          <w:p>
            <w:pPr>
              <w:pStyle w:val="TableContents"/>
              <w:spacing w:before="0" w:after="283"/>
              <w:rPr/>
            </w:pPr>
            <w:r>
              <w:rPr/>
              <w:t>●</w:t>
            </w:r>
          </w:p>
        </w:tc>
        <w:tc>
          <w:tcPr>
            <w:tcW w:w="66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other companies, product candidates and technologies; and</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our business, including office expansion and the additional costs associated with operating as a public company.</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Since our foundation, we have invested a significant portion of our efforts and financial resources in research and development activities for our ChAdOx1, ChAdOx2 and MVA technologies, acquisition of additional complementary platforms such as SNAPvax,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future capital requirements may depend on many factors, including:</w:t>
      </w:r>
    </w:p>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researching and developing our current and future product candidates and programs, and of conducting preclinical studies and clinical trials;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other product candidates that we may pursue, and of other indications for our current product candidates that we may pursue;</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stability, scale and yield of future manufacturing processes as we scale-up production and formulation of our product candidates either internally or externally for later stages of development and commercialization;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tc>
      </w:tr>
    </w:tbl>
    <w:tbl>
      <w:tblPr>
        <w:tblW w:w="9992" w:type="dxa"/>
        <w:jc w:val="left"/>
        <w:tblInd w:w="0" w:type="dxa"/>
        <w:tblCellMar>
          <w:top w:w="0" w:type="dxa"/>
          <w:left w:w="0" w:type="dxa"/>
          <w:bottom w:w="0" w:type="dxa"/>
          <w:right w:w="0" w:type="dxa"/>
        </w:tblCellMar>
      </w:tblPr>
      <w:tblGrid>
        <w:gridCol w:w="271"/>
        <w:gridCol w:w="9721"/>
      </w:tblGrid>
      <w:tr>
        <w:trPr/>
        <w:tc>
          <w:tcPr>
            <w:tcW w:w="271" w:type="dxa"/>
            <w:tcBorders/>
            <w:shd w:fill="auto" w:val="clear"/>
            <w:vAlign w:val="center"/>
          </w:tcPr>
          <w:p>
            <w:pPr>
              <w:pStyle w:val="TableContents"/>
              <w:spacing w:before="0" w:after="283"/>
              <w:rPr/>
            </w:pPr>
            <w:r>
              <w:rPr/>
              <w:t>●</w:t>
            </w:r>
          </w:p>
        </w:tc>
        <w:tc>
          <w:tcPr>
            <w:tcW w:w="97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collaborations with CanSino, CRUK and the Ludwig Institute and any future collaboration partners;</w:t>
            </w:r>
          </w:p>
        </w:tc>
      </w:tr>
    </w:tbl>
    <w:tbl>
      <w:tblPr>
        <w:tblW w:w="5792" w:type="dxa"/>
        <w:jc w:val="left"/>
        <w:tblInd w:w="0" w:type="dxa"/>
        <w:tblCellMar>
          <w:top w:w="0" w:type="dxa"/>
          <w:left w:w="0" w:type="dxa"/>
          <w:bottom w:w="0" w:type="dxa"/>
          <w:right w:w="0" w:type="dxa"/>
        </w:tblCellMar>
      </w:tblPr>
      <w:tblGrid>
        <w:gridCol w:w="271"/>
        <w:gridCol w:w="5521"/>
      </w:tblGrid>
      <w:tr>
        <w:trPr/>
        <w:tc>
          <w:tcPr>
            <w:tcW w:w="271" w:type="dxa"/>
            <w:tcBorders/>
            <w:shd w:fill="auto" w:val="clear"/>
            <w:vAlign w:val="center"/>
          </w:tcPr>
          <w:p>
            <w:pPr>
              <w:pStyle w:val="TableContents"/>
              <w:spacing w:before="0" w:after="283"/>
              <w:rPr/>
            </w:pPr>
            <w:r>
              <w:rPr/>
              <w:t>●</w:t>
            </w:r>
          </w:p>
        </w:tc>
        <w:tc>
          <w:tcPr>
            <w:tcW w:w="55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OUI’s licensed product candidate with AstraZeneca;</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strategic licensing or other arrangements and the financial terms of such agreements;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to the company of commercialization activities for our current and future product candidates that we may take on, whether alone or with a collaborator;</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expanding, defending and enforcing patent and other intellectual property claims, including litigation costs and the outcome of such litigation;</w:t>
            </w:r>
          </w:p>
        </w:tc>
      </w:tr>
    </w:tbl>
    <w:tbl>
      <w:tblPr>
        <w:tblW w:w="9107" w:type="dxa"/>
        <w:jc w:val="left"/>
        <w:tblInd w:w="0" w:type="dxa"/>
        <w:tblCellMar>
          <w:top w:w="0" w:type="dxa"/>
          <w:left w:w="0" w:type="dxa"/>
          <w:bottom w:w="0" w:type="dxa"/>
          <w:right w:w="0" w:type="dxa"/>
        </w:tblCellMar>
      </w:tblPr>
      <w:tblGrid>
        <w:gridCol w:w="271"/>
        <w:gridCol w:w="8836"/>
      </w:tblGrid>
      <w:tr>
        <w:trPr/>
        <w:tc>
          <w:tcPr>
            <w:tcW w:w="271" w:type="dxa"/>
            <w:tcBorders/>
            <w:shd w:fill="auto" w:val="clear"/>
            <w:vAlign w:val="center"/>
          </w:tcPr>
          <w:p>
            <w:pPr>
              <w:pStyle w:val="TableContents"/>
              <w:spacing w:before="0" w:after="283"/>
              <w:rPr/>
            </w:pPr>
            <w:r>
              <w:rPr/>
              <w:t>●</w:t>
            </w:r>
          </w:p>
        </w:tc>
        <w:tc>
          <w:tcPr>
            <w:tcW w:w="88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amount of sales of, or royalties or other income from, our future products, if any; and</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and success or otherwise of competing oncology and infectious disease therapies and other market developments.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Based on our research and development plans, we expect that our existing cash and cash equivalents, will enable us to fund our operating expenses and capital expenditure requirements into the first quarter of 2025. These estimates are based on assumptions that may prove to be wrong, and we could use our available capital resources more quickly than we expect.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Lease, Purchase, and Other Obligations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operating lease obligations related to our property, plant and equipment. The obligations related to both short- and long-term lease arrangements are set forth in Note 14 “Commitment and Contingencies” to our condensed consolidated financial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Emerging Growth Company Status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to our condensed consolidated financial statements.</w:t>
      </w:r>
    </w:p>
    <w:p>
      <w:pPr>
        <w:pStyle w:val="TextBody"/>
        <w:spacing w:before="0" w:after="240"/>
        <w:ind w:left="0" w:right="0" w:hanging="0"/>
        <w:rPr>
          <w:rFonts w:ascii="Times New Roman;Times;serif" w:hAnsi="Times New Roman;Times;serif"/>
          <w:b/>
          <w:sz w:val="20"/>
        </w:rPr>
      </w:pPr>
      <w:bookmarkStart w:id="1026" w:name="Item3QuantitativeandQualitativeDisclosur"/>
      <w:bookmarkStart w:id="1027" w:name="_5e7bbd81_b19a_433d_8efa_88c4f6f3051a"/>
      <w:bookmarkEnd w:id="1026"/>
      <w:bookmarkEnd w:id="1027"/>
      <w:r>
        <w:rPr>
          <w:rFonts w:ascii="Times New Roman;Times;serif" w:hAnsi="Times New Roman;Times;serif"/>
          <w:b/>
          <w:sz w:val="20"/>
        </w:rPr>
        <w:t>Item 3.    Quantitative and Qualitative Disclosure About Market Risk</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Foreign Currency and Currency Translation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subject to the risk of fluctuations in foreign currency exchange rates, specifically with respect to the euro, pound sterling, Swiss franc and Australian dollar. Our reporting currency is the United States dollar, and the functional currency of Vaccitech plc and its consolidated subsidiaries, Vaccitech (UK) Limited and Vaccitech Oncology Limited, is the pound sterling. The functional currency of our wholly owned foreign subsidiary, Vaccitech North America, Inc. is the United States dollar. The functional currency of our wholly owned foreign subsidiary, Vaccitech Australia Pty, is the Australian dollar. The functional currency of our wholly owned foreign subsidiary, Vaccitech Italia S.R.L, is the euro. The functional currency of our wholly owned foreign subsidiary, Vaccitech Switzerland GmbH, is the Swiss franc. Our cash and cash equivalents as of March 31, 2023 consisted primarily of cash balances held by Vaccitech (UK) Limited in United States dollars.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Assets and liabilities are translated into United States dollars at the exchange rate in effect on the balance sheet date. Revenue and expenses are translated at the average exchange rate in effect during the period. Translation adjustments are included in the condensed consolidated Balance Sheets as a component of accumulated other comprehensive loss. Adjustments that arise from exchange rate changes on transactions denominated in a currency other than the local currency are included in operating expenses, net in the condensed consolidated Statements of Operations and Comprehensive Loss as incurred.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incur significant operating costs in the UK and face exposure to changes in the exchange ratio of the United States dollar and the pound sterling arising from expenses and payables at our UK operations that are settled in pound sterling. For the three months ended March 31, 2023, an average 10% weakening in the United States dollar relative to the pound sterling would have resulted in an increase to our expenses denominated in pound sterling of approximately $2.2 million, as compared to an increase in our expenses of approximately $1.4 million in the three months ended March 31, 2022.</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Interest Rate Sensitivity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are not currently exposed significantly to market risk related to changes in interest rates, as we have no significant interest-bearing liabilities. We had cash and cash equivalents of $191.3 million as of March 31, 2023, which were primarily held as account balances with banks in the United Kingdom, United States and Australia. A hypothetical 10% relative change in interest rates during any of the periods presented would not have had a material impact on our condensed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028" w:name="Item4ControlsandProcedures_768627"/>
      <w:bookmarkStart w:id="1029" w:name="_ae452188_004b_4779_8256_4eaa8c3f4985"/>
      <w:bookmarkEnd w:id="1028"/>
      <w:bookmarkEnd w:id="1029"/>
      <w:r>
        <w:rPr>
          <w:rFonts w:ascii="Times New Roman;Times;serif" w:hAnsi="Times New Roman;Times;serif"/>
          <w:b/>
          <w:sz w:val="20"/>
        </w:rPr>
        <w:t>Item 4.    Controls and Procedures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sz w:val="20"/>
        </w:rPr>
        <w:t>Our management, with the participation of our Chief Executive Officer and Chief Financial Officer, evaluated the effectiveness of our disclosure controls and procedures (as defined in Rule 13a15(e) and 15d-15(e) under the Exchange Act) as of March 31, 2023.</w:t>
      </w:r>
      <w:r>
        <w:rPr>
          <w:rFonts w:ascii="Times New Roman;Times;serif" w:hAnsi="Times New Roman;Times;serif"/>
          <w:b/>
          <w:sz w:val="20"/>
        </w:rPr>
        <w:t xml:space="preserve"> </w:t>
      </w:r>
      <w:r>
        <w:rPr>
          <w:rFonts w:ascii="Times New Roman;Times;serif" w:hAnsi="Times New Roman;Times;serif"/>
          <w:b w:val="false"/>
          <w:sz w:val="20"/>
        </w:rPr>
        <w:t>Based on this evaluation, we concluded that as of March 31, 2023 our disclosure controls and procedures were not effective due to the material weaknesses previously identified and disclosed, not being remediated as of March 31, 2023. 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Management previously reported, in our Annual Report on Form 10-K for the year ended December 31, 2022, material weaknesses in our internal control over financial reporting related to: (i) our IT general control environment has not been sufficiently designed to include appropriate user access rights, and design and implementation of controls over program development, program changes and computer operations, and (ii) policies and procedures with respect to the review, supervision and monitoring of our accounting and reporting functions were either not designed and in place or not operating effectively.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Remediation Efforts</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 xml:space="preserve">During fiscal year 2022, we undertook efforts to remediate previously disclosed material weaknesses, including assessing and identifying risks to financial reporting over all business processes impacting financial reporting and implementation of controls over critical accounting policies and estimates. Some business process controls over critical accounting policies and estimates established in the fiscal year that were dependent on systems without effective IT general controls were deemed ineffective because they could be adversely impacted by the lack of system controls. Our internal control remediation efforts continue into fiscal year 2023 and focus on the areas detailed below. </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 xml:space="preserve">Planned Remediation Activities </w:t>
      </w:r>
    </w:p>
    <w:tbl>
      <w:tblPr>
        <w:tblW w:w="2166" w:type="dxa"/>
        <w:jc w:val="left"/>
        <w:tblInd w:w="0" w:type="dxa"/>
        <w:tblCellMar>
          <w:top w:w="28" w:type="dxa"/>
          <w:left w:w="28" w:type="dxa"/>
          <w:bottom w:w="28" w:type="dxa"/>
          <w:right w:w="28" w:type="dxa"/>
        </w:tblCellMar>
      </w:tblPr>
      <w:tblGrid>
        <w:gridCol w:w="124"/>
        <w:gridCol w:w="286"/>
        <w:gridCol w:w="175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(i)</w:t>
            </w:r>
          </w:p>
        </w:tc>
        <w:tc>
          <w:tcPr>
            <w:tcW w:w="1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IT general controls </w:t>
            </w:r>
          </w:p>
        </w:tc>
      </w:tr>
    </w:tbl>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We are taking measures to address the IT environment through the implementation of a new enterprise resource planning, or ERP system and controls over program development, program changes, computer operations and access rights. We have implemented the new ERP system for the U.K. Company in the first quarter of 2023, and plan to rollout implementation of the new ERP system to the U.S. Company later in 2023.</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new ERP system and all other IT systems deemed significant to financial reporting, we plan to implement: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exist, to adequately restrict user and privileged access to certain financial applications, programs and data to appropriate company personnel; (iii) computer operations controls to ensure that critical batch jobs are monitored and data backups are authorized and monitored, (iv) testing and approval controls for program development to ensure that changes are aligned with business and IT requirements, and (v) identification and testing of system-generated information and calculations used in the execution of manual controls.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28" w:type="dxa"/>
          <w:left w:w="28" w:type="dxa"/>
          <w:bottom w:w="28" w:type="dxa"/>
          <w:right w:w="28" w:type="dxa"/>
        </w:tblCellMar>
      </w:tblPr>
      <w:tblGrid>
        <w:gridCol w:w="124"/>
        <w:gridCol w:w="345"/>
        <w:gridCol w:w="10070"/>
      </w:tblGrid>
      <w:tr>
        <w:trPr/>
        <w:tc>
          <w:tcPr>
            <w:tcW w:w="12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(ii)</w:t>
            </w:r>
          </w:p>
        </w:tc>
        <w:tc>
          <w:tcPr>
            <w:tcW w:w="1007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policies and procedures with respect to the review, supervision and monitoring of our accounting and reporting functions </w:t>
            </w:r>
          </w:p>
        </w:tc>
      </w:tr>
    </w:tbl>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 xml:space="preserve">We are taking measures to address this material weakness, which includes hiring appropriate personnel whose roles are to enhance policies and procedures with respect to the review, supervision, formalization and monitoring of our accounting and reporting functions. Additionally, we plan to enhance business process controls through the following activities: </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evaluate and refine the design, implementation, and documentation of the internal controls to ensure controls address the relevant risks, are properly designed, and provide appropriate evidence of the Company’s performance;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enhance the design of controls that address the completeness and accuracy of reports being utilized in the execution of internal controls; </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evaluate the assignment of responsibilities associated with the performance of control activities and consider hiring additional resources, obtaining third party assistance, or providing additional training to existing resources; and</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develop and execute a testing protocol that allows the Company to validate the operating effectiveness of certain controls over financial reporting to gain assurance that such controls are presented and functioning as designed.</w:t>
            </w:r>
          </w:p>
        </w:tc>
      </w:tr>
    </w:tbl>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 xml:space="preserve">As we monitor and evaluate our internal control over financial reporting, we will continue to assess the effectiveness of our remediation plan and prioritize our resources. </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 xml:space="preserve">Notwithstanding the ineffective disclosure controls and procedures as a result of the identified material weaknesses, management has concluded that the condensed consolidated financial statements included elsewhere in this Quarterly Report on Form 10-Q present fairly, in all material respects, the Company’s financial position, results of operations and cash flows in accordance with U.S. GAAP.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Other than the changes related to the ongoing remediation activities related to the material weaknesses noted above, no change in our internal control over financial reporting (as defined in Rules 13a-15(f) and 15d-15(f) under the Exchange Act) occurred during the three months ended March 31, 2023 that has materially affected, or is reasonably likely to materially affect, our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030" w:name="PARTIIOTHERINFORMATION_959754"/>
      <w:bookmarkStart w:id="1031" w:name="_c565a6fa_f4cf_4715_9f77_eea17926a517"/>
      <w:bookmarkEnd w:id="1030"/>
      <w:bookmarkEnd w:id="1031"/>
      <w:r>
        <w:rPr>
          <w:rFonts w:ascii="Times New Roman;Times;serif" w:hAnsi="Times New Roman;Times;serif"/>
          <w:b/>
          <w:sz w:val="20"/>
        </w:rPr>
        <w:t>PART II - OTHER INFORMATION</w:t>
      </w:r>
    </w:p>
    <w:p>
      <w:pPr>
        <w:pStyle w:val="TextBody"/>
        <w:spacing w:before="0" w:after="240"/>
        <w:ind w:left="0" w:right="0" w:hanging="0"/>
        <w:rPr>
          <w:rFonts w:ascii="Times New Roman;Times;serif" w:hAnsi="Times New Roman;Times;serif"/>
          <w:b/>
          <w:sz w:val="20"/>
        </w:rPr>
      </w:pPr>
      <w:bookmarkStart w:id="1032" w:name="Item1LegalProceedings_995656"/>
      <w:bookmarkEnd w:id="1032"/>
      <w:r>
        <w:rPr>
          <w:rFonts w:ascii="Times New Roman;Times;serif" w:hAnsi="Times New Roman;Times;serif"/>
          <w:b/>
          <w:sz w:val="20"/>
        </w:rPr>
        <w:t>Item 1.    Legal Proceedings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From time to time, we may become subject to various legal proceedings and claims that arise in the ordinary course of our business activities. Although the results of litigation and claims cannot be predicted with certainty, as of March 31, 2023,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spacing w:before="0" w:after="240"/>
        <w:ind w:left="0" w:right="0" w:hanging="0"/>
        <w:rPr>
          <w:rFonts w:ascii="Times New Roman;Times;serif" w:hAnsi="Times New Roman;Times;serif"/>
          <w:b/>
          <w:sz w:val="20"/>
        </w:rPr>
      </w:pPr>
      <w:bookmarkStart w:id="1033" w:name="Item1ARiskFactors_790842"/>
      <w:bookmarkStart w:id="1034" w:name="_e473a9b3_39bb_4298_8863_fcf876b704e8"/>
      <w:bookmarkEnd w:id="1033"/>
      <w:bookmarkEnd w:id="1034"/>
      <w:r>
        <w:rPr>
          <w:rFonts w:ascii="Times New Roman;Times;serif" w:hAnsi="Times New Roman;Times;serif"/>
          <w:b/>
          <w:sz w:val="20"/>
        </w:rPr>
        <w:t>Item 1A Risk Factors.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There have been no material changes from the risk factors previously disclosed in the Company’s most recent Annual Report on Form 10-K as filed with the SEC on March 24,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tbl>
      <w:tblPr>
        <w:tblW w:w="7292" w:type="dxa"/>
        <w:jc w:val="left"/>
        <w:tblInd w:w="0" w:type="dxa"/>
        <w:tblCellMar>
          <w:top w:w="0" w:type="dxa"/>
          <w:left w:w="0" w:type="dxa"/>
          <w:bottom w:w="0" w:type="dxa"/>
          <w:right w:w="0" w:type="dxa"/>
        </w:tblCellMar>
      </w:tblPr>
      <w:tblGrid>
        <w:gridCol w:w="271"/>
        <w:gridCol w:w="7021"/>
      </w:tblGrid>
      <w:tr>
        <w:trPr/>
        <w:tc>
          <w:tcPr>
            <w:tcW w:w="271" w:type="dxa"/>
            <w:tcBorders/>
            <w:shd w:fill="auto" w:val="clear"/>
            <w:vAlign w:val="center"/>
          </w:tcPr>
          <w:p>
            <w:pPr>
              <w:pStyle w:val="TableContents"/>
              <w:spacing w:before="0" w:after="283"/>
              <w:rPr/>
            </w:pPr>
            <w:r>
              <w:rPr/>
              <w:t>●</w:t>
            </w:r>
          </w:p>
        </w:tc>
        <w:tc>
          <w:tcPr>
            <w:tcW w:w="70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 and clinical trials;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advance our current and future product candidates and programs into, and successfully complete, clinical trials;</w:t>
            </w:r>
          </w:p>
        </w:tc>
      </w:tr>
    </w:tbl>
    <w:tbl>
      <w:tblPr>
        <w:tblW w:w="10037" w:type="dxa"/>
        <w:jc w:val="left"/>
        <w:tblInd w:w="0" w:type="dxa"/>
        <w:tblCellMar>
          <w:top w:w="0" w:type="dxa"/>
          <w:left w:w="0" w:type="dxa"/>
          <w:bottom w:w="0" w:type="dxa"/>
          <w:right w:w="0" w:type="dxa"/>
        </w:tblCellMar>
      </w:tblPr>
      <w:tblGrid>
        <w:gridCol w:w="271"/>
        <w:gridCol w:w="9766"/>
      </w:tblGrid>
      <w:tr>
        <w:trPr/>
        <w:tc>
          <w:tcPr>
            <w:tcW w:w="271" w:type="dxa"/>
            <w:tcBorders/>
            <w:shd w:fill="auto" w:val="clear"/>
            <w:vAlign w:val="center"/>
          </w:tcPr>
          <w:p>
            <w:pPr>
              <w:pStyle w:val="TableContents"/>
              <w:spacing w:before="0" w:after="283"/>
              <w:rPr/>
            </w:pPr>
            <w:r>
              <w:rPr/>
              <w:t>●</w:t>
            </w:r>
          </w:p>
        </w:tc>
        <w:tc>
          <w:tcPr>
            <w:tcW w:w="97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future or maintain current collaborations or strategic relationships or obtain additional funding;</w:t>
            </w:r>
          </w:p>
        </w:tc>
      </w:tr>
    </w:tbl>
    <w:tbl>
      <w:tblPr>
        <w:tblW w:w="8927" w:type="dxa"/>
        <w:jc w:val="left"/>
        <w:tblInd w:w="0" w:type="dxa"/>
        <w:tblCellMar>
          <w:top w:w="0" w:type="dxa"/>
          <w:left w:w="0" w:type="dxa"/>
          <w:bottom w:w="0" w:type="dxa"/>
          <w:right w:w="0" w:type="dxa"/>
        </w:tblCellMar>
      </w:tblPr>
      <w:tblGrid>
        <w:gridCol w:w="271"/>
        <w:gridCol w:w="8656"/>
      </w:tblGrid>
      <w:tr>
        <w:trPr/>
        <w:tc>
          <w:tcPr>
            <w:tcW w:w="271" w:type="dxa"/>
            <w:tcBorders/>
            <w:shd w:fill="auto" w:val="clear"/>
            <w:vAlign w:val="center"/>
          </w:tcPr>
          <w:p>
            <w:pPr>
              <w:pStyle w:val="TableContents"/>
              <w:spacing w:before="0" w:after="283"/>
              <w:rPr/>
            </w:pPr>
            <w:r>
              <w:rPr/>
              <w:t>●</w:t>
            </w:r>
          </w:p>
        </w:tc>
        <w:tc>
          <w:tcPr>
            <w:tcW w:w="86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our current and future product candidates;</w:t>
            </w:r>
          </w:p>
        </w:tc>
      </w:tr>
    </w:tbl>
    <w:tbl>
      <w:tblPr>
        <w:tblW w:w="10292" w:type="dxa"/>
        <w:jc w:val="left"/>
        <w:tblInd w:w="0" w:type="dxa"/>
        <w:tblCellMar>
          <w:top w:w="0" w:type="dxa"/>
          <w:left w:w="0" w:type="dxa"/>
          <w:bottom w:w="0" w:type="dxa"/>
          <w:right w:w="0" w:type="dxa"/>
        </w:tblCellMar>
      </w:tblPr>
      <w:tblGrid>
        <w:gridCol w:w="271"/>
        <w:gridCol w:w="10021"/>
      </w:tblGrid>
      <w:tr>
        <w:trPr/>
        <w:tc>
          <w:tcPr>
            <w:tcW w:w="271" w:type="dxa"/>
            <w:tcBorders/>
            <w:shd w:fill="auto" w:val="clear"/>
            <w:vAlign w:val="center"/>
          </w:tcPr>
          <w:p>
            <w:pPr>
              <w:pStyle w:val="TableContents"/>
              <w:spacing w:before="0" w:after="283"/>
              <w:rPr/>
            </w:pPr>
            <w:r>
              <w:rPr/>
              <w:t>●</w:t>
            </w:r>
          </w:p>
        </w:tc>
        <w:tc>
          <w:tcPr>
            <w:tcW w:w="100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expectations surrounding the payments we could potentially receive pursuant to the AstraZeneca License Agreement;</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collaborators to continue research and development activities relating to our product candidates;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collaborators’ ability to obtain, maintain, defend and enforce our intellectual property protection for our product candidates, and the scope of such protection;</w:t>
            </w:r>
          </w:p>
        </w:tc>
      </w:tr>
    </w:tbl>
    <w:tbl>
      <w:tblPr>
        <w:tblW w:w="6827" w:type="dxa"/>
        <w:jc w:val="left"/>
        <w:tblInd w:w="0" w:type="dxa"/>
        <w:tblCellMar>
          <w:top w:w="0" w:type="dxa"/>
          <w:left w:w="0" w:type="dxa"/>
          <w:bottom w:w="0" w:type="dxa"/>
          <w:right w:w="0" w:type="dxa"/>
        </w:tblCellMar>
      </w:tblPr>
      <w:tblGrid>
        <w:gridCol w:w="271"/>
        <w:gridCol w:w="6556"/>
      </w:tblGrid>
      <w:tr>
        <w:trPr/>
        <w:tc>
          <w:tcPr>
            <w:tcW w:w="271" w:type="dxa"/>
            <w:tcBorders/>
            <w:shd w:fill="auto" w:val="clear"/>
            <w:vAlign w:val="center"/>
          </w:tcPr>
          <w:p>
            <w:pPr>
              <w:pStyle w:val="TableContents"/>
              <w:spacing w:before="0" w:after="283"/>
              <w:rPr/>
            </w:pPr>
            <w:r>
              <w:rPr/>
              <w:t>●</w:t>
            </w:r>
          </w:p>
        </w:tc>
        <w:tc>
          <w:tcPr>
            <w:tcW w:w="65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commercialization and marketing capabilities and strategy;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agreements with third parties in connection with the commercialization of our product candidates and any other approved products;</w:t>
            </w:r>
          </w:p>
        </w:tc>
      </w:tr>
    </w:tbl>
    <w:tbl>
      <w:tblPr>
        <w:tblW w:w="5912" w:type="dxa"/>
        <w:jc w:val="left"/>
        <w:tblInd w:w="0" w:type="dxa"/>
        <w:tblCellMar>
          <w:top w:w="0" w:type="dxa"/>
          <w:left w:w="0" w:type="dxa"/>
          <w:bottom w:w="0" w:type="dxa"/>
          <w:right w:w="0" w:type="dxa"/>
        </w:tblCellMar>
      </w:tblPr>
      <w:tblGrid>
        <w:gridCol w:w="271"/>
        <w:gridCol w:w="5641"/>
      </w:tblGrid>
      <w:tr>
        <w:trPr/>
        <w:tc>
          <w:tcPr>
            <w:tcW w:w="271" w:type="dxa"/>
            <w:tcBorders/>
            <w:shd w:fill="auto" w:val="clear"/>
            <w:vAlign w:val="center"/>
          </w:tcPr>
          <w:p>
            <w:pPr>
              <w:pStyle w:val="TableContents"/>
              <w:spacing w:before="0" w:after="283"/>
              <w:rPr/>
            </w:pPr>
            <w:r>
              <w:rPr/>
              <w:t>●</w:t>
            </w:r>
          </w:p>
        </w:tc>
        <w:tc>
          <w:tcPr>
            <w:tcW w:w="56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companies, technologies and our industry and the success of competing therapies that are or may become available;</w:t>
            </w:r>
          </w:p>
        </w:tc>
      </w:tr>
    </w:tbl>
    <w:tbl>
      <w:tblPr>
        <w:tblW w:w="6227" w:type="dxa"/>
        <w:jc w:val="left"/>
        <w:tblInd w:w="0" w:type="dxa"/>
        <w:tblCellMar>
          <w:top w:w="0" w:type="dxa"/>
          <w:left w:w="0" w:type="dxa"/>
          <w:bottom w:w="0" w:type="dxa"/>
          <w:right w:w="0" w:type="dxa"/>
        </w:tblCellMar>
      </w:tblPr>
      <w:tblGrid>
        <w:gridCol w:w="271"/>
        <w:gridCol w:w="5956"/>
      </w:tblGrid>
      <w:tr>
        <w:trPr/>
        <w:tc>
          <w:tcPr>
            <w:tcW w:w="271" w:type="dxa"/>
            <w:tcBorders/>
            <w:shd w:fill="auto" w:val="clear"/>
            <w:vAlign w:val="center"/>
          </w:tcPr>
          <w:p>
            <w:pPr>
              <w:pStyle w:val="TableContents"/>
              <w:spacing w:before="0" w:after="283"/>
              <w:rPr/>
            </w:pPr>
            <w:r>
              <w:rPr/>
              <w:t>●</w:t>
            </w:r>
          </w:p>
        </w:tc>
        <w:tc>
          <w:tcPr>
            <w:tcW w:w="59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and commercialization of our product candidates;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of our annual total addressable markets, future revenue, expenses, capital requirements and needs for additional financing;</w:t>
            </w:r>
          </w:p>
        </w:tc>
      </w:tr>
    </w:tbl>
    <w:tbl>
      <w:tblPr>
        <w:tblW w:w="3482" w:type="dxa"/>
        <w:jc w:val="left"/>
        <w:tblInd w:w="0" w:type="dxa"/>
        <w:tblCellMar>
          <w:top w:w="0" w:type="dxa"/>
          <w:left w:w="0" w:type="dxa"/>
          <w:bottom w:w="0" w:type="dxa"/>
          <w:right w:w="0" w:type="dxa"/>
        </w:tblCellMar>
      </w:tblPr>
      <w:tblGrid>
        <w:gridCol w:w="271"/>
        <w:gridCol w:w="3211"/>
      </w:tblGrid>
      <w:tr>
        <w:trPr/>
        <w:tc>
          <w:tcPr>
            <w:tcW w:w="271" w:type="dxa"/>
            <w:tcBorders/>
            <w:shd w:fill="auto" w:val="clear"/>
            <w:vAlign w:val="center"/>
          </w:tcPr>
          <w:p>
            <w:pPr>
              <w:pStyle w:val="TableContents"/>
              <w:spacing w:before="0" w:after="283"/>
              <w:rPr/>
            </w:pPr>
            <w:r>
              <w:rPr/>
              <w:t>●</w:t>
            </w:r>
          </w:p>
        </w:tc>
        <w:tc>
          <w:tcPr>
            <w:tcW w:w="32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about market trends;</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global economic and political developments on our business, including rising or sustained high inflation and capital market disruptions, the current conflict in Ukraine, disruptions in the banking industry, economic sanctions and economic slowdowns or recessions that may result from such developments which could harm our research and development efforts as well as the value of our ordinary shares and ability to access capital markets; and</w:t>
            </w:r>
          </w:p>
        </w:tc>
      </w:tr>
    </w:tbl>
    <w:tbl>
      <w:tblPr>
        <w:tblW w:w="10539" w:type="dxa"/>
        <w:jc w:val="left"/>
        <w:tblInd w:w="0" w:type="dxa"/>
        <w:tblCellMar>
          <w:top w:w="0" w:type="dxa"/>
          <w:left w:w="0" w:type="dxa"/>
          <w:bottom w:w="0" w:type="dxa"/>
          <w:right w:w="0" w:type="dxa"/>
        </w:tblCellMar>
      </w:tblPr>
      <w:tblGrid>
        <w:gridCol w:w="271"/>
        <w:gridCol w:w="10268"/>
      </w:tblGrid>
      <w:tr>
        <w:trPr/>
        <w:tc>
          <w:tcPr>
            <w:tcW w:w="271" w:type="dxa"/>
            <w:tcBorders/>
            <w:shd w:fill="auto" w:val="clear"/>
            <w:vAlign w:val="center"/>
          </w:tcPr>
          <w:p>
            <w:pPr>
              <w:pStyle w:val="TableContents"/>
              <w:spacing w:before="0" w:after="283"/>
              <w:rPr/>
            </w:pPr>
            <w:r>
              <w:rPr/>
              <w:t>●</w:t>
            </w:r>
          </w:p>
        </w:tc>
        <w:tc>
          <w:tcPr>
            <w:tcW w:w="102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period during which we qualify as an emerging growth company under the Jumpstart Our Business Startups Act of 2012, as amended.</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This Quarterly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Quarterly Report to the terms “Vaccitech,” “the Company,” “we,” “us,” “our,” and similar designations refer to Vaccitech plc and, where appropriate, our wholly-owned subsidiaries.</w:t>
      </w:r>
    </w:p>
    <w:p>
      <w:pPr>
        <w:pStyle w:val="TextBody"/>
        <w:spacing w:before="0" w:after="240"/>
        <w:ind w:left="0" w:right="0" w:hanging="0"/>
        <w:rPr>
          <w:rFonts w:ascii="Times New Roman;Times;serif" w:hAnsi="Times New Roman;Times;serif"/>
          <w:b/>
          <w:sz w:val="20"/>
        </w:rPr>
      </w:pPr>
      <w:bookmarkStart w:id="1035" w:name="Item2UnregisteredSalesofEquitySecurities"/>
      <w:bookmarkStart w:id="1036" w:name="_556790ff_d6e7_4225_a3a7_7480e662d080"/>
      <w:bookmarkEnd w:id="1035"/>
      <w:bookmarkEnd w:id="1036"/>
      <w:r>
        <w:rPr>
          <w:rFonts w:ascii="Times New Roman;Times;serif" w:hAnsi="Times New Roman;Times;serif"/>
          <w:b/>
          <w:sz w:val="20"/>
        </w:rPr>
        <w:t>Item 2.    Unregistered Sales of Equity Securities and Use of Proceeds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Set forth below is information regarding shares of equity securities sold, and options granted, by us during the three months ended March 31, 2023 that were not registered under the Securities Act.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Sales of Unregistered Equity Securities</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None.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Use of Proceeds from Initial Public Offering</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May 4, 2021, we completed our initial public offering, or the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received aggregate net proceeds from the offering of approximately $102.8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There has been no material change in our planned use of the net proceeds from the IPO as described in the final prospectus filed with the SEC pursuant to Rule 424(b) under the Securities Act.</w:t>
      </w:r>
    </w:p>
    <w:p>
      <w:pPr>
        <w:pStyle w:val="TextBody"/>
        <w:spacing w:before="0" w:after="240"/>
        <w:ind w:left="0" w:right="0" w:hanging="0"/>
        <w:rPr>
          <w:rFonts w:ascii="Times New Roman;Times;serif" w:hAnsi="Times New Roman;Times;serif"/>
          <w:b/>
          <w:sz w:val="20"/>
        </w:rPr>
      </w:pPr>
      <w:bookmarkStart w:id="1037" w:name="Item3DefaultsUponSeniorSecurities_525046"/>
      <w:bookmarkStart w:id="1038" w:name="_a17cf8b0_dc4e_4961_9b39_a73fe4475c79"/>
      <w:bookmarkEnd w:id="1037"/>
      <w:bookmarkEnd w:id="1038"/>
      <w:r>
        <w:rPr>
          <w:rFonts w:ascii="Times New Roman;Times;serif" w:hAnsi="Times New Roman;Times;serif"/>
          <w:b/>
          <w:sz w:val="20"/>
        </w:rPr>
        <w:t>Item 3.    Defaults Upon Senior Securities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039" w:name="Item4MineSafetyDisclosures_489189"/>
      <w:bookmarkStart w:id="1040" w:name="_9f36d5f8_1021_4668_897d_72eba322d864"/>
      <w:bookmarkEnd w:id="1039"/>
      <w:bookmarkEnd w:id="1040"/>
      <w:r>
        <w:rPr>
          <w:rFonts w:ascii="Times New Roman;Times;serif" w:hAnsi="Times New Roman;Times;serif"/>
          <w:b/>
          <w:sz w:val="20"/>
        </w:rPr>
        <w:t>Item 4.    Mine Safety Disclosures</w:t>
      </w:r>
      <w:r>
        <w:rPr>
          <w:rFonts w:ascii="Times New Roman;Times;serif" w:hAnsi="Times New Roman;Times;serif"/>
          <w:b w:val="false"/>
          <w:sz w:val="20"/>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1041" w:name="Item5OtherInformation_906757"/>
      <w:bookmarkStart w:id="1042" w:name="_c2ee5e39_8e8b_44c0_8123_fed467289748"/>
      <w:bookmarkEnd w:id="1041"/>
      <w:bookmarkEnd w:id="1042"/>
      <w:r>
        <w:rPr>
          <w:rFonts w:ascii="Times New Roman;Times;serif" w:hAnsi="Times New Roman;Times;serif"/>
          <w:b/>
          <w:sz w:val="20"/>
        </w:rPr>
        <w:t>Item 5.    Other Information</w:t>
      </w:r>
      <w:r>
        <w:rPr>
          <w:rFonts w:ascii="Times New Roman;Times;serif" w:hAnsi="Times New Roman;Times;serif"/>
          <w:b w:val="false"/>
          <w:sz w:val="20"/>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043" w:name="Item6Exhibits_432907"/>
      <w:bookmarkStart w:id="1044" w:name="_e7bfd406_6e8e_44fc_88f7_f2f86b981ef2"/>
      <w:bookmarkEnd w:id="1043"/>
      <w:bookmarkEnd w:id="1044"/>
      <w:r>
        <w:rPr>
          <w:rFonts w:ascii="Times New Roman;Times;serif" w:hAnsi="Times New Roman;Times;serif"/>
          <w:b/>
          <w:sz w:val="20"/>
        </w:rPr>
        <w:t>Item 6.    Exhibits</w:t>
      </w:r>
      <w:r>
        <w:rPr>
          <w:rFonts w:ascii="Times New Roman;Times;serif" w:hAnsi="Times New Roman;Times;serif"/>
          <w:b w:val="false"/>
          <w:sz w:val="20"/>
        </w:rPr>
        <w:t>.</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152"/>
        <w:gridCol w:w="9387"/>
      </w:tblGrid>
      <w:tr>
        <w:trPr/>
        <w:tc>
          <w:tcPr>
            <w:tcW w:w="115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Exhibit Number</w:t>
            </w:r>
          </w:p>
        </w:tc>
        <w:tc>
          <w:tcPr>
            <w:tcW w:w="9387"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Description</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9387"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Articles of Association of the Registrant (Incorporated herein by reference to Exhibit 3.1 to the Registrant’s Form 8-K (File No. 001-40367) filed with the Securities and Exchange Commission on May 10, 2021).</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9387" w:type="dxa"/>
            <w:tcBorders/>
            <w:shd w:fill="auto" w:val="clear"/>
            <w:vAlign w:val="center"/>
          </w:tcPr>
          <w:p>
            <w:pPr>
              <w:pStyle w:val="TableContents"/>
              <w:spacing w:before="0" w:after="0"/>
              <w:ind w:left="0" w:right="0" w:hanging="0"/>
              <w:rPr/>
            </w:pPr>
            <w:hyperlink w:anchor="vacc-20230331xex10d1.htm">
              <w:r>
                <w:rPr>
                  <w:rStyle w:val="InternetLink"/>
                  <w:rFonts w:ascii="Times New Roman;Times;serif" w:hAnsi="Times New Roman;Times;serif"/>
                  <w:b w:val="false"/>
                  <w:i w:val="false"/>
                  <w:caps w:val="false"/>
                  <w:smallCaps w:val="false"/>
                  <w:sz w:val="20"/>
                </w:rPr>
                <w:t>Employment Agreement by and between Vaccitech Switzerland GmbH and Nadège Pelletier, effective February 1, 2023</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9387" w:type="dxa"/>
            <w:tcBorders/>
            <w:shd w:fill="auto" w:val="clear"/>
            <w:vAlign w:val="center"/>
          </w:tcPr>
          <w:p>
            <w:pPr>
              <w:pStyle w:val="TableContents"/>
              <w:spacing w:before="0" w:after="0"/>
              <w:ind w:left="0" w:right="0" w:hanging="0"/>
              <w:rPr/>
            </w:pPr>
            <w:hyperlink w:anchor="vacc-2023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9387" w:type="dxa"/>
            <w:tcBorders/>
            <w:shd w:fill="auto" w:val="clear"/>
            <w:vAlign w:val="center"/>
          </w:tcPr>
          <w:p>
            <w:pPr>
              <w:pStyle w:val="TableContents"/>
              <w:spacing w:before="0" w:after="0"/>
              <w:ind w:left="0" w:right="0" w:hanging="0"/>
              <w:rPr/>
            </w:pPr>
            <w:hyperlink w:anchor="vacc-2023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9387" w:type="dxa"/>
            <w:tcBorders/>
            <w:shd w:fill="auto" w:val="clear"/>
            <w:vAlign w:val="center"/>
          </w:tcPr>
          <w:p>
            <w:pPr>
              <w:pStyle w:val="TableContents"/>
              <w:spacing w:before="0" w:after="0"/>
              <w:ind w:left="0" w:right="0" w:hanging="0"/>
              <w:rPr/>
            </w:pPr>
            <w:hyperlink w:anchor="vacc-20230331xex32d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93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93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93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93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93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93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1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93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in as Inline XBRL with applicable taxonomy extension information contained in Exhibits 101)</w:t>
            </w:r>
          </w:p>
        </w:tc>
      </w:tr>
    </w:tbl>
    <w:tbl>
      <w:tblPr>
        <w:tblW w:w="1592" w:type="dxa"/>
        <w:jc w:val="left"/>
        <w:tblInd w:w="0" w:type="dxa"/>
        <w:tblCellMar>
          <w:top w:w="0" w:type="dxa"/>
          <w:left w:w="0" w:type="dxa"/>
          <w:bottom w:w="0" w:type="dxa"/>
          <w:right w:w="0" w:type="dxa"/>
        </w:tblCellMar>
      </w:tblPr>
      <w:tblGrid>
        <w:gridCol w:w="226"/>
        <w:gridCol w:w="136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Filed herewith.</w:t>
            </w:r>
          </w:p>
        </w:tc>
      </w:tr>
    </w:tbl>
    <w:tbl>
      <w:tblPr>
        <w:tblW w:w="10539" w:type="dxa"/>
        <w:jc w:val="left"/>
        <w:tblInd w:w="0" w:type="dxa"/>
        <w:tblCellMar>
          <w:top w:w="0" w:type="dxa"/>
          <w:left w:w="0" w:type="dxa"/>
          <w:bottom w:w="0" w:type="dxa"/>
          <w:right w:w="0" w:type="dxa"/>
        </w:tblCellMar>
      </w:tblPr>
      <w:tblGrid>
        <w:gridCol w:w="254"/>
        <w:gridCol w:w="10285"/>
      </w:tblGrid>
      <w:tr>
        <w:trPr/>
        <w:tc>
          <w:tcPr>
            <w:tcW w:w="25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28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bl>
    <w:p>
      <w:pPr>
        <w:pStyle w:val="TextBody"/>
        <w:pBdr/>
        <w:spacing w:before="0" w:after="0"/>
        <w:ind w:left="36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045" w:name="SIGNATURES_509116"/>
      <w:bookmarkStart w:id="1046" w:name="_06033353_5132_40e4_a3bf_060e3bf0de19"/>
      <w:bookmarkEnd w:id="1045"/>
      <w:bookmarkEnd w:id="1046"/>
      <w:r>
        <w:rPr>
          <w:rFonts w:ascii="Times New Roman;Times;serif" w:hAnsi="Times New Roman;Times;serif"/>
          <w:b/>
          <w:sz w:val="20"/>
        </w:rPr>
        <w:t>SIGNATURES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4623" w:type="dxa"/>
        <w:jc w:val="left"/>
        <w:tblInd w:w="0" w:type="dxa"/>
        <w:tblCellMar>
          <w:top w:w="0" w:type="dxa"/>
          <w:left w:w="0" w:type="dxa"/>
          <w:bottom w:w="0" w:type="dxa"/>
          <w:right w:w="0" w:type="dxa"/>
        </w:tblCellMar>
      </w:tblPr>
      <w:tblGrid>
        <w:gridCol w:w="1741"/>
        <w:gridCol w:w="406"/>
        <w:gridCol w:w="2476"/>
      </w:tblGrid>
      <w:tr>
        <w:trPr/>
        <w:tc>
          <w:tcPr>
            <w:tcW w:w="1741" w:type="dxa"/>
            <w:tcBorders/>
            <w:shd w:fill="auto" w:val="clear"/>
            <w:vAlign w:val="center"/>
          </w:tcPr>
          <w:p>
            <w:pPr>
              <w:pStyle w:val="TableContents"/>
              <w:spacing w:before="0" w:after="0"/>
              <w:ind w:left="0" w:right="0" w:hanging="0"/>
              <w:rPr/>
            </w:pPr>
            <w:r>
              <w:rPr/>
              <w:t>​</w:t>
            </w:r>
          </w:p>
        </w:tc>
        <w:tc>
          <w:tcPr>
            <w:tcW w:w="288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VACCITECH PLC</w:t>
            </w:r>
          </w:p>
        </w:tc>
      </w:tr>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12,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William Enright</w:t>
            </w:r>
          </w:p>
        </w:tc>
      </w:tr>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William Enright</w:t>
            </w:r>
          </w:p>
        </w:tc>
      </w:tr>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br/>
              <w:t>(Principal Executive Officer)</w:t>
            </w:r>
          </w:p>
        </w:tc>
      </w:tr>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pPr>
            <w:r>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12,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Gemma Brown</w:t>
            </w:r>
          </w:p>
        </w:tc>
      </w:tr>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Gemma Brown</w:t>
            </w:r>
          </w:p>
        </w:tc>
      </w:tr>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br/>
              <w:t>(Principal Financial</w:t>
            </w:r>
          </w:p>
        </w:tc>
      </w:tr>
      <w:tr>
        <w:trPr/>
        <w:tc>
          <w:tcPr>
            <w:tcW w:w="174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r>
        <w:br w:type="page"/>
      </w:r>
    </w:p>
    <w:p>
      <w:pPr>
        <w:pStyle w:val="TextBody"/>
        <w:spacing w:before="0" w:after="0"/>
        <w:ind w:left="0" w:right="0" w:hanging="0"/>
        <w:jc w:val="right"/>
        <w:rPr>
          <w:rFonts w:ascii="Calibri;Helvetica;sans-serif" w:hAnsi="Calibri;Helvetica;sans-serif"/>
          <w:b/>
          <w:sz w:val="24"/>
        </w:rPr>
      </w:pPr>
      <w:bookmarkStart w:id="1047" w:name="vacc-20230331xex10d1.htm"/>
      <w:bookmarkStart w:id="1048" w:name="ksvacc20230331xex10d1"/>
      <w:bookmarkEnd w:id="1047"/>
      <w:bookmarkEnd w:id="1048"/>
      <w:r>
        <w:rPr>
          <w:rFonts w:ascii="Calibri;Helvetica;sans-serif" w:hAnsi="Calibri;Helvetica;sans-serif"/>
          <w:b/>
          <w:sz w:val="24"/>
        </w:rPr>
        <w:t>Exhibit 10.1</w:t>
      </w:r>
    </w:p>
    <w:p>
      <w:pPr>
        <w:pStyle w:val="TextBody"/>
        <w:pBdr>
          <w:bottom w:val="single" w:sz="2" w:space="1" w:color="A69D64"/>
        </w:pBdr>
        <w:spacing w:before="0" w:after="200"/>
        <w:ind w:left="0" w:right="0" w:hanging="0"/>
        <w:rPr/>
      </w:pPr>
      <w:r>
        <w:rPr/>
        <w:t>​</w:t>
      </w:r>
    </w:p>
    <w:p>
      <w:pPr>
        <w:pStyle w:val="TextBody"/>
        <w:spacing w:before="0" w:after="0"/>
        <w:ind w:left="0" w:right="0" w:hanging="0"/>
        <w:rPr>
          <w:rFonts w:ascii="Calibri;Helvetica;sans-serif" w:hAnsi="Calibri;Helvetica;sans-serif"/>
          <w:b/>
          <w:sz w:val="40"/>
        </w:rPr>
      </w:pPr>
      <w:r>
        <w:rPr>
          <w:rFonts w:ascii="Calibri;Helvetica;sans-serif" w:hAnsi="Calibri;Helvetica;sans-serif"/>
          <w:b/>
          <w:sz w:val="40"/>
        </w:rPr>
        <w:t>Employment Agreement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Calibri;Helvetica;sans-serif" w:hAnsi="Calibri;Helvetica;sans-serif"/>
          <w:sz w:val="24"/>
        </w:rPr>
      </w:pPr>
      <w:r>
        <w:rPr>
          <w:rFonts w:ascii="Calibri;Helvetica;sans-serif" w:hAnsi="Calibri;Helvetica;sans-serif"/>
          <w:sz w:val="24"/>
        </w:rPr>
        <w:t>dated 23 January,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Calibri;Helvetica;sans-serif" w:hAnsi="Calibri;Helvetica;sans-serif"/>
          <w:sz w:val="24"/>
        </w:rPr>
      </w:pPr>
      <w:r>
        <w:rPr>
          <w:rFonts w:ascii="Calibri;Helvetica;sans-serif" w:hAnsi="Calibri;Helvetica;sans-serif"/>
          <w:sz w:val="24"/>
        </w:rPr>
        <w:t>by and between</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Calibri;Helvetica;sans-serif" w:hAnsi="Calibri;Helvetica;sans-serif"/>
          <w:sz w:val="24"/>
        </w:rPr>
      </w:pPr>
      <w:r>
        <w:rPr>
          <w:rFonts w:ascii="Calibri;Helvetica;sans-serif" w:hAnsi="Calibri;Helvetica;sans-serif"/>
          <w:sz w:val="24"/>
        </w:rPr>
        <w:t>/s/ William Enright</w:t>
      </w:r>
    </w:p>
    <w:tbl>
      <w:tblPr>
        <w:tblW w:w="4727" w:type="dxa"/>
        <w:jc w:val="center"/>
        <w:tblInd w:w="0" w:type="dxa"/>
        <w:tblCellMar>
          <w:top w:w="0" w:type="dxa"/>
          <w:left w:w="0" w:type="dxa"/>
          <w:bottom w:w="0" w:type="dxa"/>
          <w:right w:w="0" w:type="dxa"/>
        </w:tblCellMar>
      </w:tblPr>
      <w:tblGrid>
        <w:gridCol w:w="3046"/>
        <w:gridCol w:w="1681"/>
      </w:tblGrid>
      <w:tr>
        <w:trPr/>
        <w:tc>
          <w:tcPr>
            <w:tcW w:w="3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34210" cy="175260"/>
                      <wp:effectExtent l="0" t="0" r="0" b="0"/>
                      <wp:wrapNone/>
                      <wp:docPr id="184" name="Frame183"/>
                      <a:graphic xmlns:a="http://schemas.openxmlformats.org/drawingml/2006/main">
                        <a:graphicData uri="http://schemas.microsoft.com/office/word/2010/wordprocessingShape">
                          <wps:wsp>
                            <wps:cNvSpPr txBox="1"/>
                            <wps:spPr>
                              <a:xfrm>
                                <a:off x="0" y="0"/>
                                <a:ext cx="1934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067435" cy="175260"/>
                      <wp:effectExtent l="0" t="0" r="0" b="0"/>
                      <wp:wrapNone/>
                      <wp:docPr id="185" name="Frame184"/>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46" w:type="dxa"/>
            <w:tcBorders>
              <w:top w:val="single" w:sz="2" w:space="0" w:color="A69D64"/>
            </w:tcBorders>
            <w:shd w:fill="auto" w:val="clear"/>
            <w:tcMar>
              <w:top w:w="28" w:type="dxa"/>
            </w:tcM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Vaccitech Switzerland GmbH</w:t>
            </w:r>
          </w:p>
        </w:tc>
        <w:tc>
          <w:tcPr>
            <w:tcW w:w="1681" w:type="dxa"/>
            <w:tcBorders>
              <w:top w:val="single" w:sz="2" w:space="0" w:color="A69D64"/>
            </w:tcBorders>
            <w:shd w:fill="auto" w:val="clear"/>
            <w:tcMar>
              <w:top w:w="28" w:type="dxa"/>
            </w:tcMar>
            <w:vAlign w:val="center"/>
          </w:tcPr>
          <w:p>
            <w:pPr>
              <w:pStyle w:val="TableContents"/>
              <w:spacing w:before="0" w:after="0"/>
              <w:ind w:left="0" w:right="0" w:hanging="0"/>
              <w:rPr/>
            </w:pPr>
            <w:r>
              <w:rPr/>
              <w:t>​</w:t>
            </w:r>
          </w:p>
        </w:tc>
      </w:tr>
      <w:tr>
        <w:trPr/>
        <w:tc>
          <w:tcPr>
            <w:tcW w:w="3046" w:type="dxa"/>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c/o Walder Wyss AG</w:t>
            </w:r>
          </w:p>
        </w:tc>
        <w:tc>
          <w:tcPr>
            <w:tcW w:w="1681" w:type="dxa"/>
            <w:tcBorders/>
            <w:shd w:fill="auto" w:val="clear"/>
            <w:vAlign w:val="center"/>
          </w:tcPr>
          <w:p>
            <w:pPr>
              <w:pStyle w:val="TableContents"/>
              <w:spacing w:before="0" w:after="0"/>
              <w:ind w:left="0" w:right="0" w:hanging="0"/>
              <w:rPr/>
            </w:pPr>
            <w:r>
              <w:rPr/>
              <w:t>​</w:t>
            </w:r>
          </w:p>
        </w:tc>
      </w:tr>
      <w:tr>
        <w:trPr/>
        <w:tc>
          <w:tcPr>
            <w:tcW w:w="3046" w:type="dxa"/>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Aeschenvorstadt 48</w:t>
            </w:r>
          </w:p>
        </w:tc>
        <w:tc>
          <w:tcPr>
            <w:tcW w:w="1681" w:type="dxa"/>
            <w:tcBorders/>
            <w:shd w:fill="auto" w:val="clear"/>
            <w:vAlign w:val="center"/>
          </w:tcPr>
          <w:p>
            <w:pPr>
              <w:pStyle w:val="TableContents"/>
              <w:spacing w:before="0" w:after="0"/>
              <w:ind w:left="0" w:right="0" w:hanging="0"/>
              <w:rPr/>
            </w:pPr>
            <w:r>
              <w:rPr/>
              <w:t>​</w:t>
            </w:r>
          </w:p>
        </w:tc>
      </w:tr>
      <w:tr>
        <w:trPr/>
        <w:tc>
          <w:tcPr>
            <w:tcW w:w="3046" w:type="dxa"/>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4051 Basel</w:t>
            </w:r>
          </w:p>
        </w:tc>
        <w:tc>
          <w:tcPr>
            <w:tcW w:w="1681" w:type="dxa"/>
            <w:tcBorders/>
            <w:shd w:fill="auto" w:val="clear"/>
            <w:vAlign w:val="center"/>
          </w:tcPr>
          <w:p>
            <w:pPr>
              <w:pStyle w:val="TableContents"/>
              <w:spacing w:before="0" w:after="0"/>
              <w:ind w:left="0" w:right="0" w:hanging="0"/>
              <w:rPr/>
            </w:pPr>
            <w:r>
              <w:rPr/>
              <w:t>​</w:t>
            </w:r>
          </w:p>
        </w:tc>
      </w:tr>
      <w:tr>
        <w:trPr/>
        <w:tc>
          <w:tcPr>
            <w:tcW w:w="3046" w:type="dxa"/>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Switzerland</w:t>
            </w:r>
          </w:p>
        </w:tc>
        <w:tc>
          <w:tcPr>
            <w:tcW w:w="1681" w:type="dxa"/>
            <w:tcBorders/>
            <w:shd w:fill="auto" w:val="clear"/>
            <w:vAlign w:val="center"/>
          </w:tcPr>
          <w:p>
            <w:pPr>
              <w:pStyle w:val="TableContents"/>
              <w:spacing w:before="0" w:after="0"/>
              <w:ind w:left="0" w:right="0" w:hanging="0"/>
              <w:jc w:val="right"/>
              <w:rPr>
                <w:rFonts w:ascii="Calibri;Helvetica;sans-serif" w:hAnsi="Calibri;Helvetica;sans-serif"/>
                <w:sz w:val="20"/>
              </w:rPr>
            </w:pPr>
            <w:r>
              <w:rPr>
                <w:rFonts w:ascii="Calibri;Helvetica;sans-serif" w:hAnsi="Calibri;Helvetica;sans-serif"/>
                <w:sz w:val="24"/>
              </w:rPr>
              <w:t xml:space="preserve">(the </w:t>
            </w:r>
            <w:r>
              <w:rPr>
                <w:rFonts w:ascii="Calibri;Helvetica;sans-serif" w:hAnsi="Calibri;Helvetica;sans-serif"/>
                <w:b/>
                <w:sz w:val="24"/>
              </w:rPr>
              <w:t>Company</w:t>
            </w:r>
            <w:r>
              <w:rPr>
                <w:rFonts w:ascii="Calibri;Helvetica;sans-serif" w:hAnsi="Calibri;Helvetica;sans-serif"/>
                <w:sz w:val="24"/>
              </w:rPr>
              <w:t>)</w:t>
            </w:r>
          </w:p>
        </w:tc>
      </w:tr>
      <w:tr>
        <w:trPr/>
        <w:tc>
          <w:tcPr>
            <w:tcW w:w="3046" w:type="dxa"/>
            <w:tcBorders/>
            <w:shd w:fill="auto" w:val="clear"/>
            <w:vAlign w:val="center"/>
          </w:tcPr>
          <w:p>
            <w:pPr>
              <w:pStyle w:val="TableContents"/>
              <w:spacing w:before="0" w:after="0"/>
              <w:ind w:left="0" w:right="0" w:hanging="0"/>
              <w:rPr/>
            </w:pPr>
            <w:r>
              <w:rPr/>
              <w:t>​</w:t>
            </w:r>
          </w:p>
        </w:tc>
        <w:tc>
          <w:tcPr>
            <w:tcW w:w="1681" w:type="dxa"/>
            <w:tcBorders/>
            <w:shd w:fill="auto" w:val="clear"/>
            <w:vAlign w:val="center"/>
          </w:tcPr>
          <w:p>
            <w:pPr>
              <w:pStyle w:val="TableContents"/>
              <w:spacing w:before="0" w:after="0"/>
              <w:ind w:left="0" w:right="0" w:hanging="0"/>
              <w:rPr/>
            </w:pPr>
            <w:r>
              <w:rPr/>
              <w:t>​</w:t>
            </w:r>
          </w:p>
        </w:tc>
      </w:tr>
      <w:tr>
        <w:trPr/>
        <w:tc>
          <w:tcPr>
            <w:tcW w:w="3046" w:type="dxa"/>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and</w:t>
            </w:r>
          </w:p>
        </w:tc>
        <w:tc>
          <w:tcPr>
            <w:tcW w:w="1681" w:type="dxa"/>
            <w:tcBorders/>
            <w:shd w:fill="auto" w:val="clear"/>
            <w:vAlign w:val="center"/>
          </w:tcPr>
          <w:p>
            <w:pPr>
              <w:pStyle w:val="TableContents"/>
              <w:spacing w:before="0" w:after="0"/>
              <w:ind w:left="0" w:right="0" w:hanging="0"/>
              <w:rPr/>
            </w:pPr>
            <w:r>
              <w:rPr/>
              <w:t>​</w:t>
            </w:r>
          </w:p>
        </w:tc>
      </w:tr>
      <w:tr>
        <w:trPr/>
        <w:tc>
          <w:tcPr>
            <w:tcW w:w="3046" w:type="dxa"/>
            <w:tcBorders>
              <w:bottom w:val="single" w:sz="2" w:space="0" w:color="A69D64"/>
            </w:tcBorders>
            <w:shd w:fill="auto" w:val="clear"/>
            <w:tcMar>
              <w:bottom w:w="28" w:type="dxa"/>
            </w:tcM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/s/ Nadege Pelletier</w:t>
            </w:r>
          </w:p>
        </w:tc>
        <w:tc>
          <w:tcPr>
            <w:tcW w:w="1681" w:type="dxa"/>
            <w:tcBorders>
              <w:bottom w:val="single" w:sz="2" w:space="0" w:color="A69D64"/>
            </w:tcBorders>
            <w:shd w:fill="auto" w:val="clear"/>
            <w:tcMar>
              <w:bottom w:w="28" w:type="dxa"/>
            </w:tcMar>
            <w:vAlign w:val="center"/>
          </w:tcPr>
          <w:p>
            <w:pPr>
              <w:pStyle w:val="TableContents"/>
              <w:spacing w:before="0" w:after="0"/>
              <w:ind w:left="0" w:right="0" w:hanging="0"/>
              <w:rPr/>
            </w:pPr>
            <w:r>
              <w:rPr/>
              <w:t>​</w:t>
            </w:r>
          </w:p>
        </w:tc>
      </w:tr>
      <w:tr>
        <w:trPr/>
        <w:tc>
          <w:tcPr>
            <w:tcW w:w="3046" w:type="dxa"/>
            <w:tcBorders>
              <w:top w:val="single" w:sz="2" w:space="0" w:color="A69D64"/>
            </w:tcBorders>
            <w:shd w:fill="auto" w:val="clear"/>
            <w:tcMar>
              <w:top w:w="28" w:type="dxa"/>
            </w:tcM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Nadege Pelletier</w:t>
            </w:r>
          </w:p>
        </w:tc>
        <w:tc>
          <w:tcPr>
            <w:tcW w:w="1681" w:type="dxa"/>
            <w:tcBorders>
              <w:top w:val="single" w:sz="2" w:space="0" w:color="A69D64"/>
            </w:tcBorders>
            <w:shd w:fill="auto" w:val="clear"/>
            <w:tcMar>
              <w:top w:w="28" w:type="dxa"/>
            </w:tcMar>
            <w:vAlign w:val="center"/>
          </w:tcPr>
          <w:p>
            <w:pPr>
              <w:pStyle w:val="TableContents"/>
              <w:spacing w:before="0" w:after="0"/>
              <w:ind w:left="0" w:right="0" w:hanging="0"/>
              <w:jc w:val="right"/>
              <w:rPr>
                <w:rFonts w:ascii="Calibri;Helvetica;sans-serif" w:hAnsi="Calibri;Helvetica;sans-serif"/>
                <w:sz w:val="20"/>
              </w:rPr>
            </w:pPr>
            <w:r>
              <w:rPr>
                <w:rFonts w:ascii="Calibri;Helvetica;sans-serif" w:hAnsi="Calibri;Helvetica;sans-serif"/>
                <w:sz w:val="24"/>
              </w:rPr>
              <w:t xml:space="preserve">(the </w:t>
            </w:r>
            <w:r>
              <w:rPr>
                <w:rFonts w:ascii="Calibri;Helvetica;sans-serif" w:hAnsi="Calibri;Helvetica;sans-serif"/>
                <w:b/>
                <w:sz w:val="24"/>
              </w:rPr>
              <w:t>Employee</w:t>
            </w:r>
            <w:r>
              <w:rPr>
                <w:rFonts w:ascii="Calibri;Helvetica;sans-serif" w:hAnsi="Calibri;Helvetica;sans-serif"/>
                <w:sz w:val="24"/>
              </w:rPr>
              <w:t>)</w:t>
            </w:r>
          </w:p>
        </w:tc>
      </w:tr>
    </w:tbl>
    <w:p>
      <w:pPr>
        <w:pStyle w:val="TextBody"/>
        <w:spacing w:before="0" w:after="0"/>
        <w:ind w:left="0" w:right="0" w:hanging="0"/>
        <w:rPr/>
      </w:pPr>
      <w:r>
        <w:rPr/>
        <w:t>​</w:t>
      </w:r>
    </w:p>
    <w:p>
      <w:pPr>
        <w:pStyle w:val="TextBody"/>
        <w:spacing w:before="0" w:after="240"/>
        <w:ind w:left="0" w:right="0" w:hanging="0"/>
        <w:jc w:val="right"/>
        <w:rPr>
          <w:rFonts w:ascii="Calibri;Helvetica;sans-serif" w:hAnsi="Calibri;Helvetica;sans-serif"/>
          <w:sz w:val="20"/>
        </w:rPr>
      </w:pPr>
      <w:r>
        <w:rPr>
          <w:rFonts w:ascii="Calibri;Helvetica;sans-serif" w:hAnsi="Calibri;Helvetica;sans-serif"/>
          <w:sz w:val="24"/>
        </w:rPr>
        <w:t xml:space="preserve">(The Company and the Employee are also referred to as </w:t>
      </w:r>
      <w:r>
        <w:rPr>
          <w:rFonts w:ascii="Calibri;Helvetica;sans-serif" w:hAnsi="Calibri;Helvetica;sans-serif"/>
          <w:b/>
          <w:sz w:val="24"/>
        </w:rPr>
        <w:t>Party</w:t>
      </w:r>
      <w:r>
        <w:rPr>
          <w:rFonts w:ascii="Calibri;Helvetica;sans-serif" w:hAnsi="Calibri;Helvetica;sans-serif"/>
          <w:sz w:val="20"/>
        </w:rPr>
        <w:t xml:space="preserve"> </w:t>
      </w:r>
      <w:r>
        <w:rPr>
          <w:rFonts w:ascii="Calibri;Helvetica;sans-serif" w:hAnsi="Calibri;Helvetica;sans-serif"/>
          <w:sz w:val="24"/>
        </w:rPr>
        <w:t xml:space="preserve">or </w:t>
      </w:r>
      <w:r>
        <w:rPr>
          <w:rFonts w:ascii="Calibri;Helvetica;sans-serif" w:hAnsi="Calibri;Helvetica;sans-serif"/>
          <w:b/>
          <w:sz w:val="24"/>
        </w:rPr>
        <w:t>Parties</w:t>
      </w:r>
      <w:r>
        <w:rPr>
          <w:rFonts w:ascii="Calibri;Helvetica;sans-serif" w:hAnsi="Calibri;Helvetica;sans-serif"/>
          <w:sz w:val="24"/>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top w:val="single" w:sz="2" w:space="1" w:color="A69D64"/>
        </w:pBdr>
        <w:spacing w:before="0" w:after="0"/>
        <w:ind w:left="0" w:right="0" w:hanging="0"/>
        <w:rPr>
          <w:rFonts w:ascii="Calibri;Helvetica;sans-serif" w:hAnsi="Calibri;Helvetica;sans-serif"/>
          <w:b/>
          <w:sz w:val="24"/>
        </w:rPr>
      </w:pPr>
      <w:r>
        <w:rPr>
          <w:rFonts w:ascii="Calibri;Helvetica;sans-serif" w:hAnsi="Calibri;Helvetica;sans-serif"/>
          <w:b/>
          <w:sz w:val="24"/>
        </w:rPr>
        <w:t>Table of Contents</w:t>
      </w:r>
    </w:p>
    <w:p>
      <w:pPr>
        <w:pStyle w:val="TextBody"/>
        <w:spacing w:before="0" w:after="0"/>
        <w:ind w:left="0" w:right="0" w:hanging="0"/>
        <w:rPr/>
      </w:pPr>
      <w:r>
        <w:rPr/>
        <w:t>​</w:t>
      </w:r>
    </w:p>
    <w:tbl>
      <w:tblPr>
        <w:tblW w:w="7112" w:type="dxa"/>
        <w:jc w:val="center"/>
        <w:tblInd w:w="0" w:type="dxa"/>
        <w:tblCellMar>
          <w:top w:w="0" w:type="dxa"/>
          <w:left w:w="0" w:type="dxa"/>
          <w:bottom w:w="0" w:type="dxa"/>
          <w:right w:w="0" w:type="dxa"/>
        </w:tblCellMar>
      </w:tblPr>
      <w:tblGrid>
        <w:gridCol w:w="421"/>
        <w:gridCol w:w="607"/>
        <w:gridCol w:w="5693"/>
        <w:gridCol w:w="391"/>
      </w:tblGrid>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1.</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Takeover of Employment Agreement / Release and Waiver</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4</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2.</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Condition Precedent</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4</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3.</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Commencement Date</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5</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4.</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Function and Job Title</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5</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5.</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Group Structure</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5</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6.</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Duties and Responsibilities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5</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7.</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Work for Third Parties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6</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8.</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Officer Position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6</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9.</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Conflict of Interests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6</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10.</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Place of Work and Business Trips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7</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10.1.</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Remote Working</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7</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10.2.</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Standards for Remote Working</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7</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10.3.</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Equipment and Data Safety regarding Remote Working</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8</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10.4.</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Remote Working Allowance</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9</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11.</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Compensation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9</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11.1.</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Base Salary</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9</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11.2.</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Bonus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9</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11.3.</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Participation Plan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10</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11.4.</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Acknowledgements of the Employee</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10</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11.5.</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No other Compensation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10</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11.6.</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Deductions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10</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12.</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Expenses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11</w:t>
            </w:r>
          </w:p>
        </w:tc>
      </w:tr>
      <w:tr>
        <w:trPr/>
        <w:tc>
          <w:tcPr>
            <w:tcW w:w="421" w:type="dxa"/>
            <w:tcBorders/>
            <w:shd w:fill="auto" w:val="clear"/>
            <w:vAlign w:val="center"/>
          </w:tcPr>
          <w:p>
            <w:pPr>
              <w:pStyle w:val="TableContents"/>
              <w:spacing w:before="0" w:after="0"/>
              <w:ind w:left="0" w:right="0" w:hanging="0"/>
              <w:rPr/>
            </w:pPr>
            <w:r>
              <w:rPr/>
              <w:t>​</w:t>
            </w:r>
          </w:p>
        </w:tc>
        <w:tc>
          <w:tcPr>
            <w:tcW w:w="6300" w:type="dxa"/>
            <w:gridSpan w:val="2"/>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13.</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Probation Period and Termination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11</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13.1.</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Probation Period</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11</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13.2.</w:t>
            </w:r>
          </w:p>
        </w:tc>
        <w:tc>
          <w:tcPr>
            <w:tcW w:w="5693"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Termination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11</w:t>
            </w:r>
          </w:p>
        </w:tc>
      </w:tr>
      <w:tr>
        <w:trPr/>
        <w:tc>
          <w:tcPr>
            <w:tcW w:w="421"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rPr/>
            </w:pPr>
            <w:r>
              <w:rPr/>
              <w:t>​</w:t>
            </w:r>
          </w:p>
        </w:tc>
        <w:tc>
          <w:tcPr>
            <w:tcW w:w="5693"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14.</w:t>
            </w:r>
          </w:p>
        </w:tc>
        <w:tc>
          <w:tcPr>
            <w:tcW w:w="6300"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Work Equipment and Obligation to Return Work Equipment</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12</w:t>
            </w:r>
          </w:p>
        </w:tc>
      </w:tr>
    </w:tbl>
    <w:p>
      <w:pPr>
        <w:pStyle w:val="TextBody"/>
        <w:spacing w:before="0" w:after="0"/>
        <w:ind w:left="0" w:right="0" w:hanging="0"/>
        <w:rPr/>
      </w:pPr>
      <w:r>
        <w:rPr/>
        <w:t>​</w:t>
      </w:r>
    </w:p>
    <w:p>
      <w:pPr>
        <w:pStyle w:val="TextBody"/>
        <w:spacing w:before="0" w:after="18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2</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tbl>
      <w:tblPr>
        <w:tblW w:w="6154" w:type="dxa"/>
        <w:jc w:val="center"/>
        <w:tblInd w:w="0" w:type="dxa"/>
        <w:tblCellMar>
          <w:top w:w="0" w:type="dxa"/>
          <w:left w:w="0" w:type="dxa"/>
          <w:bottom w:w="0" w:type="dxa"/>
          <w:right w:w="0" w:type="dxa"/>
        </w:tblCellMar>
      </w:tblPr>
      <w:tblGrid>
        <w:gridCol w:w="421"/>
        <w:gridCol w:w="586"/>
        <w:gridCol w:w="4756"/>
        <w:gridCol w:w="391"/>
      </w:tblGrid>
      <w:tr>
        <w:trPr/>
        <w:tc>
          <w:tcPr>
            <w:tcW w:w="42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r>
      <w:tr>
        <w:trPr/>
        <w:tc>
          <w:tcPr>
            <w:tcW w:w="421" w:type="dxa"/>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15.</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Working Time</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12</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15.1.</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General</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12</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15.2.</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Additional Work</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12</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16.</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Vacation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13</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17.</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Public Holidays and Short Absences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14</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17.1.</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Public Holidays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14</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17.2.</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Short Absences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14</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18.</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Incapacity to Work and Insurances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14</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18.1.</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Medical Certificate</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15</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18.2.</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Salary in case of Employee’s Incapacity to Work</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15</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18.3.</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Occupational and Non-occupational Accidents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15</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18.4.</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 xml:space="preserve">Health Insurance (Illness) </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16</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18.5.</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Pension Plan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16</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19.</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Intellectual Property Rights and Work Results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16</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20.</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Data Protection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18</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21.</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Non-Competition and Non-Solicitation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18</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21.1.</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Non-Competition during Employment</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18</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21.2.</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Post-Contractual Non-Competition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18</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21.3.</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Post-Contractual Non-Solicitation</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19</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21.4.</w:t>
            </w:r>
          </w:p>
        </w:tc>
        <w:tc>
          <w:tcPr>
            <w:tcW w:w="475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Penalty</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19</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22.</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Confidentiality</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21</w:t>
            </w:r>
          </w:p>
        </w:tc>
      </w:tr>
      <w:tr>
        <w:trPr/>
        <w:tc>
          <w:tcPr>
            <w:tcW w:w="421" w:type="dxa"/>
            <w:tcBorders/>
            <w:shd w:fill="auto" w:val="clear"/>
            <w:vAlign w:val="center"/>
          </w:tcPr>
          <w:p>
            <w:pPr>
              <w:pStyle w:val="TableContents"/>
              <w:pBdr/>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jc w:val="right"/>
              <w:rPr/>
            </w:pPr>
            <w:r>
              <w:rPr/>
              <w:t>​</w:t>
            </w:r>
          </w:p>
        </w:tc>
      </w:tr>
      <w:tr>
        <w:trPr/>
        <w:tc>
          <w:tcPr>
            <w:tcW w:w="421" w:type="dxa"/>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23.</w:t>
            </w:r>
          </w:p>
        </w:tc>
        <w:tc>
          <w:tcPr>
            <w:tcW w:w="5342" w:type="dxa"/>
            <w:gridSpan w:val="2"/>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Miscellaneous</w:t>
            </w:r>
          </w:p>
        </w:tc>
        <w:tc>
          <w:tcPr>
            <w:tcW w:w="391" w:type="dxa"/>
            <w:tcBorders/>
            <w:shd w:fill="auto" w:val="clear"/>
            <w:vAlign w:val="center"/>
          </w:tcPr>
          <w:p>
            <w:pPr>
              <w:pStyle w:val="TableContents"/>
              <w:spacing w:before="0" w:after="0"/>
              <w:ind w:left="0" w:right="0" w:hanging="0"/>
              <w:jc w:val="right"/>
              <w:rPr>
                <w:rFonts w:ascii="Calibri;Helvetica;sans-serif" w:hAnsi="Calibri;Helvetica;sans-serif"/>
                <w:b/>
                <w:sz w:val="24"/>
              </w:rPr>
            </w:pPr>
            <w:r>
              <w:rPr>
                <w:rFonts w:ascii="Calibri;Helvetica;sans-serif" w:hAnsi="Calibri;Helvetica;sans-serif"/>
                <w:b/>
                <w:sz w:val="24"/>
              </w:rPr>
              <w:t>21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3</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0"/>
        <w:ind w:left="0" w:right="0" w:hanging="0"/>
        <w:rPr/>
      </w:pPr>
      <w:r>
        <w:rPr/>
        <w:t>​</w:t>
      </w:r>
    </w:p>
    <w:p>
      <w:pPr>
        <w:pStyle w:val="TextBody"/>
        <w:pBdr>
          <w:top w:val="single" w:sz="2" w:space="1" w:color="A69D64"/>
        </w:pBdr>
        <w:spacing w:before="0" w:after="240"/>
        <w:ind w:left="0" w:right="0" w:hanging="0"/>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0"/>
        <w:ind w:left="0" w:right="0" w:hanging="0"/>
        <w:rPr>
          <w:rFonts w:ascii="Calibri;Helvetica;sans-serif" w:hAnsi="Calibri;Helvetica;sans-serif"/>
          <w:sz w:val="20"/>
        </w:rPr>
      </w:pPr>
      <w:r>
        <w:rPr>
          <w:rFonts w:ascii="Calibri;Helvetica;sans-serif" w:hAnsi="Calibri;Helvetica;sans-serif"/>
          <w:b/>
          <w:i w:val="false"/>
          <w:caps w:val="false"/>
          <w:smallCaps w:val="false"/>
          <w:sz w:val="24"/>
        </w:rPr>
        <w:t>1.</w:t>
      </w:r>
      <w:r>
        <w:rPr>
          <w:rFonts w:ascii="Calibri;Helvetica;sans-serif" w:hAnsi="Calibri;Helvetica;sans-serif"/>
          <w:b/>
          <w:sz w:val="24"/>
        </w:rPr>
        <w:t>Takeover of Employment Agreement / Release and Waiver</w:t>
      </w:r>
    </w:p>
    <w:p>
      <w:pPr>
        <w:pStyle w:val="TextBody"/>
        <w:spacing w:before="0" w:after="0"/>
        <w:ind w:left="0" w:right="0" w:hanging="0"/>
        <w:rPr/>
      </w:pPr>
      <w:r>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Parties acknowledge that the Company has been incorporated on 18 January 2023. The newly incorporated Company hereby explicitly takes over the former employment agreement concluded between the Company (in formation) and the Employee on 26/28 September 2022 with all its liabilities.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hereby fully releases and discharges the founders of the Company, in particular William Enright, from any and all claims and/or obligations and acknowledges and agrees that she has no further rights or claims resulting from the employment relationship and/or the employment agreement dated 26/28 September 2022 against them.</w:t>
      </w:r>
    </w:p>
    <w:p>
      <w:pPr>
        <w:pStyle w:val="TextBody"/>
        <w:pBdr>
          <w:bottom w:val="single" w:sz="2" w:space="1" w:color="A69D64"/>
        </w:pBdr>
        <w:spacing w:before="0" w:after="0"/>
        <w:ind w:left="0" w:right="0" w:hanging="0"/>
        <w:rPr/>
      </w:pPr>
      <w:r>
        <w:rPr/>
        <w:t>​</w:t>
      </w:r>
    </w:p>
    <w:tbl>
      <w:tblPr>
        <w:tblW w:w="2320" w:type="dxa"/>
        <w:jc w:val="left"/>
        <w:tblInd w:w="0" w:type="dxa"/>
        <w:tblCellMar>
          <w:top w:w="0" w:type="dxa"/>
          <w:left w:w="0" w:type="dxa"/>
          <w:bottom w:w="0" w:type="dxa"/>
          <w:right w:w="0" w:type="dxa"/>
        </w:tblCellMar>
      </w:tblPr>
      <w:tblGrid>
        <w:gridCol w:w="200"/>
        <w:gridCol w:w="2120"/>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2.</w:t>
            </w:r>
          </w:p>
        </w:tc>
        <w:tc>
          <w:tcPr>
            <w:tcW w:w="2120" w:type="dxa"/>
            <w:tcBorders/>
            <w:shd w:fill="auto" w:val="clear"/>
            <w:vAlign w:val="center"/>
          </w:tcPr>
          <w:p>
            <w:pPr>
              <w:pStyle w:val="TableContents"/>
              <w:spacing w:before="0" w:after="0"/>
              <w:ind w:left="0" w:right="0" w:hanging="0"/>
              <w:rPr>
                <w:rFonts w:ascii="Calibri;Helvetica;sans-serif" w:hAnsi="Calibri;Helvetica;sans-serif"/>
                <w:sz w:val="20"/>
              </w:rPr>
            </w:pPr>
            <w:r>
              <w:rPr>
                <w:rFonts w:ascii="Calibri;Helvetica;sans-serif" w:hAnsi="Calibri;Helvetica;sans-serif"/>
                <w:b/>
                <w:sz w:val="24"/>
              </w:rPr>
              <w:t>Condition Precedent</w:t>
              <w:br/>
            </w:r>
            <w:r>
              <w:rPr>
                <w:rFonts w:ascii="Calibri;Helvetica;sans-serif" w:hAnsi="Calibri;Helvetica;sans-serif"/>
                <w:sz w:val="20"/>
              </w:rPr>
              <w:t>​</w:t>
            </w:r>
          </w:p>
        </w:tc>
      </w:tr>
    </w:tbl>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This employment agreement (the </w:t>
      </w:r>
      <w:r>
        <w:rPr>
          <w:rFonts w:ascii="Calibri;Helvetica;sans-serif" w:hAnsi="Calibri;Helvetica;sans-serif"/>
          <w:b/>
          <w:sz w:val="24"/>
        </w:rPr>
        <w:t>Employment Agreement</w:t>
      </w:r>
      <w:r>
        <w:rPr>
          <w:rFonts w:ascii="Calibri;Helvetica;sans-serif" w:hAnsi="Calibri;Helvetica;sans-serif"/>
          <w:sz w:val="24"/>
        </w:rPr>
        <w:t xml:space="preserve">) and the employment relationship (the </w:t>
      </w:r>
      <w:r>
        <w:rPr>
          <w:rFonts w:ascii="Calibri;Helvetica;sans-serif" w:hAnsi="Calibri;Helvetica;sans-serif"/>
          <w:b/>
          <w:sz w:val="24"/>
        </w:rPr>
        <w:t>Employment</w:t>
      </w:r>
      <w:r>
        <w:rPr>
          <w:rFonts w:ascii="Calibri;Helvetica;sans-serif" w:hAnsi="Calibri;Helvetica;sans-serif"/>
          <w:sz w:val="24"/>
        </w:rPr>
        <w:t>) created thereby are conditional on the grant of the necessary work permit, if any, by the competent Swiss authorities on the scheduled Commencement Date (as defined below).</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the necessary work permit is not granted on the scheduled Commencement Date, the start date of the Employment shall, without payment, be postponed to the moment where the Employee receives the respective permit. If the necessary permit is not granted until three months after the scheduled Commencement Date, this Employment Agreement shall, with the exception of the clauses relating to applicable law and confidentiality, be considered ineffective.</w:t>
      </w:r>
    </w:p>
    <w:p>
      <w:pPr>
        <w:pStyle w:val="TextBody"/>
        <w:spacing w:before="0" w:after="240"/>
        <w:ind w:left="1080" w:right="0" w:hanging="0"/>
        <w:rPr>
          <w:rFonts w:ascii="Calibri;Helvetica;sans-serif" w:hAnsi="Calibri;Helvetica;sans-serif"/>
          <w:sz w:val="24"/>
        </w:rPr>
      </w:pPr>
      <w:r>
        <w:rPr>
          <w:rFonts w:ascii="Calibri;Helvetica;sans-serif" w:hAnsi="Calibri;Helvetica;sans-serif"/>
          <w:sz w:val="24"/>
        </w:rPr>
        <w:t>Furthermore, the Employee shall be responsible for the existence of a valid work permit for the entire duration of the Employment. If the work permit expires or is revoked during the Employment, the Employee shall immediately inform the Company thereof. The Employee shall compensate the Company for all damages resulting from the non-existence of the permit.</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4</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bottom w:val="single" w:sz="2" w:space="1" w:color="A69D64"/>
        </w:pBdr>
        <w:spacing w:before="0" w:after="0"/>
        <w:ind w:left="0" w:right="0" w:hanging="0"/>
        <w:rPr/>
      </w:pPr>
      <w:r>
        <w:rPr/>
        <w:t>​</w:t>
      </w:r>
    </w:p>
    <w:tbl>
      <w:tblPr>
        <w:tblW w:w="2425" w:type="dxa"/>
        <w:jc w:val="left"/>
        <w:tblInd w:w="0" w:type="dxa"/>
        <w:tblCellMar>
          <w:top w:w="0" w:type="dxa"/>
          <w:left w:w="0" w:type="dxa"/>
          <w:bottom w:w="0" w:type="dxa"/>
          <w:right w:w="0" w:type="dxa"/>
        </w:tblCellMar>
      </w:tblPr>
      <w:tblGrid>
        <w:gridCol w:w="200"/>
        <w:gridCol w:w="2225"/>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3.</w:t>
            </w:r>
          </w:p>
        </w:tc>
        <w:tc>
          <w:tcPr>
            <w:tcW w:w="2225"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Commencement Date</w:t>
            </w:r>
          </w:p>
        </w:tc>
      </w:tr>
    </w:tbl>
    <w:p>
      <w:pPr>
        <w:pStyle w:val="TextBody"/>
        <w:spacing w:before="0" w:after="0"/>
        <w:ind w:left="0" w:right="0" w:hanging="0"/>
        <w:rPr/>
      </w:pPr>
      <w:r>
        <w:rPr/>
        <w:t>​</w:t>
      </w:r>
    </w:p>
    <w:p>
      <w:pPr>
        <w:pStyle w:val="TextBody"/>
        <w:spacing w:before="0" w:after="0"/>
        <w:ind w:left="1008" w:right="0" w:hanging="0"/>
        <w:rPr>
          <w:rFonts w:ascii="Calibri;Helvetica;sans-serif" w:hAnsi="Calibri;Helvetica;sans-serif"/>
          <w:sz w:val="20"/>
        </w:rPr>
      </w:pPr>
      <w:r>
        <w:rPr>
          <w:rFonts w:ascii="Calibri;Helvetica;sans-serif" w:hAnsi="Calibri;Helvetica;sans-serif"/>
          <w:sz w:val="24"/>
        </w:rPr>
        <w:t xml:space="preserve">The Employment of the Employee starts (unless otherwise agreed by the parties) on 1 February 2023 (the </w:t>
      </w:r>
      <w:r>
        <w:rPr>
          <w:rFonts w:ascii="Calibri;Helvetica;sans-serif" w:hAnsi="Calibri;Helvetica;sans-serif"/>
          <w:b/>
          <w:sz w:val="24"/>
        </w:rPr>
        <w:t>Commencement Date</w:t>
      </w:r>
      <w:r>
        <w:rPr>
          <w:rFonts w:ascii="Calibri;Helvetica;sans-serif" w:hAnsi="Calibri;Helvetica;sans-serif"/>
          <w:sz w:val="24"/>
        </w:rPr>
        <w:t>). It shall be concluded for an indefinite period.</w:t>
      </w:r>
    </w:p>
    <w:p>
      <w:pPr>
        <w:pStyle w:val="TextBody"/>
        <w:pBdr>
          <w:bottom w:val="single" w:sz="2" w:space="1" w:color="A69D64"/>
        </w:pBdr>
        <w:spacing w:before="0" w:after="0"/>
        <w:ind w:left="0" w:right="0" w:hanging="0"/>
        <w:rPr/>
      </w:pPr>
      <w:r>
        <w:rPr/>
        <w:t>​</w:t>
      </w:r>
    </w:p>
    <w:tbl>
      <w:tblPr>
        <w:tblW w:w="2470" w:type="dxa"/>
        <w:jc w:val="left"/>
        <w:tblInd w:w="0" w:type="dxa"/>
        <w:tblCellMar>
          <w:top w:w="0" w:type="dxa"/>
          <w:left w:w="0" w:type="dxa"/>
          <w:bottom w:w="0" w:type="dxa"/>
          <w:right w:w="0" w:type="dxa"/>
        </w:tblCellMar>
      </w:tblPr>
      <w:tblGrid>
        <w:gridCol w:w="200"/>
        <w:gridCol w:w="2270"/>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4.</w:t>
            </w:r>
          </w:p>
        </w:tc>
        <w:tc>
          <w:tcPr>
            <w:tcW w:w="227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Function and Job Title</w:t>
            </w:r>
          </w:p>
        </w:tc>
      </w:tr>
    </w:tbl>
    <w:p>
      <w:pPr>
        <w:pStyle w:val="TextBody"/>
        <w:spacing w:before="0" w:after="0"/>
        <w:ind w:left="0" w:right="0" w:hanging="0"/>
        <w:rPr/>
      </w:pPr>
      <w:r>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shall assume the function as Chief Scientific Officer (CSO) and shall be working 100%. The function and/or the job title may be adjusted by the Company at any time to reflect current circumstances.</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The employee shall be supported by an executive coach in adjusting to the CSO role.</w:t>
      </w:r>
    </w:p>
    <w:p>
      <w:pPr>
        <w:pStyle w:val="TextBody"/>
        <w:pBdr>
          <w:bottom w:val="single" w:sz="2" w:space="1" w:color="A69D64"/>
        </w:pBdr>
        <w:spacing w:before="0" w:after="0"/>
        <w:ind w:left="0" w:right="0" w:hanging="0"/>
        <w:rPr/>
      </w:pPr>
      <w:r>
        <w:rPr/>
        <w:t>​</w:t>
      </w:r>
    </w:p>
    <w:tbl>
      <w:tblPr>
        <w:tblW w:w="1900" w:type="dxa"/>
        <w:jc w:val="left"/>
        <w:tblInd w:w="0" w:type="dxa"/>
        <w:tblCellMar>
          <w:top w:w="0" w:type="dxa"/>
          <w:left w:w="0" w:type="dxa"/>
          <w:bottom w:w="0" w:type="dxa"/>
          <w:right w:w="0" w:type="dxa"/>
        </w:tblCellMar>
      </w:tblPr>
      <w:tblGrid>
        <w:gridCol w:w="200"/>
        <w:gridCol w:w="1700"/>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5.</w:t>
            </w:r>
          </w:p>
        </w:tc>
        <w:tc>
          <w:tcPr>
            <w:tcW w:w="17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Group Structure</w:t>
            </w:r>
          </w:p>
        </w:tc>
      </w:tr>
    </w:tbl>
    <w:p>
      <w:pPr>
        <w:pStyle w:val="TextBody"/>
        <w:spacing w:before="0" w:after="0"/>
        <w:ind w:left="0" w:right="0" w:hanging="0"/>
        <w:rPr/>
      </w:pPr>
      <w:r>
        <w:rPr/>
        <w:t>​</w:t>
      </w:r>
    </w:p>
    <w:p>
      <w:pPr>
        <w:pStyle w:val="TextBody"/>
        <w:spacing w:before="0" w:after="0"/>
        <w:ind w:left="1008" w:right="0" w:hanging="0"/>
        <w:rPr>
          <w:rFonts w:ascii="Calibri;Helvetica;sans-serif" w:hAnsi="Calibri;Helvetica;sans-serif"/>
          <w:sz w:val="20"/>
        </w:rPr>
      </w:pPr>
      <w:r>
        <w:rPr>
          <w:rFonts w:ascii="Calibri;Helvetica;sans-serif" w:hAnsi="Calibri;Helvetica;sans-serif"/>
          <w:sz w:val="24"/>
        </w:rPr>
        <w:t xml:space="preserve">The Employee acknowledges that the Company is part of a group of companies ultimately controlled by Vaccitech PLC (each such company including the holding company a </w:t>
      </w:r>
      <w:r>
        <w:rPr>
          <w:rFonts w:ascii="Calibri;Helvetica;sans-serif" w:hAnsi="Calibri;Helvetica;sans-serif"/>
          <w:b/>
          <w:sz w:val="24"/>
        </w:rPr>
        <w:t>Group Company</w:t>
      </w:r>
      <w:r>
        <w:rPr>
          <w:rFonts w:ascii="Calibri;Helvetica;sans-serif" w:hAnsi="Calibri;Helvetica;sans-serif"/>
          <w:sz w:val="24"/>
        </w:rPr>
        <w:t>, together the</w:t>
      </w:r>
      <w:r>
        <w:rPr>
          <w:rFonts w:ascii="Calibri;Helvetica;sans-serif" w:hAnsi="Calibri;Helvetica;sans-serif"/>
          <w:sz w:val="20"/>
        </w:rPr>
        <w:t xml:space="preserve"> </w:t>
      </w:r>
      <w:r>
        <w:rPr>
          <w:rFonts w:ascii="Calibri;Helvetica;sans-serif" w:hAnsi="Calibri;Helvetica;sans-serif"/>
          <w:b/>
          <w:sz w:val="24"/>
        </w:rPr>
        <w:t>Group</w:t>
      </w:r>
      <w:r>
        <w:rPr>
          <w:rFonts w:ascii="Calibri;Helvetica;sans-serif" w:hAnsi="Calibri;Helvetica;sans-serif"/>
          <w:sz w:val="24"/>
        </w:rPr>
        <w:t>). The Employee acknowledges that the Employee will need to work with and/or report to other employees and/or officers of other Group Companies. The Employee acknowledges that this does not create separate employment relationships with other Group Companies.</w:t>
      </w:r>
    </w:p>
    <w:p>
      <w:pPr>
        <w:pStyle w:val="TextBody"/>
        <w:pBdr>
          <w:bottom w:val="single" w:sz="2" w:space="1" w:color="A69D64"/>
        </w:pBdr>
        <w:spacing w:before="0" w:after="0"/>
        <w:ind w:left="0" w:right="0" w:hanging="0"/>
        <w:rPr/>
      </w:pPr>
      <w:r>
        <w:rPr/>
        <w:t>​</w:t>
      </w:r>
    </w:p>
    <w:tbl>
      <w:tblPr>
        <w:tblW w:w="2920" w:type="dxa"/>
        <w:jc w:val="left"/>
        <w:tblInd w:w="0" w:type="dxa"/>
        <w:tblCellMar>
          <w:top w:w="0" w:type="dxa"/>
          <w:left w:w="0" w:type="dxa"/>
          <w:bottom w:w="0" w:type="dxa"/>
          <w:right w:w="0" w:type="dxa"/>
        </w:tblCellMar>
      </w:tblPr>
      <w:tblGrid>
        <w:gridCol w:w="200"/>
        <w:gridCol w:w="2720"/>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6.</w:t>
            </w:r>
          </w:p>
        </w:tc>
        <w:tc>
          <w:tcPr>
            <w:tcW w:w="27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Duties and Responsibilities</w:t>
            </w:r>
          </w:p>
        </w:tc>
      </w:tr>
    </w:tbl>
    <w:p>
      <w:pPr>
        <w:pStyle w:val="TextBody"/>
        <w:spacing w:before="0" w:after="0"/>
        <w:ind w:left="0" w:right="0" w:hanging="0"/>
        <w:rPr/>
      </w:pPr>
      <w:r>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It is understood that the duties and responsibilities arising out of the above function include all tasks customarily or reasonably incidental to such function and those expressly mentioned in this Employment Agreement / the Job Profile.</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Company may assign to the Employee any other, additional or new duties or responsibilities as deemed reasonable or appropriate by the Company in the course and fulfilment of its business.</w:t>
      </w:r>
    </w:p>
    <w:p>
      <w:pPr>
        <w:pStyle w:val="TextBody"/>
        <w:spacing w:before="0" w:after="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5</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The Employee undertakes to use the Employee’s entire working ability to fulfil the Employee’s contractual obligations and to loyally safeguard and foster the business and the interests of the Company. The Employee shall carefully perform all work and tasks assigned to the Employee.</w:t>
      </w:r>
    </w:p>
    <w:p>
      <w:pPr>
        <w:pStyle w:val="TextBody"/>
        <w:pBdr>
          <w:bottom w:val="single" w:sz="2" w:space="1" w:color="A69D64"/>
        </w:pBdr>
        <w:spacing w:before="0" w:after="0"/>
        <w:ind w:left="0" w:right="0" w:hanging="0"/>
        <w:rPr/>
      </w:pPr>
      <w:r>
        <w:rPr/>
        <w:t>​</w:t>
      </w:r>
    </w:p>
    <w:tbl>
      <w:tblPr>
        <w:tblW w:w="2500" w:type="dxa"/>
        <w:jc w:val="left"/>
        <w:tblInd w:w="0" w:type="dxa"/>
        <w:tblCellMar>
          <w:top w:w="0" w:type="dxa"/>
          <w:left w:w="0" w:type="dxa"/>
          <w:bottom w:w="0" w:type="dxa"/>
          <w:right w:w="0" w:type="dxa"/>
        </w:tblCellMar>
      </w:tblPr>
      <w:tblGrid>
        <w:gridCol w:w="200"/>
        <w:gridCol w:w="2300"/>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7.</w:t>
            </w:r>
          </w:p>
        </w:tc>
        <w:tc>
          <w:tcPr>
            <w:tcW w:w="23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Work for Third Parties</w:t>
            </w:r>
          </w:p>
        </w:tc>
      </w:tr>
    </w:tbl>
    <w:p>
      <w:pPr>
        <w:pStyle w:val="TextBody"/>
        <w:spacing w:before="0" w:after="0"/>
        <w:ind w:left="0" w:right="0" w:hanging="0"/>
        <w:rPr/>
      </w:pPr>
      <w:r>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is not entitled to work for any third party or to engage in any gainful or unpaid employment, whether full-time or part-time, for the duration of the Employment Agreement without the prior written approval of the Company.</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same applies to the holding of public offices as well as any participation in companies of more than 5%.</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Membership of the boards of directors of other companies and other institutions that are related to the business purpose of the Company or otherwise affect the interests of the Company or a Group Company also requires the prior consent of the Company.</w:t>
      </w:r>
    </w:p>
    <w:p>
      <w:pPr>
        <w:pStyle w:val="TextBody"/>
        <w:pBdr>
          <w:bottom w:val="single" w:sz="2" w:space="1" w:color="A69D64"/>
        </w:pBdr>
        <w:spacing w:before="0" w:after="0"/>
        <w:ind w:left="0" w:right="0" w:hanging="0"/>
        <w:rPr/>
      </w:pPr>
      <w:r>
        <w:rPr/>
        <w:t>​</w:t>
      </w:r>
    </w:p>
    <w:tbl>
      <w:tblPr>
        <w:tblW w:w="1780" w:type="dxa"/>
        <w:jc w:val="left"/>
        <w:tblInd w:w="0" w:type="dxa"/>
        <w:tblCellMar>
          <w:top w:w="0" w:type="dxa"/>
          <w:left w:w="0" w:type="dxa"/>
          <w:bottom w:w="0" w:type="dxa"/>
          <w:right w:w="0" w:type="dxa"/>
        </w:tblCellMar>
      </w:tblPr>
      <w:tblGrid>
        <w:gridCol w:w="200"/>
        <w:gridCol w:w="1580"/>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8.</w:t>
            </w:r>
          </w:p>
        </w:tc>
        <w:tc>
          <w:tcPr>
            <w:tcW w:w="1580" w:type="dxa"/>
            <w:tcBorders/>
            <w:shd w:fill="auto" w:val="clear"/>
            <w:vAlign w:val="center"/>
          </w:tcPr>
          <w:p>
            <w:pPr>
              <w:pStyle w:val="TableContents"/>
              <w:spacing w:before="0" w:after="0"/>
              <w:ind w:left="0" w:right="0" w:hanging="0"/>
              <w:rPr>
                <w:rFonts w:ascii="Calibri;Helvetica;sans-serif" w:hAnsi="Calibri;Helvetica;sans-serif"/>
                <w:sz w:val="20"/>
              </w:rPr>
            </w:pPr>
            <w:r>
              <w:rPr>
                <w:rFonts w:ascii="Calibri;Helvetica;sans-serif" w:hAnsi="Calibri;Helvetica;sans-serif"/>
                <w:b/>
                <w:sz w:val="24"/>
              </w:rPr>
              <w:t>Officer Position</w:t>
              <w:br/>
            </w:r>
            <w:r>
              <w:rPr>
                <w:rFonts w:ascii="Calibri;Helvetica;sans-serif" w:hAnsi="Calibri;Helvetica;sans-serif"/>
                <w:sz w:val="20"/>
              </w:rPr>
              <w:t>​</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In fulfilment of the Employee’s duties, the Employee may have to act as officer, director or in any other corporate function within the Company or any Group Company. The Company may decide at its full discretion when such function shall end, and the Employee will retire from such functions and sign the necessary documentation upon first request.</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The base salary as defined in Section 11.1 includes any and all remuneration for such functions and positions. In case the law provides for a mandatory remuneration the Company will decide whether such compensation shall be forwarded to the Company or be set off against the base salary as defined in Section 10.1 paid to the Employee by the Company.</w:t>
      </w:r>
    </w:p>
    <w:p>
      <w:pPr>
        <w:pStyle w:val="TextBody"/>
        <w:pBdr>
          <w:bottom w:val="single" w:sz="2" w:space="1" w:color="A69D64"/>
        </w:pBdr>
        <w:spacing w:before="0" w:after="0"/>
        <w:ind w:left="0" w:right="0" w:hanging="0"/>
        <w:rPr/>
      </w:pPr>
      <w:r>
        <w:rPr/>
        <w:t>​</w:t>
      </w:r>
    </w:p>
    <w:tbl>
      <w:tblPr>
        <w:tblW w:w="2215" w:type="dxa"/>
        <w:jc w:val="left"/>
        <w:tblInd w:w="0" w:type="dxa"/>
        <w:tblCellMar>
          <w:top w:w="0" w:type="dxa"/>
          <w:left w:w="0" w:type="dxa"/>
          <w:bottom w:w="0" w:type="dxa"/>
          <w:right w:w="0" w:type="dxa"/>
        </w:tblCellMar>
      </w:tblPr>
      <w:tblGrid>
        <w:gridCol w:w="200"/>
        <w:gridCol w:w="2015"/>
      </w:tblGrid>
      <w:tr>
        <w:trPr/>
        <w:tc>
          <w:tcPr>
            <w:tcW w:w="2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9.</w:t>
            </w:r>
          </w:p>
        </w:tc>
        <w:tc>
          <w:tcPr>
            <w:tcW w:w="2015"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Conflict of Interests</w:t>
            </w:r>
          </w:p>
        </w:tc>
      </w:tr>
    </w:tbl>
    <w:p>
      <w:pPr>
        <w:pStyle w:val="TextBody"/>
        <w:pBdr/>
        <w:spacing w:before="0" w:after="0"/>
        <w:ind w:left="0" w:right="0" w:hanging="990"/>
        <w:rPr/>
      </w:pPr>
      <w:r>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shall avoid any conflict of interest and inform the Company immediately if any potential conflict of interest arises.</w:t>
      </w:r>
    </w:p>
    <w:p>
      <w:pPr>
        <w:pStyle w:val="TextBody"/>
        <w:spacing w:before="0" w:after="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6</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 conflict of interest arises especially in case of a participation in or a personal relationship with suppliers or clients of the Company or in a Group Company.</w:t>
      </w:r>
    </w:p>
    <w:p>
      <w:pPr>
        <w:pStyle w:val="TextBody"/>
        <w:pBdr>
          <w:top w:val="single" w:sz="2" w:space="1" w:color="A69D64"/>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10.</w:t>
      </w:r>
      <w:r>
        <w:rPr>
          <w:rFonts w:ascii="Calibri;Helvetica;sans-serif" w:hAnsi="Calibri;Helvetica;sans-serif"/>
          <w:b/>
          <w:sz w:val="24"/>
        </w:rPr>
        <w:t>Place of Work and Business Trips</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10.1.</w:t>
      </w:r>
      <w:r>
        <w:rPr>
          <w:rFonts w:ascii="Calibri;Helvetica;sans-serif" w:hAnsi="Calibri;Helvetica;sans-serif"/>
          <w:b/>
          <w:sz w:val="24"/>
        </w:rPr>
        <w:t>Remote Working</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is allowed to work mainly from the Employee’s home in Switzerland (but not in any other countries should the Employee change residence). At the request of the Company, the Employee must be present at the Company's business premises.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Nevertheless, the Employee understands and agrees that the Employee may, in the course of the Employment and where reasonably requested by the Company, be required to travel to and work in other places and countries in order to perform the Employee’s obligations and duties under the Employment Agreement.</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10.2.</w:t>
      </w:r>
      <w:r>
        <w:rPr>
          <w:rFonts w:ascii="Calibri;Helvetica;sans-serif" w:hAnsi="Calibri;Helvetica;sans-serif"/>
          <w:b/>
          <w:sz w:val="24"/>
        </w:rPr>
        <w:t>Standards for Remote Working</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confirms that the Employee has sufficient office space in the Employee’s residential home which is suitable for the performance of the Employee’s tasks. The Employee’s office at home must meet the applicable Swiss standards and legal requirements of work safety and accident prevention. The suitability of the Employee’s office at home may be verified by the Company.</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furnishing of the residential place of work with office furniture falls strictly to the Employee. ln the process, it must be ensured that the office furniture complies with the requirements of occupational ergonomics and work safety.</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undertakes under no circumstances to give the impression that the Company has a branch in the Employee’s place of residence. Accordingly, the Employee may not, for example, mark the name of the Company on the Employee’s letterbox or affix a Company sign at the Employee’s place of residence.</w:t>
      </w:r>
    </w:p>
    <w:p>
      <w:pPr>
        <w:pStyle w:val="TextBody"/>
        <w:spacing w:before="0" w:after="24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7</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10.3.</w:t>
      </w:r>
      <w:r>
        <w:rPr>
          <w:rFonts w:ascii="Calibri;Helvetica;sans-serif" w:hAnsi="Calibri;Helvetica;sans-serif"/>
          <w:b/>
          <w:sz w:val="24"/>
        </w:rPr>
        <w:t>Equipment and Data Safety regarding Remote Working</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is obliged to have the necessary technical connection devices available in the Employee’s office at home.</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necessary technical work equipment for the Employee’s office at home shall be provided by the Company free of charge and remain the property of the Company. The work equipment provided shall be included in an inventory sheet. With the Employee’s signature on the inventory sheet, the Employee confirms to have received the work equipment as specified therein. The work equipment must be handled with care by the Employee.</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work equipment provided to the Employee may be used solely for business purposes. It must neither be made accessible nor be left to third parties. The Employee is responsible for ensuring that the loaned work equipment is protected against unauthorized access by third parties. Passwords and access paths to the data network of the Company must not be disclosed to third parties. The Company may restrict the use of the communication devices provided to the Employee by means of appropriate technical measures and may verify usage on the basis of the monthly fees.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At the Employee’s office at home, the Employee is required to pay particular attention to the protection of data and information with respect to third parties. The Employee undertakes to observe and apply the statutory provisions and the Company's internal regulations on data protection and data security. ln particular, the Employee must ensure that third parties cannot gain access to confidential information and passwords.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agrees to store and safeguard all work equipment and documents provided in such a way that any access by third parties, including in particular persons living in the common household with the Employee, is excluded.</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Confidential documents must be kept locked up.</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Any work equipment and documents no longer required shall be returned and/or destroyed safely by the Employee. Such return and/or destruction and disposal shall occur at the place of business of the Company.</w:t>
      </w:r>
    </w:p>
    <w:p>
      <w:pPr>
        <w:pStyle w:val="TextBody"/>
        <w:spacing w:before="0" w:after="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8</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10.4.</w:t>
      </w:r>
      <w:r>
        <w:rPr>
          <w:rFonts w:ascii="Calibri;Helvetica;sans-serif" w:hAnsi="Calibri;Helvetica;sans-serif"/>
          <w:b/>
          <w:sz w:val="24"/>
        </w:rPr>
        <w:t>Remote Working Allowance</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The Employee shall receive a flat allowance of CHF 300 per month to cover all costs of the office at home (rent, electricity, phone, internet, use of furniture, work equipment not provided, etc.) (</w:t>
      </w:r>
      <w:r>
        <w:rPr>
          <w:rFonts w:ascii="Calibri;Helvetica;sans-serif" w:hAnsi="Calibri;Helvetica;sans-serif"/>
          <w:b/>
          <w:sz w:val="24"/>
        </w:rPr>
        <w:t>Remote Working Allowance</w:t>
      </w:r>
      <w:r>
        <w:rPr>
          <w:rFonts w:ascii="Calibri;Helvetica;sans-serif" w:hAnsi="Calibri;Helvetica;sans-serif"/>
          <w:sz w:val="24"/>
        </w:rPr>
        <w:t>). During vacation and/or during any release from work (garden leave), the Employee shall not be entitled to any Remote Working Allowance.</w:t>
      </w:r>
    </w:p>
    <w:p>
      <w:pPr>
        <w:pStyle w:val="TextBody"/>
        <w:pBdr>
          <w:top w:val="single" w:sz="2" w:space="1" w:color="A69D64"/>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11.</w:t>
      </w:r>
      <w:r>
        <w:rPr>
          <w:rFonts w:ascii="Calibri;Helvetica;sans-serif" w:hAnsi="Calibri;Helvetica;sans-serif"/>
          <w:b/>
          <w:sz w:val="24"/>
        </w:rPr>
        <w:t>Compensation</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11.1.</w:t>
      </w:r>
      <w:r>
        <w:rPr>
          <w:rFonts w:ascii="Calibri;Helvetica;sans-serif" w:hAnsi="Calibri;Helvetica;sans-serif"/>
          <w:b/>
          <w:sz w:val="24"/>
        </w:rPr>
        <w:t>Base Salary</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The Employee shall receive an annual base salary of CHF 375’000 gross (the </w:t>
      </w:r>
      <w:r>
        <w:rPr>
          <w:rFonts w:ascii="Calibri;Helvetica;sans-serif" w:hAnsi="Calibri;Helvetica;sans-serif"/>
          <w:b/>
          <w:sz w:val="24"/>
        </w:rPr>
        <w:t>Base Salary</w:t>
      </w:r>
      <w:r>
        <w:rPr>
          <w:rFonts w:ascii="Calibri;Helvetica;sans-serif" w:hAnsi="Calibri;Helvetica;sans-serif"/>
          <w:sz w:val="24"/>
        </w:rPr>
        <w:t>), payable in twelve monthly instalments of CHF 31’250 gross each at the end of the month to a bank or postal account to be specified by the Employee.</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11.2.</w:t>
      </w:r>
      <w:r>
        <w:rPr>
          <w:rFonts w:ascii="Calibri;Helvetica;sans-serif" w:hAnsi="Calibri;Helvetica;sans-serif"/>
          <w:b/>
          <w:sz w:val="24"/>
        </w:rPr>
        <w:t>Bonus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may be eligible to receive a discretionary bonus of up to 40% of the Employee’s Base Salary according to Section 11.1. The bonus might be determined according to a bonus programme of the Company, which the Company shall determine at its discretion. If no bonus programme is issued, any bonus shall be determined at the discretion of the Company.</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Company may set targets for the bonus, according to which the amount of the bonus is determined. However, the Company is free to deviate at its own discretion upwards or downwards from the targets set in its final determination of the bonus. If no targets are set, any bonus shall be determined at the discretion of the Company.</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In the event of termination of the Employment, the Employee has no entitlement to a bonus, not even on a pro rata basis.</w:t>
      </w:r>
    </w:p>
    <w:p>
      <w:pPr>
        <w:pStyle w:val="TextBody"/>
        <w:spacing w:before="0" w:after="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9</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11.3.</w:t>
      </w:r>
      <w:r>
        <w:rPr>
          <w:rFonts w:ascii="Calibri;Helvetica;sans-serif" w:hAnsi="Calibri;Helvetica;sans-serif"/>
          <w:b/>
          <w:sz w:val="24"/>
        </w:rPr>
        <w:t>Participation Plan</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The Employee may be given the opportunity by the Company or a Group Company to participate in the growth of the Company or a Group Company pursuant to a participation plan such as, for instance, an employee stock option plan, and as amended from time to time (the </w:t>
      </w:r>
      <w:r>
        <w:rPr>
          <w:rFonts w:ascii="Calibri;Helvetica;sans-serif" w:hAnsi="Calibri;Helvetica;sans-serif"/>
          <w:b/>
          <w:sz w:val="24"/>
        </w:rPr>
        <w:t>Participation Plan</w:t>
      </w:r>
      <w:r>
        <w:rPr>
          <w:rFonts w:ascii="Calibri;Helvetica;sans-serif" w:hAnsi="Calibri;Helvetica;sans-serif"/>
          <w:sz w:val="24"/>
        </w:rPr>
        <w:t>). It is in the full discretion of the Company or the Group Company issuing such Participation Plan to issue and/or to unilaterally amend such Participation Plan at any time.</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expressly acknowledges that the Employee does not have any right or claim under the Participation Plan against the Company, but only against the Group Company issuing the Participation Plan. The Employee also confirms that any participation in the Participation Plan does not constitute an employment relationship with the issuing Group Company.</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11.4.</w:t>
      </w:r>
      <w:r>
        <w:rPr>
          <w:rFonts w:ascii="Calibri;Helvetica;sans-serif" w:hAnsi="Calibri;Helvetica;sans-serif"/>
          <w:b/>
          <w:sz w:val="24"/>
        </w:rPr>
        <w:t>Acknowledgements of the Employee</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The Employee acknowledges and agrees that any entitlements granted and payments made in addition to the Base Salary, including, but not limited to any bonuses, participations, or gratuities of the Company or any Group Company (the </w:t>
      </w:r>
      <w:r>
        <w:rPr>
          <w:rFonts w:ascii="Calibri;Helvetica;sans-serif" w:hAnsi="Calibri;Helvetica;sans-serif"/>
          <w:b/>
          <w:sz w:val="24"/>
        </w:rPr>
        <w:t>Additional Payments</w:t>
      </w:r>
      <w:r>
        <w:rPr>
          <w:rFonts w:ascii="Calibri;Helvetica;sans-serif" w:hAnsi="Calibri;Helvetica;sans-serif"/>
          <w:sz w:val="24"/>
        </w:rPr>
        <w:t>) are not part of the salary legally or contractually owed by the Company and are made at full discretion of the Company or the Group Company granting such bonus, participation or gratuity. Any Additional Payments shall not create any obligation of the Company or any Group Company to make such Additional Payments in the future and shall not create any right or claim of the Employee to such Additional Payments in the future even if paid over consecutive years and without express reservation.</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11.5.</w:t>
      </w:r>
      <w:r>
        <w:rPr>
          <w:rFonts w:ascii="Calibri;Helvetica;sans-serif" w:hAnsi="Calibri;Helvetica;sans-serif"/>
          <w:b/>
          <w:sz w:val="24"/>
        </w:rPr>
        <w:t>No other Compensation</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acknowledges and agrees that the Employee shall not be entitled to receive any other compensation or benefit of any nature from the Company except as expressly provided for in this Employment Agreement.</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11.6.</w:t>
      </w:r>
      <w:r>
        <w:rPr>
          <w:rFonts w:ascii="Calibri;Helvetica;sans-serif" w:hAnsi="Calibri;Helvetica;sans-serif"/>
          <w:b/>
          <w:sz w:val="24"/>
        </w:rPr>
        <w:t>Deductions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From any and all compensation – if provided by law or by regulations – any portions of the Employee’s social security contributions (AHV (old-age and</w:t>
      </w:r>
    </w:p>
    <w:p>
      <w:pPr>
        <w:pStyle w:val="TextBody"/>
        <w:spacing w:before="0" w:after="24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10</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survivors’ insurance)/IV (disability insurance)/EO (income compensation), ALV (unemployment insurance), UV (accidence insurance), daily sickness benefits insurance, if any, premiums to pension schemes and withholding taxes, if any, will be deducted and withheld by the Company from the payments made to the Employee.</w:t>
      </w:r>
    </w:p>
    <w:p>
      <w:pPr>
        <w:pStyle w:val="TextBody"/>
        <w:pBdr>
          <w:top w:val="single" w:sz="2" w:space="1" w:color="A69D64"/>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12.</w:t>
      </w:r>
      <w:r>
        <w:rPr>
          <w:rFonts w:ascii="Calibri;Helvetica;sans-serif" w:hAnsi="Calibri;Helvetica;sans-serif"/>
          <w:b/>
          <w:sz w:val="24"/>
        </w:rPr>
        <w:t>Expenses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shall be entitled to reimbursement by the Company of out-of-pocket business expenses reasonably incurred by the Employee during the Employment in the performance of the Employee’s duties under this Employment Agreement. The provisions in Section 9.4 shall be reserved. However, the reimbursement is subject to (i) the submission of relevant vouchers and receipts indicating the amount and purpose of the expenses, and (ii) the compliance with the reimbursement policies of the Company issued and unilaterally amended from time to time.</w:t>
      </w:r>
    </w:p>
    <w:p>
      <w:pPr>
        <w:pStyle w:val="TextBody"/>
        <w:pBdr>
          <w:top w:val="single" w:sz="2" w:space="1" w:color="A69D64"/>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13.</w:t>
      </w:r>
      <w:r>
        <w:rPr>
          <w:rFonts w:ascii="Calibri;Helvetica;sans-serif" w:hAnsi="Calibri;Helvetica;sans-serif"/>
          <w:b/>
          <w:sz w:val="24"/>
        </w:rPr>
        <w:t>Probation Period and Termination</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13.1.</w:t>
      </w:r>
      <w:r>
        <w:rPr>
          <w:rFonts w:ascii="Calibri;Helvetica;sans-serif" w:hAnsi="Calibri;Helvetica;sans-serif"/>
          <w:b/>
          <w:sz w:val="24"/>
        </w:rPr>
        <w:t>Probation Period</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first three months of the Employment are deemed to be the probation period. During the probation period, either Party may terminate the Employment at any time with a notice period of seven days to the end of any calendar day.</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13.2.</w:t>
      </w:r>
      <w:r>
        <w:rPr>
          <w:rFonts w:ascii="Calibri;Helvetica;sans-serif" w:hAnsi="Calibri;Helvetica;sans-serif"/>
          <w:b/>
          <w:sz w:val="24"/>
        </w:rPr>
        <w:t>Termination</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After expiration of the probation period, the Employment may be terminated by either Party with a notice period of 6 (six) months.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Upon observance of the notice period, termination shall be effective as of the end of a calendar day and not the end of a calendar month.</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The Employment is being terminated automatically at the end of the month in which the Employee reaches the retirement age according to the Federal Law on Old-age and Survivors’ Insurance (</w:t>
      </w:r>
      <w:r>
        <w:rPr>
          <w:rFonts w:ascii="Calibri;Helvetica;sans-serif" w:hAnsi="Calibri;Helvetica;sans-serif"/>
          <w:i/>
          <w:sz w:val="24"/>
        </w:rPr>
        <w:t>AHVG</w:t>
      </w:r>
      <w:r>
        <w:rPr>
          <w:rFonts w:ascii="Calibri;Helvetica;sans-serif" w:hAnsi="Calibri;Helvetica;sans-serif"/>
          <w:sz w:val="24"/>
        </w:rPr>
        <w:t>). In case of a permanent disability</w:t>
      </w:r>
    </w:p>
    <w:p>
      <w:pPr>
        <w:pStyle w:val="TextBody"/>
        <w:spacing w:before="0" w:after="18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11</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to work the same applies. In case of a partial permanent disability the Employment ends to the same extent as the Employee is declared disabled.</w:t>
      </w:r>
    </w:p>
    <w:p>
      <w:pPr>
        <w:pStyle w:val="TextBody"/>
        <w:pBdr>
          <w:top w:val="single" w:sz="2" w:space="1" w:color="A69D64"/>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14.</w:t>
      </w:r>
      <w:r>
        <w:rPr>
          <w:rFonts w:ascii="Calibri;Helvetica;sans-serif" w:hAnsi="Calibri;Helvetica;sans-serif"/>
          <w:b/>
          <w:sz w:val="24"/>
        </w:rPr>
        <w:t>Work Equipment and Obligation to Return Work Equipment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Company shall provide the Employee with the necessary work equipment such as laptops, mobile phones, monitors, keyboards, mouse, etc.. The work equipment shall remain the property of the Company and the Company shall have the right to replace and/or reclaim the work equipment at any time.</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At the Company’s first request, but no later than upon termination of this Employment Agreement for any reason, the Employee shall return to the Company everything the Employee produced in the course of the Employee’s work for the Company, everything which was given to the Employee throughout the course of this Employment and everything which otherwise fell into the Employee’s possession. The obligation to return work equipment includes in particular but is not limited to keys, mobile phones, laptops, badges as well as data carriers and records of any kind, including any copies. Any possible retention right of the Employee is explicitly waived.</w:t>
      </w:r>
    </w:p>
    <w:p>
      <w:pPr>
        <w:pStyle w:val="TextBody"/>
        <w:pBdr>
          <w:top w:val="single" w:sz="2" w:space="1" w:color="A69D64"/>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15.</w:t>
      </w:r>
      <w:r>
        <w:rPr>
          <w:rFonts w:ascii="Calibri;Helvetica;sans-serif" w:hAnsi="Calibri;Helvetica;sans-serif"/>
          <w:b/>
          <w:sz w:val="24"/>
        </w:rPr>
        <w:t>Working Time</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15.1.</w:t>
      </w:r>
      <w:r>
        <w:rPr>
          <w:rFonts w:ascii="Calibri;Helvetica;sans-serif" w:hAnsi="Calibri;Helvetica;sans-serif"/>
          <w:b/>
          <w:sz w:val="24"/>
        </w:rPr>
        <w:t>General</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weekly working time depends on the needs to perform the position successfully but is at least 42 hours per week on an average basis (100% position).</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The working hour details are set forth in the working time regulations, as implemented and/or amended by the Company from time to time (the </w:t>
      </w:r>
      <w:r>
        <w:rPr>
          <w:rFonts w:ascii="Calibri;Helvetica;sans-serif" w:hAnsi="Calibri;Helvetica;sans-serif"/>
          <w:b/>
          <w:sz w:val="24"/>
        </w:rPr>
        <w:t>Working Time Regulations</w:t>
      </w:r>
      <w:r>
        <w:rPr>
          <w:rFonts w:ascii="Calibri;Helvetica;sans-serif" w:hAnsi="Calibri;Helvetica;sans-serif"/>
          <w:sz w:val="24"/>
        </w:rPr>
        <w:t>).</w:t>
      </w:r>
    </w:p>
    <w:p>
      <w:pPr>
        <w:pStyle w:val="TextBody"/>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15.2.</w:t>
      </w:r>
      <w:r>
        <w:rPr>
          <w:rFonts w:ascii="Calibri;Helvetica;sans-serif" w:hAnsi="Calibri;Helvetica;sans-serif"/>
          <w:b/>
          <w:sz w:val="24"/>
        </w:rPr>
        <w:t>Additional Work</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shall work overtime, if this is necessary to fulfil the Employee’s duties under this Employment Agreement. Considering the Employee’s independent position and duties the Swiss Labour Act is not applicable to the Employment. The Employee shall therefore have no entitlement to additional</w:t>
      </w:r>
    </w:p>
    <w:p>
      <w:pPr>
        <w:pStyle w:val="TextBody"/>
        <w:spacing w:before="0" w:after="24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12</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compensation for any such extra work (overtime, extra hours, Sunday work, work on public holidays, or night work). All such extra and overtime work is already compensated by the Base Salary according to Section 11.1 and the vacation days exceeding the statutory minimum.</w:t>
      </w:r>
    </w:p>
    <w:p>
      <w:pPr>
        <w:pStyle w:val="TextBody"/>
        <w:pBdr>
          <w:top w:val="single" w:sz="2" w:space="1" w:color="A69D64"/>
        </w:pBdr>
        <w:spacing w:before="0" w:after="240"/>
        <w:ind w:left="88" w:right="0" w:hanging="0"/>
        <w:rPr>
          <w:rFonts w:ascii="Calibri;Helvetica;sans-serif" w:hAnsi="Calibri;Helvetica;sans-serif"/>
          <w:sz w:val="20"/>
        </w:rPr>
      </w:pPr>
      <w:r>
        <w:rPr>
          <w:rFonts w:ascii="Calibri;Helvetica;sans-serif" w:hAnsi="Calibri;Helvetica;sans-serif"/>
          <w:b/>
          <w:i w:val="false"/>
          <w:caps w:val="false"/>
          <w:smallCaps w:val="false"/>
          <w:sz w:val="24"/>
        </w:rPr>
        <w:t>16.</w:t>
      </w:r>
      <w:r>
        <w:rPr>
          <w:rFonts w:ascii="Calibri;Helvetica;sans-serif" w:hAnsi="Calibri;Helvetica;sans-serif"/>
          <w:b/>
          <w:sz w:val="24"/>
        </w:rPr>
        <w:t>Vacation</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is entitled to 25 business days of vacation per calendar year (for a 100% stint). The 5 additional days of vacation granted exceeding the statutory minimum entitlement of 20 days shall be granted expressly as compensation for any overtime worked and may be offset against any time off entitlements. In the case of part-time work, this entitlement shall be reduced in proportion to the level of employment.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Company has the right to determine by giving 3 (three) months’ advance notice when the Employee shall take vacation days. In exceptional situations, this advance notice period is shortened to up to one week. Nevertheless, the Company will consider wishes of the Employee. If the Employee requests to take vacation, the Employee shall, reasonably prior to the intended vacation, inform the responsible executive. In any event the Employee shall provide for suitable internal representation during the Employee’s vacation.</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For the year in which the Employment begins or ends, the vacation entitlement is calculated </w:t>
      </w:r>
      <w:r>
        <w:rPr>
          <w:rFonts w:ascii="Calibri;Helvetica;sans-serif" w:hAnsi="Calibri;Helvetica;sans-serif"/>
          <w:i/>
          <w:sz w:val="24"/>
        </w:rPr>
        <w:t>pro rata temporis</w:t>
      </w:r>
      <w:r>
        <w:rPr>
          <w:rFonts w:ascii="Calibri;Helvetica;sans-serif" w:hAnsi="Calibri;Helvetica;sans-serif"/>
          <w:sz w:val="24"/>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shall take the most recent vacation credit.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It is the Employee’s duty to refund to the Company any vacation salary received for vacation days in excess of the vacation entitlement of the Employee.</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shall take vacation days within the calendar year for which such entitlement accrues. The Employee shall not, without prior consultation and approval of the Company and/or the responsible executive, roll such days over to the subsequent calendar year.</w:t>
      </w:r>
    </w:p>
    <w:p>
      <w:pPr>
        <w:pStyle w:val="TextBody"/>
        <w:spacing w:before="0" w:after="240"/>
        <w:ind w:left="108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13</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bottom w:val="single" w:sz="2" w:space="1" w:color="A69D64"/>
        </w:pBdr>
        <w:spacing w:before="0" w:after="0"/>
        <w:ind w:left="0" w:right="0" w:hanging="0"/>
        <w:rPr/>
      </w:pPr>
      <w:r>
        <w:rPr/>
        <w:t>​</w:t>
      </w:r>
    </w:p>
    <w:tbl>
      <w:tblPr>
        <w:tblW w:w="3985" w:type="dxa"/>
        <w:jc w:val="left"/>
        <w:tblInd w:w="0" w:type="dxa"/>
        <w:tblCellMar>
          <w:top w:w="0" w:type="dxa"/>
          <w:left w:w="0" w:type="dxa"/>
          <w:bottom w:w="0" w:type="dxa"/>
          <w:right w:w="0" w:type="dxa"/>
        </w:tblCellMar>
      </w:tblPr>
      <w:tblGrid>
        <w:gridCol w:w="320"/>
        <w:gridCol w:w="3665"/>
      </w:tblGrid>
      <w:tr>
        <w:trPr/>
        <w:tc>
          <w:tcPr>
            <w:tcW w:w="3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17.</w:t>
            </w:r>
          </w:p>
        </w:tc>
        <w:tc>
          <w:tcPr>
            <w:tcW w:w="3665" w:type="dxa"/>
            <w:tcBorders/>
            <w:shd w:fill="auto" w:val="clear"/>
            <w:vAlign w:val="center"/>
          </w:tcPr>
          <w:p>
            <w:pPr>
              <w:pStyle w:val="TableContents"/>
              <w:spacing w:before="0" w:after="0"/>
              <w:ind w:left="0" w:right="0" w:hanging="0"/>
              <w:rPr>
                <w:rFonts w:ascii="Calibri;Helvetica;sans-serif" w:hAnsi="Calibri;Helvetica;sans-serif"/>
                <w:sz w:val="20"/>
              </w:rPr>
            </w:pPr>
            <w:r>
              <w:rPr>
                <w:rFonts w:ascii="Calibri;Helvetica;sans-serif" w:hAnsi="Calibri;Helvetica;sans-serif"/>
                <w:b/>
                <w:sz w:val="24"/>
              </w:rPr>
              <w:t>Public Holidays and Short Absences</w:t>
              <w:br/>
            </w:r>
            <w:r>
              <w:rPr>
                <w:rFonts w:ascii="Calibri;Helvetica;sans-serif" w:hAnsi="Calibri;Helvetica;sans-serif"/>
                <w:sz w:val="20"/>
              </w:rPr>
              <w:t>​</w:t>
            </w:r>
          </w:p>
        </w:tc>
      </w:tr>
    </w:tbl>
    <w:tbl>
      <w:tblPr>
        <w:tblW w:w="2080" w:type="dxa"/>
        <w:jc w:val="left"/>
        <w:tblInd w:w="0" w:type="dxa"/>
        <w:tblCellMar>
          <w:top w:w="0" w:type="dxa"/>
          <w:left w:w="0" w:type="dxa"/>
          <w:bottom w:w="0" w:type="dxa"/>
          <w:right w:w="0" w:type="dxa"/>
        </w:tblCellMar>
      </w:tblPr>
      <w:tblGrid>
        <w:gridCol w:w="500"/>
        <w:gridCol w:w="158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17.1.</w:t>
            </w:r>
          </w:p>
        </w:tc>
        <w:tc>
          <w:tcPr>
            <w:tcW w:w="158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Public Holidays</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is not obliged to work on federal and cantonal public holidays at the primary place of work. The Employee is not entitled to any compensation whether in cash or in kind for such public holidays when such public holidays are on weekends.</w:t>
      </w:r>
    </w:p>
    <w:tbl>
      <w:tblPr>
        <w:tblW w:w="2095" w:type="dxa"/>
        <w:jc w:val="left"/>
        <w:tblInd w:w="0" w:type="dxa"/>
        <w:tblCellMar>
          <w:top w:w="0" w:type="dxa"/>
          <w:left w:w="0" w:type="dxa"/>
          <w:bottom w:w="0" w:type="dxa"/>
          <w:right w:w="0" w:type="dxa"/>
        </w:tblCellMar>
      </w:tblPr>
      <w:tblGrid>
        <w:gridCol w:w="500"/>
        <w:gridCol w:w="1595"/>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17.2.</w:t>
            </w:r>
          </w:p>
        </w:tc>
        <w:tc>
          <w:tcPr>
            <w:tcW w:w="1595"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Short Absences</w:t>
            </w:r>
          </w:p>
        </w:tc>
      </w:tr>
    </w:tbl>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Upon request, the Employee shall in particular be granted the following hours or days off without deduction from the salary, provided that they necessarily fall within working hours:</w:t>
      </w:r>
    </w:p>
    <w:p>
      <w:pPr>
        <w:pStyle w:val="TextBody"/>
        <w:spacing w:before="0" w:after="0"/>
        <w:ind w:left="0" w:right="0" w:hanging="0"/>
        <w:rPr/>
      </w:pPr>
      <w:r>
        <w:rPr/>
        <w:t>​</w:t>
      </w:r>
    </w:p>
    <w:tbl>
      <w:tblPr>
        <w:tblW w:w="7038" w:type="dxa"/>
        <w:jc w:val="right"/>
        <w:tblInd w:w="0" w:type="dxa"/>
        <w:tblCellMar>
          <w:top w:w="0" w:type="dxa"/>
          <w:left w:w="0" w:type="dxa"/>
          <w:bottom w:w="0" w:type="dxa"/>
          <w:right w:w="0" w:type="dxa"/>
        </w:tblCellMar>
      </w:tblPr>
      <w:tblGrid>
        <w:gridCol w:w="241"/>
        <w:gridCol w:w="5536"/>
        <w:gridCol w:w="1261"/>
      </w:tblGrid>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rPr/>
            </w:pPr>
            <w:r>
              <w:rPr/>
              <w:t>​</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Marriage of Employee:</w:t>
            </w:r>
          </w:p>
        </w:tc>
        <w:tc>
          <w:tcPr>
            <w:tcW w:w="126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2 days</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Attendance of wedding of a family</w:t>
            </w:r>
          </w:p>
        </w:tc>
        <w:tc>
          <w:tcPr>
            <w:tcW w:w="1261" w:type="dxa"/>
            <w:tcBorders/>
            <w:shd w:fill="auto" w:val="clear"/>
            <w:vAlign w:val="center"/>
          </w:tcPr>
          <w:p>
            <w:pPr>
              <w:pStyle w:val="TableContents"/>
              <w:spacing w:before="0" w:after="0"/>
              <w:ind w:left="0" w:right="0" w:hanging="0"/>
              <w:jc w:val="right"/>
              <w:rPr/>
            </w:pPr>
            <w:r>
              <w:rPr/>
              <w:t>​</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member or close relative:</w:t>
            </w:r>
          </w:p>
        </w:tc>
        <w:tc>
          <w:tcPr>
            <w:tcW w:w="126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 day</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Moving:</w:t>
            </w:r>
          </w:p>
        </w:tc>
        <w:tc>
          <w:tcPr>
            <w:tcW w:w="126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 day</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Medical or dental care (if not possible to attend outside</w:t>
            </w:r>
          </w:p>
        </w:tc>
        <w:tc>
          <w:tcPr>
            <w:tcW w:w="1261" w:type="dxa"/>
            <w:tcBorders/>
            <w:shd w:fill="auto" w:val="clear"/>
            <w:vAlign w:val="center"/>
          </w:tcPr>
          <w:p>
            <w:pPr>
              <w:pStyle w:val="TableContents"/>
              <w:spacing w:before="0" w:after="0"/>
              <w:ind w:left="0" w:right="0" w:hanging="0"/>
              <w:jc w:val="right"/>
              <w:rPr/>
            </w:pPr>
            <w:r>
              <w:rPr/>
              <w:t>​</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working hours):</w:t>
            </w:r>
          </w:p>
        </w:tc>
        <w:tc>
          <w:tcPr>
            <w:tcW w:w="126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as required</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 xml:space="preserve">Public duties (if not possible to attend outside </w:t>
            </w:r>
          </w:p>
        </w:tc>
        <w:tc>
          <w:tcPr>
            <w:tcW w:w="1261" w:type="dxa"/>
            <w:tcBorders/>
            <w:shd w:fill="auto" w:val="clear"/>
            <w:vAlign w:val="center"/>
          </w:tcPr>
          <w:p>
            <w:pPr>
              <w:pStyle w:val="TableContents"/>
              <w:spacing w:before="0" w:after="0"/>
              <w:ind w:left="0" w:right="0" w:hanging="0"/>
              <w:jc w:val="right"/>
              <w:rPr/>
            </w:pPr>
            <w:r>
              <w:rPr/>
              <w:t>​</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working hours):</w:t>
            </w:r>
          </w:p>
        </w:tc>
        <w:tc>
          <w:tcPr>
            <w:tcW w:w="1261"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as required</w:t>
            </w:r>
          </w:p>
        </w:tc>
      </w:tr>
      <w:tr>
        <w:trPr/>
        <w:tc>
          <w:tcPr>
            <w:tcW w:w="241" w:type="dxa"/>
            <w:tcBorders/>
            <w:shd w:fill="auto" w:val="clear"/>
            <w:vAlign w:val="center"/>
          </w:tcPr>
          <w:p>
            <w:pPr>
              <w:pStyle w:val="TableContents"/>
              <w:spacing w:before="0" w:after="0"/>
              <w:ind w:left="0" w:right="0" w:hanging="0"/>
              <w:rPr/>
            </w:pPr>
            <w:r>
              <w:rPr/>
              <w:t>–</w:t>
            </w:r>
          </w:p>
        </w:tc>
        <w:tc>
          <w:tcPr>
            <w:tcW w:w="553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Death or illness of:</w:t>
            </w:r>
          </w:p>
        </w:tc>
        <w:tc>
          <w:tcPr>
            <w:tcW w:w="1261"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tbl>
      <w:tblPr>
        <w:tblW w:w="4173" w:type="dxa"/>
        <w:jc w:val="right"/>
        <w:tblInd w:w="0" w:type="dxa"/>
        <w:tblCellMar>
          <w:top w:w="0" w:type="dxa"/>
          <w:left w:w="0" w:type="dxa"/>
          <w:bottom w:w="0" w:type="dxa"/>
          <w:right w:w="0" w:type="dxa"/>
        </w:tblCellMar>
      </w:tblPr>
      <w:tblGrid>
        <w:gridCol w:w="241"/>
        <w:gridCol w:w="3166"/>
        <w:gridCol w:w="766"/>
      </w:tblGrid>
      <w:tr>
        <w:trPr/>
        <w:tc>
          <w:tcPr>
            <w:tcW w:w="241"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r>
      <w:tr>
        <w:trPr/>
        <w:tc>
          <w:tcPr>
            <w:tcW w:w="241"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close family member or person</w:t>
            </w:r>
          </w:p>
        </w:tc>
        <w:tc>
          <w:tcPr>
            <w:tcW w:w="766" w:type="dxa"/>
            <w:tcBorders/>
            <w:shd w:fill="auto" w:val="clear"/>
            <w:vAlign w:val="center"/>
          </w:tcPr>
          <w:p>
            <w:pPr>
              <w:pStyle w:val="TableContents"/>
              <w:spacing w:before="0" w:after="0"/>
              <w:ind w:left="0" w:right="0" w:hanging="0"/>
              <w:jc w:val="right"/>
              <w:rPr/>
            </w:pPr>
            <w:r>
              <w:rPr/>
              <w:t>​</w:t>
            </w:r>
          </w:p>
        </w:tc>
      </w:tr>
      <w:tr>
        <w:trPr/>
        <w:tc>
          <w:tcPr>
            <w:tcW w:w="241"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living in the same household:</w:t>
            </w:r>
          </w:p>
        </w:tc>
        <w:tc>
          <w:tcPr>
            <w:tcW w:w="766"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3 days</w:t>
            </w:r>
          </w:p>
        </w:tc>
      </w:tr>
      <w:tr>
        <w:trPr/>
        <w:tc>
          <w:tcPr>
            <w:tcW w:w="241"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other family member:</w:t>
            </w:r>
          </w:p>
        </w:tc>
        <w:tc>
          <w:tcPr>
            <w:tcW w:w="766"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2 days</w:t>
            </w:r>
          </w:p>
        </w:tc>
      </w:tr>
      <w:tr>
        <w:trPr/>
        <w:tc>
          <w:tcPr>
            <w:tcW w:w="241"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close relative:</w:t>
            </w:r>
          </w:p>
        </w:tc>
        <w:tc>
          <w:tcPr>
            <w:tcW w:w="766" w:type="dxa"/>
            <w:tcBorders/>
            <w:shd w:fill="auto" w:val="clear"/>
            <w:vAlign w:val="center"/>
          </w:tcPr>
          <w:p>
            <w:pPr>
              <w:pStyle w:val="TableContents"/>
              <w:spacing w:before="0" w:after="0"/>
              <w:ind w:left="0" w:right="0" w:hanging="0"/>
              <w:jc w:val="right"/>
              <w:rPr>
                <w:rFonts w:ascii="Calibri;Helvetica;sans-serif" w:hAnsi="Calibri;Helvetica;sans-serif"/>
                <w:sz w:val="24"/>
              </w:rPr>
            </w:pPr>
            <w:r>
              <w:rPr>
                <w:rFonts w:ascii="Calibri;Helvetica;sans-serif" w:hAnsi="Calibri;Helvetica;sans-serif"/>
                <w:sz w:val="24"/>
              </w:rPr>
              <w:t>1 day</w:t>
            </w:r>
          </w:p>
        </w:tc>
      </w:tr>
    </w:tbl>
    <w:p>
      <w:pPr>
        <w:pStyle w:val="TextBody"/>
        <w:spacing w:before="0" w:after="0"/>
        <w:ind w:left="0" w:right="0" w:hanging="0"/>
        <w:rPr/>
      </w:pPr>
      <w:r>
        <w:rPr/>
        <w:t>​</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Such absences shall not be grounds for a deduction of the Employee’s entitlements to the Base Salary or vacation days, unless the absence exceeds the time period as set forth above.</w:t>
      </w:r>
    </w:p>
    <w:p>
      <w:pPr>
        <w:pStyle w:val="TextBody"/>
        <w:pBdr>
          <w:bottom w:val="single" w:sz="2" w:space="1" w:color="A69D64"/>
        </w:pBdr>
        <w:spacing w:before="0" w:after="0"/>
        <w:ind w:left="0" w:right="0" w:hanging="0"/>
        <w:rPr/>
      </w:pPr>
      <w:r>
        <w:rPr/>
        <w:t>​</w:t>
      </w:r>
    </w:p>
    <w:tbl>
      <w:tblPr>
        <w:tblW w:w="3895" w:type="dxa"/>
        <w:jc w:val="left"/>
        <w:tblInd w:w="0" w:type="dxa"/>
        <w:tblCellMar>
          <w:top w:w="0" w:type="dxa"/>
          <w:left w:w="0" w:type="dxa"/>
          <w:bottom w:w="0" w:type="dxa"/>
          <w:right w:w="0" w:type="dxa"/>
        </w:tblCellMar>
      </w:tblPr>
      <w:tblGrid>
        <w:gridCol w:w="320"/>
        <w:gridCol w:w="3575"/>
      </w:tblGrid>
      <w:tr>
        <w:trPr/>
        <w:tc>
          <w:tcPr>
            <w:tcW w:w="3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18.</w:t>
            </w:r>
          </w:p>
        </w:tc>
        <w:tc>
          <w:tcPr>
            <w:tcW w:w="3575"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Incapacity to Work and Insurances</w:t>
            </w:r>
          </w:p>
        </w:tc>
      </w:tr>
    </w:tbl>
    <w:p>
      <w:pPr>
        <w:pStyle w:val="TextBody"/>
        <w:spacing w:before="0" w:after="0"/>
        <w:ind w:left="0" w:right="0" w:hanging="0"/>
        <w:rPr/>
      </w:pPr>
      <w:r>
        <w:rPr/>
        <w:t>​</w:t>
      </w:r>
    </w:p>
    <w:p>
      <w:pPr>
        <w:pStyle w:val="TextBody"/>
        <w:spacing w:before="0" w:after="240"/>
        <w:ind w:left="1080" w:right="0" w:hanging="0"/>
        <w:rPr>
          <w:rFonts w:ascii="Calibri;Helvetica;sans-serif" w:hAnsi="Calibri;Helvetica;sans-serif"/>
          <w:sz w:val="24"/>
        </w:rPr>
      </w:pPr>
      <w:r>
        <w:rPr>
          <w:rFonts w:ascii="Calibri;Helvetica;sans-serif" w:hAnsi="Calibri;Helvetica;sans-serif"/>
          <w:sz w:val="24"/>
        </w:rPr>
        <w:t>The Employee shall notify the Company immediately about any incapacity to work and its probable duration, stating the respective reasons.</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14</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tbl>
      <w:tblPr>
        <w:tblW w:w="2425" w:type="dxa"/>
        <w:jc w:val="left"/>
        <w:tblInd w:w="0" w:type="dxa"/>
        <w:tblCellMar>
          <w:top w:w="0" w:type="dxa"/>
          <w:left w:w="0" w:type="dxa"/>
          <w:bottom w:w="0" w:type="dxa"/>
          <w:right w:w="0" w:type="dxa"/>
        </w:tblCellMar>
      </w:tblPr>
      <w:tblGrid>
        <w:gridCol w:w="500"/>
        <w:gridCol w:w="1925"/>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18.1.</w:t>
            </w:r>
          </w:p>
        </w:tc>
        <w:tc>
          <w:tcPr>
            <w:tcW w:w="1925"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Medical Certificate</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the Employee's incapacity to work due to illness or accident exceeds three business days, the Employee shall without request by the Company furnish a medical certificate in an ongoing Employment. The Company reserves the right to request a medical certificate even in the event of a shorter duration of incapacity to work. If the Employment has been terminated, the Employee shall in any case be obliged to furnish a medical certificate to the Company from the first day of incapacity to work. In all cases of illness and accident, the Company is entitled to ask the Employee to be examined by an independent medical examiner at the Company’s expense.</w:t>
      </w:r>
    </w:p>
    <w:tbl>
      <w:tblPr>
        <w:tblW w:w="5410" w:type="dxa"/>
        <w:jc w:val="left"/>
        <w:tblInd w:w="0" w:type="dxa"/>
        <w:tblCellMar>
          <w:top w:w="0" w:type="dxa"/>
          <w:left w:w="0" w:type="dxa"/>
          <w:bottom w:w="0" w:type="dxa"/>
          <w:right w:w="0" w:type="dxa"/>
        </w:tblCellMar>
      </w:tblPr>
      <w:tblGrid>
        <w:gridCol w:w="500"/>
        <w:gridCol w:w="491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18.2.</w:t>
            </w:r>
          </w:p>
        </w:tc>
        <w:tc>
          <w:tcPr>
            <w:tcW w:w="491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Salary in case of Employee’s Incapacity to Work</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the Employee, for reasons inherent in the Employee’s person, such as illness, accident or pregnancy, is by no fault of the Employee’s own prevented from performing the work, the Company shall pay the corresponding salary normally due to the Employee according to the Zurich scale, provided that the Employment has existed for more than three months.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Various reasons for incapacity to work in the same year of service, including waiting periods compensated by the Company before any insurance commences, shall be added together. The Company's obligation to continue to pay the Employee’s salary shall in any case end with the Employment.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Company reserves the right, at its own discretion, to take out daily sickness benefits insurance for the benefit of the Employee, the premiums for which shall be borne one half each by the Company and the Employee. If a daily sickness benefits insurance will be concluded, the Employee will be provided with the details of such insurance coverage. If a daily sickness benefits insurance is in place, the insurance benefits will replace the statutory duty of the Company to continue to pay the Employee’s salary completely. The benefits of the daily sickness benefits insurance shall be governed exclusively by the relevant provisions of the respective insurance company.</w:t>
      </w:r>
    </w:p>
    <w:tbl>
      <w:tblPr>
        <w:tblW w:w="5260" w:type="dxa"/>
        <w:jc w:val="left"/>
        <w:tblInd w:w="0" w:type="dxa"/>
        <w:tblCellMar>
          <w:top w:w="0" w:type="dxa"/>
          <w:left w:w="0" w:type="dxa"/>
          <w:bottom w:w="0" w:type="dxa"/>
          <w:right w:w="0" w:type="dxa"/>
        </w:tblCellMar>
      </w:tblPr>
      <w:tblGrid>
        <w:gridCol w:w="500"/>
        <w:gridCol w:w="476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18.3.</w:t>
            </w:r>
          </w:p>
        </w:tc>
        <w:tc>
          <w:tcPr>
            <w:tcW w:w="476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Occupational and Non-occupational Accidents</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the Employee works for the Company for an average of less than 8 hours per week, the Employee is only insured for certain medical expenses for</w:t>
      </w:r>
    </w:p>
    <w:p>
      <w:pPr>
        <w:pStyle w:val="TextBody"/>
        <w:spacing w:before="0" w:after="18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15</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occupational accidents. However, if the Employee works for the Company for an average of more than 8 hours per week, the Employee is insured for certain medical expenses for both occupational and non-occupational accidents. Premiums for occupational accident insurance, occupational sickness insurance and non-occupational accident insurance are paid by the Company.</w:t>
      </w:r>
    </w:p>
    <w:tbl>
      <w:tblPr>
        <w:tblW w:w="3070" w:type="dxa"/>
        <w:jc w:val="left"/>
        <w:tblInd w:w="0" w:type="dxa"/>
        <w:tblCellMar>
          <w:top w:w="0" w:type="dxa"/>
          <w:left w:w="0" w:type="dxa"/>
          <w:bottom w:w="0" w:type="dxa"/>
          <w:right w:w="0" w:type="dxa"/>
        </w:tblCellMar>
      </w:tblPr>
      <w:tblGrid>
        <w:gridCol w:w="500"/>
        <w:gridCol w:w="257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18.4.</w:t>
            </w:r>
          </w:p>
        </w:tc>
        <w:tc>
          <w:tcPr>
            <w:tcW w:w="257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Health Insurance (Illness)</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Health insurance is compulsory in Switzerland and needs to be obtained by the Employee. Upon receipt of the respective costs, the Company will cover the costs of the Employee’s health insurance up to a maximum of CHF 400 per month.</w:t>
      </w:r>
    </w:p>
    <w:tbl>
      <w:tblPr>
        <w:tblW w:w="1840" w:type="dxa"/>
        <w:jc w:val="left"/>
        <w:tblInd w:w="0" w:type="dxa"/>
        <w:tblCellMar>
          <w:top w:w="0" w:type="dxa"/>
          <w:left w:w="0" w:type="dxa"/>
          <w:bottom w:w="0" w:type="dxa"/>
          <w:right w:w="0" w:type="dxa"/>
        </w:tblCellMar>
      </w:tblPr>
      <w:tblGrid>
        <w:gridCol w:w="500"/>
        <w:gridCol w:w="134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18.5.</w:t>
            </w:r>
          </w:p>
        </w:tc>
        <w:tc>
          <w:tcPr>
            <w:tcW w:w="134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Pension Plan</w:t>
            </w:r>
          </w:p>
        </w:tc>
      </w:tr>
    </w:tbl>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Provided that the Employee meets the regulatory requirements, the Employee is, through a pension plan (the </w:t>
      </w:r>
      <w:r>
        <w:rPr>
          <w:rFonts w:ascii="Calibri;Helvetica;sans-serif" w:hAnsi="Calibri;Helvetica;sans-serif"/>
          <w:b/>
          <w:sz w:val="24"/>
        </w:rPr>
        <w:t>Pension Plan</w:t>
      </w:r>
      <w:r>
        <w:rPr>
          <w:rFonts w:ascii="Calibri;Helvetica;sans-serif" w:hAnsi="Calibri;Helvetica;sans-serif"/>
          <w:sz w:val="24"/>
        </w:rPr>
        <w:t>), insured against the economic consequences of retirement, disability and death.</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will be covered by the Pension Plan as amended from time to time.</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The Company commits to providing a pension contribution of 5% of the Employee’s Base Salary, or minimum requirements under Swiss employment law, whichever is greater.</w:t>
      </w:r>
    </w:p>
    <w:p>
      <w:pPr>
        <w:pStyle w:val="TextBody"/>
        <w:pBdr>
          <w:bottom w:val="single" w:sz="2" w:space="1" w:color="A69D64"/>
        </w:pBdr>
        <w:spacing w:before="0" w:after="0"/>
        <w:ind w:left="0" w:right="0" w:hanging="0"/>
        <w:rPr/>
      </w:pPr>
      <w:r>
        <w:rPr/>
        <w:t>​</w:t>
      </w:r>
    </w:p>
    <w:tbl>
      <w:tblPr>
        <w:tblW w:w="5020" w:type="dxa"/>
        <w:jc w:val="left"/>
        <w:tblInd w:w="0" w:type="dxa"/>
        <w:tblCellMar>
          <w:top w:w="0" w:type="dxa"/>
          <w:left w:w="0" w:type="dxa"/>
          <w:bottom w:w="0" w:type="dxa"/>
          <w:right w:w="0" w:type="dxa"/>
        </w:tblCellMar>
      </w:tblPr>
      <w:tblGrid>
        <w:gridCol w:w="320"/>
        <w:gridCol w:w="4700"/>
      </w:tblGrid>
      <w:tr>
        <w:trPr/>
        <w:tc>
          <w:tcPr>
            <w:tcW w:w="3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19.</w:t>
            </w:r>
          </w:p>
        </w:tc>
        <w:tc>
          <w:tcPr>
            <w:tcW w:w="470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Intellectual Property Rights and Work Results</w:t>
            </w:r>
          </w:p>
        </w:tc>
      </w:tr>
    </w:tbl>
    <w:p>
      <w:pPr>
        <w:pStyle w:val="TextBody"/>
        <w:spacing w:before="0" w:after="0"/>
        <w:ind w:left="0" w:right="0" w:hanging="0"/>
        <w:rPr/>
      </w:pPr>
      <w:r>
        <w:rPr/>
        <w:t>​</w:t>
      </w:r>
    </w:p>
    <w:p>
      <w:pPr>
        <w:pStyle w:val="TextBody"/>
        <w:spacing w:before="0" w:after="240"/>
        <w:ind w:left="1080" w:right="0" w:hanging="0"/>
        <w:rPr>
          <w:rFonts w:ascii="Calibri;Helvetica;sans-serif" w:hAnsi="Calibri;Helvetica;sans-serif"/>
          <w:sz w:val="20"/>
        </w:rPr>
      </w:pPr>
      <w:r>
        <w:rPr>
          <w:rFonts w:ascii="Calibri;Helvetica;sans-serif" w:hAnsi="Calibri;Helvetica;sans-serif"/>
          <w:sz w:val="24"/>
        </w:rPr>
        <w:t>The Company shall own all work results (including but not limited to data, know-how, documentation, concepts, drafts, inventions, works, applications, software, etc.) and all intellectual property rights therein, irrespective of their protectability under the applicable law, (including but not limited to trademarks, patents, designs, and copyrights) (the foregoing all together “</w:t>
      </w:r>
      <w:r>
        <w:rPr>
          <w:rFonts w:ascii="Calibri;Helvetica;sans-serif" w:hAnsi="Calibri;Helvetica;sans-serif"/>
          <w:b/>
          <w:sz w:val="24"/>
        </w:rPr>
        <w:t>Work Results</w:t>
      </w:r>
      <w:r>
        <w:rPr>
          <w:rFonts w:ascii="Calibri;Helvetica;sans-serif" w:hAnsi="Calibri;Helvetica;sans-serif"/>
          <w:sz w:val="20"/>
        </w:rPr>
        <w:t>”</w:t>
      </w:r>
      <w:r>
        <w:rPr>
          <w:rFonts w:ascii="Calibri;Helvetica;sans-serif" w:hAnsi="Calibri;Helvetica;sans-serif"/>
          <w:sz w:val="24"/>
        </w:rPr>
        <w:t>) created by the Employee in the course of the Employment (regardless of whether within or outside agreed office or workplaces and within or outside working hours).</w:t>
      </w:r>
    </w:p>
    <w:p>
      <w:pPr>
        <w:pStyle w:val="TextBody"/>
        <w:spacing w:before="0" w:after="24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16</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All such Work Results shall vest automatically in the Company upon their creation. If the Company has not become the automatic owner of the Work Results and/or if the Work Results are not transferred to the Company by law, the Employee is obliged to irrevocably transfer and assign and hereby transfers and assigns said Work Results to the Company. If such Work Product cannot be transferred to the Company for any reason whatsoever, the Employee grants the Company an exclusive, worldwide, transferable, unlimited, irrevocable, sub-licensable and royalty-free license to use and exploit the Work Result.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Further, the Employee waives the right (i) to be mentioned as inventor, author or creator of a Work Result, (ii) to object to any change, modification, revision, translation or alteration of the Work Result or (iii) to determine the first publication of any Work Result.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is obliged to take all steps reasonably requested by the Company in order to fulfil the Employee’s obligations according to the above sections. This obligation continues even after termination of the Employment.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Employee has created the Work Result with the assistance of another individual or legal entity that is not legally or contractually obliged to transfer the Work Result to the Company, the Employee ensures to take the required actions to have such third party’s share in the Work Result transferred to the Company or (if a transfer is not possible) to have it licensed to the Company according to the terms above. In addition, the Employee ensures that the third party waives the right (i) to be mentioned as inventor, author or creator of a Work Result, (ii) to object to any change, modification, revision, translation or alteration of the Work Result or (iii) to determine the first publication of any Work Result.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Compensation for the transfer or licensing of any and all Work Results according to the above sections, in particular intellectual property rights and/or licensing rights, is included in the Employee’s Base Salary according to Section 11.1.</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a Work Result is created by the Employee in the course of the Employment but outside of the duties under the Employment Agreement, the Employee shall immediately inform the Company thereof in writing. The Company shall have the right to acquire ownership of such Work Result for a reasonable additional compensation, provided that the Company notifies the Employee in writing of its will to exercise this option within six (6) months as of the Employee’s notice of the creation of the Work Result.</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17</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bottom w:val="single" w:sz="2" w:space="1" w:color="A69D64"/>
        </w:pBdr>
        <w:spacing w:before="0" w:after="0"/>
        <w:ind w:left="0" w:right="0" w:hanging="0"/>
        <w:rPr/>
      </w:pPr>
      <w:r>
        <w:rPr/>
        <w:t>​</w:t>
      </w:r>
    </w:p>
    <w:tbl>
      <w:tblPr>
        <w:tblW w:w="1960" w:type="dxa"/>
        <w:jc w:val="left"/>
        <w:tblInd w:w="0" w:type="dxa"/>
        <w:tblCellMar>
          <w:top w:w="0" w:type="dxa"/>
          <w:left w:w="0" w:type="dxa"/>
          <w:bottom w:w="0" w:type="dxa"/>
          <w:right w:w="0" w:type="dxa"/>
        </w:tblCellMar>
      </w:tblPr>
      <w:tblGrid>
        <w:gridCol w:w="320"/>
        <w:gridCol w:w="1640"/>
      </w:tblGrid>
      <w:tr>
        <w:trPr/>
        <w:tc>
          <w:tcPr>
            <w:tcW w:w="3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20.</w:t>
            </w:r>
          </w:p>
        </w:tc>
        <w:tc>
          <w:tcPr>
            <w:tcW w:w="164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Data Protection</w:t>
            </w:r>
          </w:p>
        </w:tc>
      </w:tr>
    </w:tbl>
    <w:p>
      <w:pPr>
        <w:pStyle w:val="TextBody"/>
        <w:spacing w:before="0" w:after="0"/>
        <w:ind w:left="0" w:right="0" w:hanging="0"/>
        <w:rPr/>
      </w:pPr>
      <w:r>
        <w:rPr/>
        <w:t>​</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The Company informs the Employee about the processing of the Employee’s personal information in a privacy notice (</w:t>
      </w:r>
      <w:r>
        <w:rPr>
          <w:rFonts w:ascii="Calibri;Helvetica;sans-serif" w:hAnsi="Calibri;Helvetica;sans-serif"/>
          <w:b/>
          <w:sz w:val="24"/>
        </w:rPr>
        <w:t>Personal Data</w:t>
      </w:r>
      <w:r>
        <w:rPr>
          <w:rFonts w:ascii="Calibri;Helvetica;sans-serif" w:hAnsi="Calibri;Helvetica;sans-serif"/>
          <w:sz w:val="24"/>
        </w:rPr>
        <w:t>).</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The Company may amend the privacy notice and respective policies at any time.</w:t>
      </w:r>
    </w:p>
    <w:p>
      <w:pPr>
        <w:pStyle w:val="TextBody"/>
        <w:pBdr>
          <w:bottom w:val="single" w:sz="2" w:space="1" w:color="A69D64"/>
        </w:pBdr>
        <w:spacing w:before="0" w:after="0"/>
        <w:ind w:left="0" w:right="0" w:hanging="0"/>
        <w:rPr/>
      </w:pPr>
      <w:r>
        <w:rPr/>
        <w:t>​</w:t>
      </w:r>
    </w:p>
    <w:tbl>
      <w:tblPr>
        <w:tblW w:w="4270" w:type="dxa"/>
        <w:jc w:val="left"/>
        <w:tblInd w:w="0" w:type="dxa"/>
        <w:tblCellMar>
          <w:top w:w="0" w:type="dxa"/>
          <w:left w:w="0" w:type="dxa"/>
          <w:bottom w:w="0" w:type="dxa"/>
          <w:right w:w="0" w:type="dxa"/>
        </w:tblCellMar>
      </w:tblPr>
      <w:tblGrid>
        <w:gridCol w:w="320"/>
        <w:gridCol w:w="3950"/>
      </w:tblGrid>
      <w:tr>
        <w:trPr/>
        <w:tc>
          <w:tcPr>
            <w:tcW w:w="3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21.</w:t>
            </w:r>
          </w:p>
        </w:tc>
        <w:tc>
          <w:tcPr>
            <w:tcW w:w="395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Non-Competition and Non-Solicitation</w:t>
            </w:r>
          </w:p>
        </w:tc>
      </w:tr>
    </w:tbl>
    <w:p>
      <w:pPr>
        <w:pStyle w:val="TextBody"/>
        <w:spacing w:before="0" w:after="0"/>
        <w:ind w:left="0" w:right="0" w:hanging="0"/>
        <w:rPr/>
      </w:pPr>
      <w:r>
        <w:rPr/>
        <w:t>​</w:t>
      </w:r>
    </w:p>
    <w:tbl>
      <w:tblPr>
        <w:tblW w:w="4375" w:type="dxa"/>
        <w:jc w:val="left"/>
        <w:tblInd w:w="0" w:type="dxa"/>
        <w:tblCellMar>
          <w:top w:w="0" w:type="dxa"/>
          <w:left w:w="0" w:type="dxa"/>
          <w:bottom w:w="0" w:type="dxa"/>
          <w:right w:w="0" w:type="dxa"/>
        </w:tblCellMar>
      </w:tblPr>
      <w:tblGrid>
        <w:gridCol w:w="500"/>
        <w:gridCol w:w="3875"/>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21.1.</w:t>
            </w:r>
          </w:p>
        </w:tc>
        <w:tc>
          <w:tcPr>
            <w:tcW w:w="3875"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Non-Competition during Employment</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shall refrain from competing with the Company during the Employment, i.e. the Employee is obliged in particular not to:</w:t>
      </w:r>
    </w:p>
    <w:tbl>
      <w:tblPr>
        <w:tblW w:w="10539" w:type="dxa"/>
        <w:jc w:val="left"/>
        <w:tblInd w:w="0" w:type="dxa"/>
        <w:tblCellMar>
          <w:top w:w="0" w:type="dxa"/>
          <w:left w:w="0" w:type="dxa"/>
          <w:bottom w:w="0" w:type="dxa"/>
          <w:right w:w="0" w:type="dxa"/>
        </w:tblCellMar>
      </w:tblPr>
      <w:tblGrid>
        <w:gridCol w:w="23"/>
        <w:gridCol w:w="140"/>
        <w:gridCol w:w="10376"/>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pPr>
            <w:r>
              <w:rPr/>
              <w:t>–</w:t>
            </w:r>
          </w:p>
        </w:tc>
        <w:tc>
          <w:tcPr>
            <w:tcW w:w="10376"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directly or indirectly, once, occasionally or professionally, under the Employee’s name or under a third-party name, on behalf of the Employee’s own or on behalf of third parties’ account compete with the Company or any Group Company; or</w:t>
            </w:r>
          </w:p>
        </w:tc>
      </w:tr>
    </w:tbl>
    <w:tbl>
      <w:tblPr>
        <w:tblW w:w="10539" w:type="dxa"/>
        <w:jc w:val="left"/>
        <w:tblInd w:w="0" w:type="dxa"/>
        <w:tblCellMar>
          <w:top w:w="0" w:type="dxa"/>
          <w:left w:w="0" w:type="dxa"/>
          <w:bottom w:w="0" w:type="dxa"/>
          <w:right w:w="0" w:type="dxa"/>
        </w:tblCellMar>
      </w:tblPr>
      <w:tblGrid>
        <w:gridCol w:w="23"/>
        <w:gridCol w:w="140"/>
        <w:gridCol w:w="10376"/>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pPr>
            <w:r>
              <w:rPr/>
              <w:t>–</w:t>
            </w:r>
          </w:p>
        </w:tc>
        <w:tc>
          <w:tcPr>
            <w:tcW w:w="10376"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engage in any way in any enterprise competing with the Company or any Group Company, and the Employee also agrees not to found, assist or promote any business being active in the same line of business as the Company or any Group Company.</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Any solicitation or referral of clients and/or employees of the Company or any Group Company is prohibited.</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In the event of a breach of this non-competition or non-solicitation obligation as set out in this Section 21.1, the Employee agrees to pay to the Company a disciplinary penalty equal to one (1) month's Base Salary as set out in Section 10.1 (including salary increases as granted from time to time) for each breach.</w:t>
      </w:r>
    </w:p>
    <w:tbl>
      <w:tblPr>
        <w:tblW w:w="4060" w:type="dxa"/>
        <w:jc w:val="left"/>
        <w:tblInd w:w="0" w:type="dxa"/>
        <w:tblCellMar>
          <w:top w:w="0" w:type="dxa"/>
          <w:left w:w="0" w:type="dxa"/>
          <w:bottom w:w="0" w:type="dxa"/>
          <w:right w:w="0" w:type="dxa"/>
        </w:tblCellMar>
      </w:tblPr>
      <w:tblGrid>
        <w:gridCol w:w="500"/>
        <w:gridCol w:w="356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21.2.</w:t>
            </w:r>
          </w:p>
        </w:tc>
        <w:tc>
          <w:tcPr>
            <w:tcW w:w="356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Post-Contractual Non-Competition</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agrees that for a period of 12 months after termination of the Employment the Employee will neither:</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18</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tbl>
      <w:tblPr>
        <w:tblW w:w="10539" w:type="dxa"/>
        <w:jc w:val="left"/>
        <w:tblInd w:w="0" w:type="dxa"/>
        <w:tblCellMar>
          <w:top w:w="0" w:type="dxa"/>
          <w:left w:w="0" w:type="dxa"/>
          <w:bottom w:w="0" w:type="dxa"/>
          <w:right w:w="0" w:type="dxa"/>
        </w:tblCellMar>
      </w:tblPr>
      <w:tblGrid>
        <w:gridCol w:w="23"/>
        <w:gridCol w:w="140"/>
        <w:gridCol w:w="10376"/>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pPr>
            <w:r>
              <w:rPr/>
              <w:t>–</w:t>
            </w:r>
          </w:p>
        </w:tc>
        <w:tc>
          <w:tcPr>
            <w:tcW w:w="10376"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directly or indirectly, once, occasionally or professionally, under the Employee’s name or under a third-party name, on behalf of the Employee’s own or on behalf of third parties’ account compete with the Company or any Group Company; nor</w:t>
            </w:r>
          </w:p>
        </w:tc>
      </w:tr>
    </w:tbl>
    <w:tbl>
      <w:tblPr>
        <w:tblW w:w="10539" w:type="dxa"/>
        <w:jc w:val="left"/>
        <w:tblInd w:w="0" w:type="dxa"/>
        <w:tblCellMar>
          <w:top w:w="0" w:type="dxa"/>
          <w:left w:w="0" w:type="dxa"/>
          <w:bottom w:w="0" w:type="dxa"/>
          <w:right w:w="0" w:type="dxa"/>
        </w:tblCellMar>
      </w:tblPr>
      <w:tblGrid>
        <w:gridCol w:w="23"/>
        <w:gridCol w:w="140"/>
        <w:gridCol w:w="10376"/>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40"/>
              <w:rPr/>
            </w:pPr>
            <w:r>
              <w:rPr/>
              <w:t>–</w:t>
            </w:r>
          </w:p>
        </w:tc>
        <w:tc>
          <w:tcPr>
            <w:tcW w:w="10376"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engage in any way in any enterprise competing with the Company or any Group Company, and the Employee also agrees not to found, assist or promote any business being active in the same line of business as the Company or any Group Company.</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This non-competition obligation shall apply to the whole territory for which the Employee was responsible during the Employment and/or to the whole territory in which the Employee was working with products of the Company or any Group Company during the Employment, but at least to the territory of Switzerland, the US and the UK and the Swiss, US and UK market.</w:t>
      </w:r>
    </w:p>
    <w:tbl>
      <w:tblPr>
        <w:tblW w:w="3970" w:type="dxa"/>
        <w:jc w:val="left"/>
        <w:tblInd w:w="0" w:type="dxa"/>
        <w:tblCellMar>
          <w:top w:w="0" w:type="dxa"/>
          <w:left w:w="0" w:type="dxa"/>
          <w:bottom w:w="0" w:type="dxa"/>
          <w:right w:w="0" w:type="dxa"/>
        </w:tblCellMar>
      </w:tblPr>
      <w:tblGrid>
        <w:gridCol w:w="500"/>
        <w:gridCol w:w="347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21.3.</w:t>
            </w:r>
          </w:p>
        </w:tc>
        <w:tc>
          <w:tcPr>
            <w:tcW w:w="347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Post-Contractual Non-Solicitation</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For a period of 12 months after termination of the Employment the Employee shall abstain directly or indirectly from:</w:t>
      </w:r>
    </w:p>
    <w:tbl>
      <w:tblPr>
        <w:tblW w:w="10539" w:type="dxa"/>
        <w:jc w:val="left"/>
        <w:tblInd w:w="0" w:type="dxa"/>
        <w:tblCellMar>
          <w:top w:w="0" w:type="dxa"/>
          <w:left w:w="0" w:type="dxa"/>
          <w:bottom w:w="0" w:type="dxa"/>
          <w:right w:w="0" w:type="dxa"/>
        </w:tblCellMar>
      </w:tblPr>
      <w:tblGrid>
        <w:gridCol w:w="23"/>
        <w:gridCol w:w="199"/>
        <w:gridCol w:w="10317"/>
      </w:tblGrid>
      <w:tr>
        <w:trPr/>
        <w:tc>
          <w:tcPr>
            <w:tcW w:w="2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(i)</w:t>
            </w:r>
          </w:p>
        </w:tc>
        <w:tc>
          <w:tcPr>
            <w:tcW w:w="10317"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enticing away, soliciting or interfering with any personnel from the Company or any Group Company with whom the Employee was in contact during the Employment; or</w:t>
            </w:r>
          </w:p>
        </w:tc>
      </w:tr>
    </w:tbl>
    <w:tbl>
      <w:tblPr>
        <w:tblW w:w="10539" w:type="dxa"/>
        <w:jc w:val="left"/>
        <w:tblInd w:w="0" w:type="dxa"/>
        <w:tblCellMar>
          <w:top w:w="0" w:type="dxa"/>
          <w:left w:w="0" w:type="dxa"/>
          <w:bottom w:w="0" w:type="dxa"/>
          <w:right w:w="0" w:type="dxa"/>
        </w:tblCellMar>
      </w:tblPr>
      <w:tblGrid>
        <w:gridCol w:w="23"/>
        <w:gridCol w:w="240"/>
        <w:gridCol w:w="10276"/>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(ii)</w:t>
            </w:r>
          </w:p>
        </w:tc>
        <w:tc>
          <w:tcPr>
            <w:tcW w:w="10276" w:type="dxa"/>
            <w:tcBorders/>
            <w:shd w:fill="auto" w:val="clear"/>
            <w:vAlign w:val="center"/>
          </w:tcPr>
          <w:p>
            <w:pPr>
              <w:pStyle w:val="TableContents"/>
              <w:spacing w:before="0" w:after="240"/>
              <w:rPr>
                <w:rFonts w:ascii="Calibri;Helvetica;sans-serif" w:hAnsi="Calibri;Helvetica;sans-serif"/>
                <w:sz w:val="24"/>
              </w:rPr>
            </w:pPr>
            <w:r>
              <w:rPr>
                <w:rFonts w:ascii="Calibri;Helvetica;sans-serif" w:hAnsi="Calibri;Helvetica;sans-serif"/>
                <w:sz w:val="24"/>
              </w:rPr>
              <w:t>enticing away, soliciting or interfering with clients or contacts of the Company or any Group Company with whom the Employee was in contact during the last three years prior to termination of the Employment or about whom the Employee gained knowledge during the Employment.</w:t>
            </w:r>
          </w:p>
        </w:tc>
      </w:tr>
    </w:tbl>
    <w:tbl>
      <w:tblPr>
        <w:tblW w:w="1300" w:type="dxa"/>
        <w:jc w:val="left"/>
        <w:tblInd w:w="0" w:type="dxa"/>
        <w:tblCellMar>
          <w:top w:w="0" w:type="dxa"/>
          <w:left w:w="0" w:type="dxa"/>
          <w:bottom w:w="0" w:type="dxa"/>
          <w:right w:w="0" w:type="dxa"/>
        </w:tblCellMar>
      </w:tblPr>
      <w:tblGrid>
        <w:gridCol w:w="500"/>
        <w:gridCol w:w="800"/>
      </w:tblGrid>
      <w:tr>
        <w:trPr/>
        <w:tc>
          <w:tcPr>
            <w:tcW w:w="5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21.4.</w:t>
            </w:r>
          </w:p>
        </w:tc>
        <w:tc>
          <w:tcPr>
            <w:tcW w:w="800" w:type="dxa"/>
            <w:tcBorders/>
            <w:shd w:fill="auto" w:val="clear"/>
            <w:vAlign w:val="center"/>
          </w:tcPr>
          <w:p>
            <w:pPr>
              <w:pStyle w:val="TableContents"/>
              <w:spacing w:before="0" w:after="240"/>
              <w:rPr>
                <w:rFonts w:ascii="Calibri;Helvetica;sans-serif" w:hAnsi="Calibri;Helvetica;sans-serif"/>
                <w:b/>
                <w:sz w:val="24"/>
              </w:rPr>
            </w:pPr>
            <w:r>
              <w:rPr>
                <w:rFonts w:ascii="Calibri;Helvetica;sans-serif" w:hAnsi="Calibri;Helvetica;sans-serif"/>
                <w:b/>
                <w:sz w:val="24"/>
              </w:rPr>
              <w:t>Penalty</w:t>
            </w:r>
          </w:p>
        </w:tc>
      </w:tr>
    </w:tbl>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the Employee violates the post-contractual non-competition obligation according to Section 21.2, the Employee shall pay to the Company a penalty in the amount of six monthly Base Salaries according to Section 11.1 (including salary increases as granted from time to time) for each violation.</w:t>
      </w:r>
    </w:p>
    <w:p>
      <w:pPr>
        <w:pStyle w:val="TextBody"/>
        <w:spacing w:before="0" w:after="24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19</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the Employee violates the post-contractual non-solicitation obligation with respect to co-workers according to Section 21.3(i), the Employee shall pay the Company a penalty of two monthly Base Salaries according to Section 11.1 (incl. salary increases as granted from time to time) for each violation.</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If the Employee violates the post-contractual non-solicitation obligation with respect to clients according to Section 21.3(ii), the Employee shall pay to the Company a penalty in the amount of three monthly Base Salaries according to Section 11.1 (including salary increases as granted from time to time) for each violation.</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 xml:space="preserve">If the breach consists in non-authorized participation in a competing company or in entering into a long-term obligation (such as an employment, service, agency or consultant contract), the penalty shall be increased by the amount of the last monthly Base Salary according to Section 11.1 (including salary increases as granted from time to time) for each month or part thereof in which the breach continues (the </w:t>
      </w:r>
      <w:r>
        <w:rPr>
          <w:rFonts w:ascii="Calibri;Helvetica;sans-serif" w:hAnsi="Calibri;Helvetica;sans-serif"/>
          <w:b/>
          <w:sz w:val="24"/>
        </w:rPr>
        <w:t>Continuous Breach</w:t>
      </w:r>
      <w:r>
        <w:rPr>
          <w:rFonts w:ascii="Calibri;Helvetica;sans-serif" w:hAnsi="Calibri;Helvetica;sans-serif"/>
          <w:sz w:val="24"/>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Multiple breaches of the obligations pursuant to Sections 21.2 and/or 21.3each trigger separate penalties, if necessary several times within one month. If individual breaches occur within a Continuous Breach, they shall be covered by the penalty which has to be paid for the Continuous Breach.</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payment of the penalty does not release the Employee from the obligation to comply with the non-competition and/or non-solicitation obligations. The Company shall be entitled to seek injunctive measures or any other type of immediate relief to stop the infringement as soon as possible, regardless of whether any penalty is offered or paid.</w:t>
      </w:r>
    </w:p>
    <w:p>
      <w:pPr>
        <w:pStyle w:val="TextBody"/>
        <w:spacing w:before="0" w:after="240"/>
        <w:ind w:left="1008" w:right="0" w:hanging="0"/>
        <w:rPr>
          <w:rFonts w:ascii="Calibri;Helvetica;sans-serif" w:hAnsi="Calibri;Helvetica;sans-serif"/>
          <w:sz w:val="20"/>
        </w:rPr>
      </w:pPr>
      <w:r>
        <w:rPr>
          <w:rFonts w:ascii="Calibri;Helvetica;sans-serif" w:hAnsi="Calibri;Helvetica;sans-serif"/>
          <w:sz w:val="24"/>
        </w:rPr>
        <w:t>The Company is at any time entitled to demand the elimination of the violating condition and in particular to prohibit the Employee from taking up or continuing any employment or other activity that violates this non-competition and non-solicitation clause (</w:t>
      </w:r>
      <w:r>
        <w:rPr>
          <w:rFonts w:ascii="Calibri;Helvetica;sans-serif" w:hAnsi="Calibri;Helvetica;sans-serif"/>
          <w:i/>
          <w:sz w:val="24"/>
        </w:rPr>
        <w:t>Realexekution</w:t>
      </w:r>
      <w:r>
        <w:rPr>
          <w:rFonts w:ascii="Calibri;Helvetica;sans-serif" w:hAnsi="Calibri;Helvetica;sans-serif"/>
          <w:sz w:val="24"/>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Further, the Company reserves the right to claim compensation for damages (in addition to the penalty or penalties).</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20</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pBdr>
          <w:bottom w:val="single" w:sz="2" w:space="1" w:color="A69D64"/>
        </w:pBdr>
        <w:spacing w:before="0" w:after="0"/>
        <w:ind w:left="0" w:right="0" w:hanging="0"/>
        <w:rPr/>
      </w:pPr>
      <w:r>
        <w:rPr/>
        <w:t>​</w:t>
      </w:r>
    </w:p>
    <w:tbl>
      <w:tblPr>
        <w:tblW w:w="1840" w:type="dxa"/>
        <w:jc w:val="left"/>
        <w:tblInd w:w="0" w:type="dxa"/>
        <w:tblCellMar>
          <w:top w:w="0" w:type="dxa"/>
          <w:left w:w="0" w:type="dxa"/>
          <w:bottom w:w="0" w:type="dxa"/>
          <w:right w:w="0" w:type="dxa"/>
        </w:tblCellMar>
      </w:tblPr>
      <w:tblGrid>
        <w:gridCol w:w="320"/>
        <w:gridCol w:w="1520"/>
      </w:tblGrid>
      <w:tr>
        <w:trPr/>
        <w:tc>
          <w:tcPr>
            <w:tcW w:w="3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22.</w:t>
            </w:r>
          </w:p>
        </w:tc>
        <w:tc>
          <w:tcPr>
            <w:tcW w:w="15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Confidentiality</w:t>
            </w:r>
          </w:p>
        </w:tc>
      </w:tr>
    </w:tbl>
    <w:p>
      <w:pPr>
        <w:pStyle w:val="TextBody"/>
        <w:spacing w:before="0" w:after="0"/>
        <w:ind w:left="0" w:right="0" w:hanging="0"/>
        <w:rPr/>
      </w:pPr>
      <w:r>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will have access to confidential and proprietary information relating to the business and operations of the Company, any Group Companies and their clients, in particular to business and manufacturing secrets. Such confidential and proprietary information constitutes a unique and valuable asset of the Company and any Group Companies and their acquisition required great time and expense. The disclosure or any other use of such confidential or proprietary information, other than for the sole benefit of the Company or any Group Company, would cause irreparable harm to the Company.</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is under a strict duty to keep all confidential and proprietary information strictly and permanently confidential and, accordingly, shall not during the Employment or after termination of the Employment directly or indirectly for any purpose other than for the sole benefit of the Company or any Group Company disclose or permit to be disclosed to any third party any confidential or proprietary information without first obtaining the written consent of the responsible executive and the party concerned, if applicable, except if required to do so by law.</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The Employee may not make any statement to the media, as far as the Employee is not authorized to do so by the Company and/or the responsible executive.</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In the event the Employee breaches the obligations pursuant to this Section a disciplinary penalty of one monthly Base Salary according to Section 11.1 (including salary increases as granted from time to time) shall be owed by the Employee to the Company for each breach.</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However, the payment of the penalty does not release the Employee from further complying with the confidentiality obligation.</w:t>
      </w:r>
    </w:p>
    <w:p>
      <w:pPr>
        <w:pStyle w:val="TextBody"/>
        <w:spacing w:before="0" w:after="0"/>
        <w:ind w:left="1008" w:right="0" w:hanging="0"/>
        <w:rPr>
          <w:rFonts w:ascii="Calibri;Helvetica;sans-serif" w:hAnsi="Calibri;Helvetica;sans-serif"/>
          <w:sz w:val="24"/>
        </w:rPr>
      </w:pPr>
      <w:r>
        <w:rPr>
          <w:rFonts w:ascii="Calibri;Helvetica;sans-serif" w:hAnsi="Calibri;Helvetica;sans-serif"/>
          <w:sz w:val="24"/>
        </w:rPr>
        <w:t>The Company reserves the right to claim compensation for damages in addition to the penalty.</w:t>
      </w:r>
    </w:p>
    <w:p>
      <w:pPr>
        <w:pStyle w:val="TextBody"/>
        <w:pBdr>
          <w:bottom w:val="single" w:sz="2" w:space="1" w:color="A69D64"/>
        </w:pBdr>
        <w:spacing w:before="0" w:after="0"/>
        <w:ind w:left="0" w:right="0" w:hanging="0"/>
        <w:rPr/>
      </w:pPr>
      <w:r>
        <w:rPr/>
        <w:t>​</w:t>
      </w:r>
    </w:p>
    <w:tbl>
      <w:tblPr>
        <w:tblW w:w="1780" w:type="dxa"/>
        <w:jc w:val="left"/>
        <w:tblInd w:w="0" w:type="dxa"/>
        <w:tblCellMar>
          <w:top w:w="0" w:type="dxa"/>
          <w:left w:w="0" w:type="dxa"/>
          <w:bottom w:w="0" w:type="dxa"/>
          <w:right w:w="0" w:type="dxa"/>
        </w:tblCellMar>
      </w:tblPr>
      <w:tblGrid>
        <w:gridCol w:w="320"/>
        <w:gridCol w:w="1460"/>
      </w:tblGrid>
      <w:tr>
        <w:trPr/>
        <w:tc>
          <w:tcPr>
            <w:tcW w:w="32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23.</w:t>
            </w:r>
          </w:p>
        </w:tc>
        <w:tc>
          <w:tcPr>
            <w:tcW w:w="1460" w:type="dxa"/>
            <w:tcBorders/>
            <w:shd w:fill="auto" w:val="clear"/>
            <w:vAlign w:val="center"/>
          </w:tcPr>
          <w:p>
            <w:pPr>
              <w:pStyle w:val="TableContents"/>
              <w:spacing w:before="0" w:after="0"/>
              <w:rPr>
                <w:rFonts w:ascii="Calibri;Helvetica;sans-serif" w:hAnsi="Calibri;Helvetica;sans-serif"/>
                <w:b/>
                <w:sz w:val="24"/>
              </w:rPr>
            </w:pPr>
            <w:r>
              <w:rPr>
                <w:rFonts w:ascii="Calibri;Helvetica;sans-serif" w:hAnsi="Calibri;Helvetica;sans-serif"/>
                <w:b/>
                <w:sz w:val="24"/>
              </w:rPr>
              <w:t>Miscellaneous</w:t>
            </w:r>
          </w:p>
        </w:tc>
      </w:tr>
    </w:tbl>
    <w:p>
      <w:pPr>
        <w:pStyle w:val="TextBody"/>
        <w:spacing w:before="0" w:after="0"/>
        <w:ind w:left="0" w:right="0" w:hanging="0"/>
        <w:rPr/>
      </w:pPr>
      <w:r>
        <w:rPr/>
        <w: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This Employment Agreement constitutes the complete Employment Agreement between the Parties regarding its subject matter and supersedes all prior oral and/or written agreements, representations and/or communications</w:t>
      </w:r>
    </w:p>
    <w:p>
      <w:pPr>
        <w:pStyle w:val="TextBody"/>
        <w:spacing w:before="0" w:after="18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21</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concerning the subject matter hereof, in particular the offer letter dated 1 August 2022 and the former employment agreement concluded between the Company (in formation) and the Employee on 26/28 September 2022.</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Should any of the provisions of this Employment Agreement be or become legally invalid, such invalidity shall not affect the validity of the remaining provisions. Any gap resulting from such invalidity shall be filled by a provision consistent with the spirit and purpose of the Employment Agreement. In the same way shall be proceeded if a contractual gap appears.</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Any amendments or supplementation of this Employment Agreement shall require written form and must be signed by both Parties. The written form may be dispensed only in writing.</w:t>
      </w:r>
    </w:p>
    <w:p>
      <w:pPr>
        <w:pStyle w:val="TextBody"/>
        <w:spacing w:before="0" w:after="240"/>
        <w:ind w:left="1008" w:right="0" w:hanging="0"/>
        <w:rPr>
          <w:rFonts w:ascii="Calibri;Helvetica;sans-serif" w:hAnsi="Calibri;Helvetica;sans-serif"/>
          <w:sz w:val="24"/>
        </w:rPr>
      </w:pPr>
      <w:r>
        <w:rPr>
          <w:rFonts w:ascii="Calibri;Helvetica;sans-serif" w:hAnsi="Calibri;Helvetica;sans-serif"/>
          <w:sz w:val="24"/>
        </w:rPr>
        <w:t>This Employment Agreement shall be construed in accordance with and governed by Swiss law (without giving effect to the principles of conflicts of law).</w:t>
      </w:r>
    </w:p>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22</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p>
    <w:p>
      <w:pPr>
        <w:pStyle w:val="TextBody"/>
        <w:spacing w:before="0" w:after="600"/>
        <w:ind w:left="0" w:right="0" w:hanging="0"/>
        <w:jc w:val="right"/>
        <w:rPr>
          <w:rFonts w:ascii="Calibri;Helvetica;sans-serif" w:hAnsi="Calibri;Helvetica;sans-serif"/>
          <w:b/>
          <w:sz w:val="24"/>
        </w:rPr>
      </w:pPr>
      <w:r>
        <w:rPr>
          <w:rFonts w:ascii="Calibri;Helvetica;sans-serif" w:hAnsi="Calibri;Helvetica;sans-serif"/>
          <w:b/>
          <w:sz w:val="24"/>
        </w:rPr>
        <w:t>Employment Agreement</w:t>
      </w:r>
    </w:p>
    <w:tbl>
      <w:tblPr>
        <w:tblW w:w="4370" w:type="dxa"/>
        <w:jc w:val="center"/>
        <w:tblInd w:w="0" w:type="dxa"/>
        <w:tblCellMar>
          <w:top w:w="28" w:type="dxa"/>
          <w:left w:w="0" w:type="dxa"/>
          <w:bottom w:w="0" w:type="dxa"/>
          <w:right w:w="0" w:type="dxa"/>
        </w:tblCellMar>
      </w:tblPr>
      <w:tblGrid>
        <w:gridCol w:w="4216"/>
        <w:gridCol w:w="154"/>
      </w:tblGrid>
      <w:tr>
        <w:trPr/>
        <w:tc>
          <w:tcPr>
            <w:tcW w:w="4216" w:type="dxa"/>
            <w:tcBorders>
              <w:top w:val="single" w:sz="2" w:space="0" w:color="A69D64"/>
            </w:tcBorders>
            <w:shd w:fill="auto" w:val="clear"/>
            <w:vAlign w:val="center"/>
          </w:tcPr>
          <w:p>
            <w:pPr>
              <w:pStyle w:val="TableContents"/>
              <w:spacing w:before="0" w:after="0"/>
              <w:ind w:left="0" w:right="0" w:hanging="0"/>
              <w:rPr>
                <w:rFonts w:ascii="Calibri;Helvetica;sans-serif" w:hAnsi="Calibri;Helvetica;sans-serif"/>
                <w:b/>
                <w:sz w:val="24"/>
              </w:rPr>
            </w:pPr>
            <w:r>
              <w:rPr>
                <w:rFonts w:ascii="Calibri;Helvetica;sans-serif" w:hAnsi="Calibri;Helvetica;sans-serif"/>
                <w:b/>
                <w:sz w:val="24"/>
              </w:rPr>
              <w:t>Signatures</w:t>
            </w:r>
          </w:p>
        </w:tc>
        <w:tc>
          <w:tcPr>
            <w:tcW w:w="154" w:type="dxa"/>
            <w:tcBorders>
              <w:top w:val="single" w:sz="2" w:space="0" w:color="A69D64"/>
            </w:tcBorders>
            <w:shd w:fill="auto" w:val="clear"/>
            <w:vAlign w:val="center"/>
          </w:tcPr>
          <w:p>
            <w:pPr>
              <w:pStyle w:val="TableContents"/>
              <w:spacing w:before="0" w:after="0"/>
              <w:ind w:left="0" w:right="0" w:hanging="0"/>
              <w:rPr/>
            </w:pPr>
            <w:r>
              <w:rPr/>
              <w:t>​</w:t>
            </w:r>
          </w:p>
        </w:tc>
      </w:tr>
      <w:tr>
        <w:trPr/>
        <w:tc>
          <w:tcPr>
            <w:tcW w:w="4216" w:type="dxa"/>
            <w:tcBorders/>
            <w:shd w:fill="auto" w:val="clear"/>
            <w:tcMar>
              <w:top w:w="0" w:type="dxa"/>
            </w:tcMar>
            <w:vAlign w:val="center"/>
          </w:tcPr>
          <w:p>
            <w:pPr>
              <w:pStyle w:val="TableContents"/>
              <w:spacing w:before="0" w:after="0"/>
              <w:ind w:left="0" w:right="0" w:hanging="0"/>
              <w:rPr/>
            </w:pPr>
            <w:r>
              <w:rPr/>
              <w:t>​</w:t>
            </w:r>
          </w:p>
        </w:tc>
        <w:tc>
          <w:tcPr>
            <w:tcW w:w="154" w:type="dxa"/>
            <w:tcBorders/>
            <w:shd w:fill="auto" w:val="clear"/>
            <w:tcMar>
              <w:top w:w="0" w:type="dxa"/>
            </w:tcMar>
            <w:vAlign w:val="center"/>
          </w:tcPr>
          <w:p>
            <w:pPr>
              <w:pStyle w:val="TableContents"/>
              <w:spacing w:before="0" w:after="0"/>
              <w:ind w:left="0" w:right="0" w:hanging="0"/>
              <w:rPr/>
            </w:pPr>
            <w:r>
              <w:rPr/>
              <w:t>​</w:t>
            </w:r>
          </w:p>
        </w:tc>
      </w:tr>
      <w:tr>
        <w:trPr/>
        <w:tc>
          <w:tcPr>
            <w:tcW w:w="4216" w:type="dxa"/>
            <w:tcBorders/>
            <w:shd w:fill="auto" w:val="clear"/>
            <w:tcMar>
              <w:top w:w="0" w:type="dxa"/>
            </w:tcM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/s/ William Enright</w:t>
            </w:r>
          </w:p>
        </w:tc>
        <w:tc>
          <w:tcPr>
            <w:tcW w:w="154" w:type="dxa"/>
            <w:tcBorders/>
            <w:shd w:fill="auto" w:val="clear"/>
            <w:tcMar>
              <w:top w:w="0" w:type="dxa"/>
            </w:tcMar>
            <w:vAlign w:val="center"/>
          </w:tcPr>
          <w:p>
            <w:pPr>
              <w:pStyle w:val="TableContents"/>
              <w:spacing w:before="0" w:after="0"/>
              <w:ind w:left="0" w:right="0" w:hanging="0"/>
              <w:rPr/>
            </w:pPr>
            <w:r>
              <w:rPr/>
              <w:t>​</w:t>
            </w:r>
          </w:p>
        </w:tc>
      </w:tr>
      <w:tr>
        <w:trPr/>
        <w:tc>
          <w:tcPr>
            <w:tcW w:w="4216" w:type="dxa"/>
            <w:tcBorders>
              <w:bottom w:val="single" w:sz="2" w:space="0" w:color="A69D64"/>
            </w:tcBorders>
            <w:shd w:fill="auto" w:val="clear"/>
            <w:tcMar>
              <w:top w:w="0" w:type="dxa"/>
              <w:bottom w:w="28" w:type="dxa"/>
            </w:tcMar>
            <w:vAlign w:val="center"/>
          </w:tcPr>
          <w:p>
            <w:pPr>
              <w:pStyle w:val="TableContents"/>
              <w:spacing w:before="0" w:after="0"/>
              <w:ind w:left="0" w:right="0" w:hanging="0"/>
              <w:rPr/>
            </w:pPr>
            <w:r>
              <w:rPr/>
              <w:t>​</w:t>
            </w:r>
          </w:p>
        </w:tc>
        <w:tc>
          <w:tcPr>
            <w:tcW w:w="154" w:type="dxa"/>
            <w:tcBorders>
              <w:bottom w:val="single" w:sz="2" w:space="0" w:color="A69D64"/>
            </w:tcBorders>
            <w:shd w:fill="auto" w:val="clear"/>
            <w:tcMar>
              <w:top w:w="0" w:type="dxa"/>
              <w:bottom w:w="28" w:type="dxa"/>
            </w:tcMar>
            <w:vAlign w:val="center"/>
          </w:tcPr>
          <w:p>
            <w:pPr>
              <w:pStyle w:val="TableContents"/>
              <w:spacing w:before="0" w:after="0"/>
              <w:ind w:left="0" w:right="0" w:hanging="0"/>
              <w:rPr/>
            </w:pPr>
            <w:r>
              <w:rPr/>
              <w:t>​</w:t>
            </w:r>
          </w:p>
        </w:tc>
      </w:tr>
      <w:tr>
        <w:trPr/>
        <w:tc>
          <w:tcPr>
            <w:tcW w:w="4216" w:type="dxa"/>
            <w:tcBorders>
              <w:top w:val="single" w:sz="2" w:space="0" w:color="A69D64"/>
            </w:tcBorders>
            <w:shd w:fill="auto" w:val="cle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Vaccitech Switzerland GmbH (Company)</w:t>
            </w:r>
          </w:p>
        </w:tc>
        <w:tc>
          <w:tcPr>
            <w:tcW w:w="154" w:type="dxa"/>
            <w:tcBorders>
              <w:top w:val="single" w:sz="2" w:space="0" w:color="A69D64"/>
            </w:tcBorders>
            <w:shd w:fill="auto" w:val="clear"/>
            <w:vAlign w:val="center"/>
          </w:tcPr>
          <w:p>
            <w:pPr>
              <w:pStyle w:val="TableContents"/>
              <w:spacing w:before="0" w:after="0"/>
              <w:ind w:left="0" w:right="0" w:hanging="0"/>
              <w:rPr/>
            </w:pPr>
            <w:r>
              <w:rPr/>
              <w:t>​</w:t>
            </w:r>
          </w:p>
        </w:tc>
      </w:tr>
      <w:tr>
        <w:trPr/>
        <w:tc>
          <w:tcPr>
            <w:tcW w:w="4216" w:type="dxa"/>
            <w:tcBorders/>
            <w:shd w:fill="auto" w:val="clear"/>
            <w:tcMar>
              <w:top w:w="0" w:type="dxa"/>
            </w:tcMar>
            <w:vAlign w:val="center"/>
          </w:tcPr>
          <w:p>
            <w:pPr>
              <w:pStyle w:val="TableContents"/>
              <w:spacing w:before="0" w:after="0"/>
              <w:ind w:left="0" w:right="0" w:hanging="0"/>
              <w:rPr/>
            </w:pPr>
            <w:r>
              <w:rPr/>
              <w:t>​</w:t>
            </w:r>
          </w:p>
        </w:tc>
        <w:tc>
          <w:tcPr>
            <w:tcW w:w="154" w:type="dxa"/>
            <w:tcBorders/>
            <w:shd w:fill="auto" w:val="clear"/>
            <w:tcMar>
              <w:top w:w="0" w:type="dxa"/>
            </w:tcMar>
            <w:vAlign w:val="center"/>
          </w:tcPr>
          <w:p>
            <w:pPr>
              <w:pStyle w:val="TableContents"/>
              <w:spacing w:before="0" w:after="0"/>
              <w:ind w:left="0" w:right="0" w:hanging="0"/>
              <w:rPr/>
            </w:pPr>
            <w:r>
              <w:rPr/>
              <w:t>​</w:t>
            </w:r>
          </w:p>
        </w:tc>
      </w:tr>
      <w:tr>
        <w:trPr/>
        <w:tc>
          <w:tcPr>
            <w:tcW w:w="4216" w:type="dxa"/>
            <w:tcBorders/>
            <w:shd w:fill="auto" w:val="clear"/>
            <w:tcMar>
              <w:top w:w="0" w:type="dxa"/>
            </w:tcM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23 January, 2023</w:t>
            </w:r>
          </w:p>
        </w:tc>
        <w:tc>
          <w:tcPr>
            <w:tcW w:w="154" w:type="dxa"/>
            <w:tcBorders/>
            <w:shd w:fill="auto" w:val="clear"/>
            <w:tcMar>
              <w:top w:w="0" w:type="dxa"/>
            </w:tcMar>
            <w:vAlign w:val="center"/>
          </w:tcPr>
          <w:p>
            <w:pPr>
              <w:pStyle w:val="TableContents"/>
              <w:spacing w:before="0" w:after="0"/>
              <w:ind w:left="0" w:right="0" w:hanging="0"/>
              <w:rPr/>
            </w:pPr>
            <w:r>
              <w:rPr/>
              <w:t>​</w:t>
            </w:r>
          </w:p>
        </w:tc>
      </w:tr>
      <w:tr>
        <w:trPr/>
        <w:tc>
          <w:tcPr>
            <w:tcW w:w="4216" w:type="dxa"/>
            <w:tcBorders/>
            <w:shd w:fill="auto" w:val="clear"/>
            <w:tcMar>
              <w:top w:w="0" w:type="dxa"/>
            </w:tcMar>
            <w:vAlign w:val="center"/>
          </w:tcPr>
          <w:p>
            <w:pPr>
              <w:pStyle w:val="TableContents"/>
              <w:spacing w:before="0" w:after="0"/>
              <w:ind w:left="0" w:right="0" w:hanging="0"/>
              <w:rPr/>
            </w:pPr>
            <w:r>
              <w:rPr/>
              <w:t>​</w:t>
            </w:r>
          </w:p>
        </w:tc>
        <w:tc>
          <w:tcPr>
            <w:tcW w:w="154" w:type="dxa"/>
            <w:tcBorders/>
            <w:shd w:fill="auto" w:val="clear"/>
            <w:tcMar>
              <w:top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3587" w:type="dxa"/>
        <w:jc w:val="center"/>
        <w:tblInd w:w="0" w:type="dxa"/>
        <w:tblCellMar>
          <w:top w:w="28" w:type="dxa"/>
          <w:left w:w="0" w:type="dxa"/>
          <w:bottom w:w="0" w:type="dxa"/>
          <w:right w:w="0" w:type="dxa"/>
        </w:tblCellMar>
      </w:tblPr>
      <w:tblGrid>
        <w:gridCol w:w="1201"/>
        <w:gridCol w:w="2386"/>
      </w:tblGrid>
      <w:tr>
        <w:trPr/>
        <w:tc>
          <w:tcPr>
            <w:tcW w:w="1201" w:type="dxa"/>
            <w:tcBorders>
              <w:top w:val="dotted" w:sz="2" w:space="0" w:color="A69D64"/>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Place, date</w:t>
            </w:r>
          </w:p>
        </w:tc>
        <w:tc>
          <w:tcPr>
            <w:tcW w:w="2386" w:type="dxa"/>
            <w:tcBorders>
              <w:top w:val="dotted" w:sz="2" w:space="0" w:color="A69D64"/>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Name: William Enright</w:t>
            </w:r>
          </w:p>
        </w:tc>
      </w:tr>
      <w:tr>
        <w:trPr/>
        <w:tc>
          <w:tcPr>
            <w:tcW w:w="1201" w:type="dxa"/>
            <w:tcBorders/>
            <w:shd w:fill="auto" w:val="clear"/>
            <w:tcMar>
              <w:top w:w="0" w:type="dxa"/>
            </w:tcMar>
            <w:vAlign w:val="center"/>
          </w:tcPr>
          <w:p>
            <w:pPr>
              <w:pStyle w:val="TableContents"/>
              <w:spacing w:before="0" w:after="0"/>
              <w:ind w:left="0" w:right="0" w:hanging="0"/>
              <w:rPr/>
            </w:pPr>
            <w:r>
              <w:rPr/>
              <w:t>​</w:t>
            </w:r>
          </w:p>
        </w:tc>
        <w:tc>
          <w:tcPr>
            <w:tcW w:w="2386" w:type="dxa"/>
            <w:tcBorders/>
            <w:shd w:fill="auto" w:val="clear"/>
            <w:tcMar>
              <w:top w:w="0" w:type="dxa"/>
            </w:tcMar>
            <w:vAlign w:val="center"/>
          </w:tcPr>
          <w:p>
            <w:pPr>
              <w:pStyle w:val="TableContents"/>
              <w:spacing w:before="0" w:after="0"/>
              <w:ind w:left="0" w:right="0" w:hanging="0"/>
              <w:rPr/>
            </w:pPr>
            <w:r>
              <w:rPr/>
              <w:t>​</w:t>
            </w:r>
          </w:p>
        </w:tc>
      </w:tr>
      <w:tr>
        <w:trPr/>
        <w:tc>
          <w:tcPr>
            <w:tcW w:w="1201" w:type="dxa"/>
            <w:tcBorders/>
            <w:shd w:fill="auto" w:val="clear"/>
            <w:tcMar>
              <w:top w:w="0" w:type="dxa"/>
            </w:tcMar>
            <w:vAlign w:val="center"/>
          </w:tcPr>
          <w:p>
            <w:pPr>
              <w:pStyle w:val="TableContents"/>
              <w:spacing w:before="0" w:after="0"/>
              <w:ind w:left="0" w:right="0" w:hanging="0"/>
              <w:rPr/>
            </w:pPr>
            <w:r>
              <w:rPr/>
              <w:t>​</w:t>
            </w:r>
          </w:p>
        </w:tc>
        <w:tc>
          <w:tcPr>
            <w:tcW w:w="2386" w:type="dxa"/>
            <w:tcBorders/>
            <w:shd w:fill="auto" w:val="clear"/>
            <w:tcMar>
              <w:top w:w="0" w:type="dxa"/>
            </w:tcM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Title: Director</w:t>
            </w:r>
          </w:p>
        </w:tc>
      </w:tr>
    </w:tbl>
    <w:p>
      <w:pPr>
        <w:pStyle w:val="TextBody"/>
        <w:spacing w:before="0" w:after="0"/>
        <w:ind w:left="0" w:right="0" w:hanging="0"/>
        <w:jc w:val="center"/>
        <w:rPr/>
      </w:pPr>
      <w:r>
        <w:rPr/>
        <w:t>​</w:t>
      </w:r>
    </w:p>
    <w:tbl>
      <w:tblPr>
        <w:tblW w:w="2240" w:type="dxa"/>
        <w:jc w:val="center"/>
        <w:tblInd w:w="0" w:type="dxa"/>
        <w:tblCellMar>
          <w:top w:w="0" w:type="dxa"/>
          <w:left w:w="0" w:type="dxa"/>
          <w:bottom w:w="0" w:type="dxa"/>
          <w:right w:w="0" w:type="dxa"/>
        </w:tblCellMar>
      </w:tblPr>
      <w:tblGrid>
        <w:gridCol w:w="2086"/>
        <w:gridCol w:w="154"/>
      </w:tblGrid>
      <w:tr>
        <w:trPr/>
        <w:tc>
          <w:tcPr>
            <w:tcW w:w="208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086" w:type="dxa"/>
            <w:tcBorders>
              <w:bottom w:val="single" w:sz="2" w:space="0" w:color="A69D64"/>
            </w:tcBorders>
            <w:shd w:fill="auto" w:val="clear"/>
            <w:tcMar>
              <w:bottom w:w="28" w:type="dxa"/>
            </w:tcM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/s/ Nadege Pelletier</w:t>
            </w:r>
          </w:p>
        </w:tc>
        <w:tc>
          <w:tcPr>
            <w:tcW w:w="154" w:type="dxa"/>
            <w:tcBorders>
              <w:bottom w:val="single" w:sz="2" w:space="0" w:color="A69D64"/>
            </w:tcBorders>
            <w:shd w:fill="auto" w:val="clear"/>
            <w:tcMar>
              <w:bottom w:w="28" w:type="dxa"/>
            </w:tcMar>
            <w:vAlign w:val="center"/>
          </w:tcPr>
          <w:p>
            <w:pPr>
              <w:pStyle w:val="TableContents"/>
              <w:spacing w:before="0" w:after="0"/>
              <w:ind w:left="0" w:right="0" w:hanging="0"/>
              <w:rPr/>
            </w:pPr>
            <w:r>
              <w:rPr/>
              <w:t>​</w:t>
            </w:r>
          </w:p>
        </w:tc>
      </w:tr>
      <w:tr>
        <w:trPr/>
        <w:tc>
          <w:tcPr>
            <w:tcW w:w="2086" w:type="dxa"/>
            <w:tcBorders>
              <w:top w:val="single" w:sz="2" w:space="0" w:color="A69D64"/>
            </w:tcBorders>
            <w:shd w:fill="auto" w:val="clear"/>
            <w:tcMar>
              <w:top w:w="28" w:type="dxa"/>
            </w:tcMar>
            <w:vAlign w:val="center"/>
          </w:tcPr>
          <w:p>
            <w:pPr>
              <w:pStyle w:val="TableContents"/>
              <w:pBdr/>
              <w:spacing w:before="0" w:after="0"/>
              <w:ind w:left="0" w:right="0" w:hanging="0"/>
              <w:rPr>
                <w:rFonts w:ascii="Calibri;Helvetica;sans-serif" w:hAnsi="Calibri;Helvetica;sans-serif"/>
                <w:b/>
                <w:sz w:val="24"/>
              </w:rPr>
            </w:pPr>
            <w:r>
              <w:rPr>
                <w:rFonts w:ascii="Calibri;Helvetica;sans-serif" w:hAnsi="Calibri;Helvetica;sans-serif"/>
                <w:b/>
                <w:sz w:val="24"/>
              </w:rPr>
              <w:t>Employee</w:t>
            </w:r>
          </w:p>
        </w:tc>
        <w:tc>
          <w:tcPr>
            <w:tcW w:w="154" w:type="dxa"/>
            <w:tcBorders>
              <w:top w:val="single" w:sz="2" w:space="0" w:color="A69D64"/>
            </w:tcBorders>
            <w:shd w:fill="auto" w:val="clear"/>
            <w:tcMar>
              <w:top w:w="28" w:type="dxa"/>
            </w:tcM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23 January, 2023</w:t>
            </w:r>
          </w:p>
        </w:tc>
        <w:tc>
          <w:tcPr>
            <w:tcW w:w="154" w:type="dxa"/>
            <w:tcBorders/>
            <w:shd w:fill="auto" w:val="cle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2987" w:type="dxa"/>
        <w:jc w:val="center"/>
        <w:tblInd w:w="0" w:type="dxa"/>
        <w:tblCellMar>
          <w:top w:w="28" w:type="dxa"/>
          <w:left w:w="0" w:type="dxa"/>
          <w:bottom w:w="0" w:type="dxa"/>
          <w:right w:w="0" w:type="dxa"/>
        </w:tblCellMar>
      </w:tblPr>
      <w:tblGrid>
        <w:gridCol w:w="1201"/>
        <w:gridCol w:w="1786"/>
      </w:tblGrid>
      <w:tr>
        <w:trPr/>
        <w:tc>
          <w:tcPr>
            <w:tcW w:w="1201" w:type="dxa"/>
            <w:tcBorders>
              <w:top w:val="dotted" w:sz="2" w:space="0" w:color="A69D64"/>
            </w:tcBorders>
            <w:shd w:fill="auto" w:val="clear"/>
            <w:vAlign w:val="center"/>
          </w:tcPr>
          <w:p>
            <w:pPr>
              <w:pStyle w:val="TableContents"/>
              <w:pBdr/>
              <w:spacing w:before="0" w:after="0"/>
              <w:ind w:left="0" w:right="0" w:hanging="0"/>
              <w:rPr>
                <w:rFonts w:ascii="Calibri;Helvetica;sans-serif" w:hAnsi="Calibri;Helvetica;sans-serif"/>
                <w:sz w:val="24"/>
              </w:rPr>
            </w:pPr>
            <w:r>
              <w:rPr>
                <w:rFonts w:ascii="Calibri;Helvetica;sans-serif" w:hAnsi="Calibri;Helvetica;sans-serif"/>
                <w:sz w:val="24"/>
              </w:rPr>
              <w:t>Place, date</w:t>
            </w:r>
          </w:p>
        </w:tc>
        <w:tc>
          <w:tcPr>
            <w:tcW w:w="1786" w:type="dxa"/>
            <w:tcBorders>
              <w:top w:val="dotted" w:sz="2" w:space="0" w:color="A69D64"/>
            </w:tcBorders>
            <w:shd w:fill="auto" w:val="clear"/>
            <w:vAlign w:val="center"/>
          </w:tcPr>
          <w:p>
            <w:pPr>
              <w:pStyle w:val="TableContents"/>
              <w:spacing w:before="0" w:after="0"/>
              <w:ind w:left="0" w:right="0" w:hanging="0"/>
              <w:rPr>
                <w:rFonts w:ascii="Calibri;Helvetica;sans-serif" w:hAnsi="Calibri;Helvetica;sans-serif"/>
                <w:sz w:val="24"/>
              </w:rPr>
            </w:pPr>
            <w:r>
              <w:rPr>
                <w:rFonts w:ascii="Calibri;Helvetica;sans-serif" w:hAnsi="Calibri;Helvetica;sans-serif"/>
                <w:sz w:val="24"/>
              </w:rPr>
              <w:t>Nadege Pelletier</w:t>
            </w:r>
          </w:p>
        </w:tc>
      </w:tr>
    </w:tbl>
    <w:p>
      <w:pPr>
        <w:pStyle w:val="TextBody"/>
        <w:spacing w:before="0" w:after="0"/>
        <w:ind w:left="0" w:right="0" w:hanging="0"/>
        <w:rPr/>
      </w:pPr>
      <w:r>
        <w:rPr/>
        <w:t>​</w:t>
      </w:r>
    </w:p>
    <w:p>
      <w:pPr>
        <w:pStyle w:val="TextBody"/>
        <w:spacing w:before="480" w:after="0"/>
        <w:ind w:left="0" w:right="0" w:hanging="0"/>
        <w:jc w:val="right"/>
        <w:rPr>
          <w:rFonts w:ascii="Calibri;Helvetica;sans-serif" w:hAnsi="Calibri;Helvetica;sans-serif"/>
          <w:sz w:val="20"/>
        </w:rPr>
      </w:pPr>
      <w:r>
        <w:rPr>
          <w:rFonts w:ascii="Calibri;Helvetica;sans-serif" w:hAnsi="Calibri;Helvetica;sans-serif"/>
          <w:sz w:val="24"/>
        </w:rPr>
        <w:t>23</w:t>
      </w:r>
      <w:r>
        <w:rPr>
          <w:rFonts w:ascii="Calibri;Helvetica;sans-serif" w:hAnsi="Calibri;Helvetica;sans-serif"/>
          <w:sz w:val="20"/>
        </w:rPr>
        <w:t xml:space="preserve"> </w:t>
      </w:r>
      <w:r>
        <w:rPr>
          <w:rFonts w:ascii="Calibri;Helvetica;sans-serif" w:hAnsi="Calibri;Helvetica;sans-serif"/>
          <w:sz w:val="24"/>
        </w:rPr>
        <w:t>of 23</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49" w:name="vacc-20230331xex31d1.htm"/>
      <w:bookmarkStart w:id="1050" w:name="ksvacc20230331xex31d1"/>
      <w:bookmarkEnd w:id="1049"/>
      <w:bookmarkEnd w:id="1050"/>
      <w:r>
        <w:rPr>
          <w:rFonts w:ascii="Times New Roman;Times;serif" w:hAnsi="Times New Roman;Times;serif"/>
          <w:b/>
          <w:sz w:val="20"/>
        </w:rPr>
        <w:t>Exhibit 31.1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RULES 13a-14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AND 15d-14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UNDER THE SECURITIES EXCHANGE ACT OF 1934</w:t>
      </w:r>
      <w:r>
        <w:rPr>
          <w:rFonts w:ascii="Times New Roman;Times;serif" w:hAnsi="Times New Roman;Times;serif"/>
          <w:sz w:val="20"/>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William Enright, certify that:</w:t>
      </w:r>
    </w:p>
    <w:p>
      <w:pPr>
        <w:pStyle w:val="TextBody"/>
        <w:spacing w:before="0" w:after="0"/>
        <w:ind w:left="0" w:right="0" w:hanging="0"/>
        <w:rPr/>
      </w:pPr>
      <w:r>
        <w:rPr/>
        <w:t>​</w:t>
      </w:r>
    </w:p>
    <w:tbl>
      <w:tblPr>
        <w:tblW w:w="5815" w:type="dxa"/>
        <w:jc w:val="left"/>
        <w:tblInd w:w="0" w:type="dxa"/>
        <w:tblCellMar>
          <w:top w:w="0" w:type="dxa"/>
          <w:left w:w="0" w:type="dxa"/>
          <w:bottom w:w="0" w:type="dxa"/>
          <w:right w:w="0" w:type="dxa"/>
        </w:tblCellMar>
      </w:tblPr>
      <w:tblGrid>
        <w:gridCol w:w="170"/>
        <w:gridCol w:w="5645"/>
      </w:tblGrid>
      <w:tr>
        <w:trPr/>
        <w:tc>
          <w:tcPr>
            <w:tcW w:w="17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564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 have reviewed this Quarterly Report on Form 10-Q of Vaccitech plc;</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3"/>
        <w:gridCol w:w="10396"/>
      </w:tblGrid>
      <w:tr>
        <w:trPr/>
        <w:tc>
          <w:tcPr>
            <w:tcW w:w="14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103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5"/>
        <w:gridCol w:w="10394"/>
      </w:tblGrid>
      <w:tr>
        <w:trPr/>
        <w:tc>
          <w:tcPr>
            <w:tcW w:w="14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3.</w:t>
            </w:r>
          </w:p>
        </w:tc>
        <w:tc>
          <w:tcPr>
            <w:tcW w:w="1039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1"/>
        <w:gridCol w:w="10398"/>
      </w:tblGrid>
      <w:tr>
        <w:trPr/>
        <w:tc>
          <w:tcPr>
            <w:tcW w:w="14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4.</w:t>
            </w:r>
          </w:p>
        </w:tc>
        <w:tc>
          <w:tcPr>
            <w:tcW w:w="1039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189"/>
        <w:gridCol w:w="10327"/>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w:t>
            </w:r>
          </w:p>
        </w:tc>
        <w:tc>
          <w:tcPr>
            <w:tcW w:w="103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205"/>
        <w:gridCol w:w="10311"/>
      </w:tblGrid>
      <w:tr>
        <w:trPr/>
        <w:tc>
          <w:tcPr>
            <w:tcW w:w="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1031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196"/>
        <w:gridCol w:w="10320"/>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w:t>
            </w:r>
          </w:p>
        </w:tc>
        <w:tc>
          <w:tcPr>
            <w:tcW w:w="1032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205"/>
        <w:gridCol w:w="10311"/>
      </w:tblGrid>
      <w:tr>
        <w:trPr/>
        <w:tc>
          <w:tcPr>
            <w:tcW w:w="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w:t>
            </w:r>
          </w:p>
        </w:tc>
        <w:tc>
          <w:tcPr>
            <w:tcW w:w="1031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4"/>
        <w:gridCol w:w="10395"/>
      </w:tblGrid>
      <w:tr>
        <w:trPr/>
        <w:tc>
          <w:tcPr>
            <w:tcW w:w="14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5.</w:t>
            </w:r>
          </w:p>
        </w:tc>
        <w:tc>
          <w:tcPr>
            <w:tcW w:w="1039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197"/>
        <w:gridCol w:w="10319"/>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w:t>
            </w:r>
          </w:p>
        </w:tc>
        <w:tc>
          <w:tcPr>
            <w:tcW w:w="1031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229"/>
        <w:gridCol w:w="10287"/>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1028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307" w:type="dxa"/>
        <w:jc w:val="center"/>
        <w:tblInd w:w="0" w:type="dxa"/>
        <w:tblCellMar>
          <w:top w:w="0" w:type="dxa"/>
          <w:left w:w="0" w:type="dxa"/>
          <w:bottom w:w="0" w:type="dxa"/>
          <w:right w:w="0" w:type="dxa"/>
        </w:tblCellMar>
      </w:tblPr>
      <w:tblGrid>
        <w:gridCol w:w="1741"/>
        <w:gridCol w:w="2566"/>
      </w:tblGrid>
      <w:tr>
        <w:trPr/>
        <w:tc>
          <w:tcPr>
            <w:tcW w:w="17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 May 12, 2023</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William Enright</w:t>
            </w:r>
          </w:p>
        </w:tc>
      </w:tr>
      <w:tr>
        <w:trPr/>
        <w:tc>
          <w:tcPr>
            <w:tcW w:w="174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William Enright</w:t>
            </w:r>
          </w:p>
        </w:tc>
      </w:tr>
      <w:tr>
        <w:trPr/>
        <w:tc>
          <w:tcPr>
            <w:tcW w:w="174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51" w:name="vacc-20230331xex31d2.htm"/>
      <w:bookmarkStart w:id="1052" w:name="ksvacc20230331xex31d2"/>
      <w:bookmarkEnd w:id="1051"/>
      <w:bookmarkEnd w:id="1052"/>
      <w:r>
        <w:rPr>
          <w:rFonts w:ascii="Times New Roman;Times;serif" w:hAnsi="Times New Roman;Times;serif"/>
          <w:b/>
          <w:sz w:val="20"/>
        </w:rPr>
        <w:t>Exhibit 31.2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RULES 13a-14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AND 15d-14</w:t>
      </w:r>
      <w:r>
        <w:rPr>
          <w:rFonts w:ascii="Times New Roman;Times;serif" w:hAnsi="Times New Roman;Times;serif"/>
          <w:sz w:val="20"/>
        </w:rPr>
        <w:t>(</w:t>
      </w: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UNDER THE SECURITIES EXCHANGE ACT OF 1934</w:t>
      </w:r>
      <w:r>
        <w:rPr>
          <w:rFonts w:ascii="Times New Roman;Times;serif" w:hAnsi="Times New Roman;Times;serif"/>
          <w:sz w:val="20"/>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spacing w:before="0" w:after="0"/>
        <w:ind w:left="0" w:right="0" w:hanging="0"/>
        <w:rPr/>
      </w:pPr>
      <w:r>
        <w:rPr/>
        <w:t>​</w:t>
      </w:r>
    </w:p>
    <w:p>
      <w:pPr>
        <w:pStyle w:val="TextBody"/>
        <w:pBdr/>
        <w:spacing w:before="0" w:after="0"/>
        <w:ind w:left="0" w:right="0" w:hanging="360"/>
        <w:rPr>
          <w:rFonts w:ascii="Times New Roman;Times;serif" w:hAnsi="Times New Roman;Times;serif"/>
          <w:sz w:val="20"/>
        </w:rPr>
      </w:pPr>
      <w:r>
        <w:rPr>
          <w:rFonts w:ascii="Times New Roman;Times;serif" w:hAnsi="Times New Roman;Times;serif"/>
          <w:sz w:val="20"/>
        </w:rPr>
        <w:t>I, Gemma Brown, certify that:</w:t>
      </w:r>
    </w:p>
    <w:p>
      <w:pPr>
        <w:pStyle w:val="TextBody"/>
        <w:spacing w:before="0" w:after="0"/>
        <w:ind w:left="0" w:right="0" w:hanging="0"/>
        <w:rPr/>
      </w:pPr>
      <w:r>
        <w:rPr/>
        <w:t>​</w:t>
      </w:r>
    </w:p>
    <w:tbl>
      <w:tblPr>
        <w:tblW w:w="5815" w:type="dxa"/>
        <w:jc w:val="left"/>
        <w:tblInd w:w="0" w:type="dxa"/>
        <w:tblCellMar>
          <w:top w:w="0" w:type="dxa"/>
          <w:left w:w="0" w:type="dxa"/>
          <w:bottom w:w="0" w:type="dxa"/>
          <w:right w:w="0" w:type="dxa"/>
        </w:tblCellMar>
      </w:tblPr>
      <w:tblGrid>
        <w:gridCol w:w="170"/>
        <w:gridCol w:w="5645"/>
      </w:tblGrid>
      <w:tr>
        <w:trPr/>
        <w:tc>
          <w:tcPr>
            <w:tcW w:w="17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564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 have reviewed this Quarterly Report on Form 10-Q of Vaccitech plc;</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3"/>
        <w:gridCol w:w="10396"/>
      </w:tblGrid>
      <w:tr>
        <w:trPr/>
        <w:tc>
          <w:tcPr>
            <w:tcW w:w="14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103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5"/>
        <w:gridCol w:w="10394"/>
      </w:tblGrid>
      <w:tr>
        <w:trPr/>
        <w:tc>
          <w:tcPr>
            <w:tcW w:w="14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3.</w:t>
            </w:r>
          </w:p>
        </w:tc>
        <w:tc>
          <w:tcPr>
            <w:tcW w:w="1039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1"/>
        <w:gridCol w:w="10398"/>
      </w:tblGrid>
      <w:tr>
        <w:trPr/>
        <w:tc>
          <w:tcPr>
            <w:tcW w:w="14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4.</w:t>
            </w:r>
          </w:p>
        </w:tc>
        <w:tc>
          <w:tcPr>
            <w:tcW w:w="1039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189"/>
        <w:gridCol w:w="10327"/>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w:t>
            </w:r>
          </w:p>
        </w:tc>
        <w:tc>
          <w:tcPr>
            <w:tcW w:w="1032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205"/>
        <w:gridCol w:w="10311"/>
      </w:tblGrid>
      <w:tr>
        <w:trPr/>
        <w:tc>
          <w:tcPr>
            <w:tcW w:w="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1031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196"/>
        <w:gridCol w:w="10320"/>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w:t>
            </w:r>
          </w:p>
        </w:tc>
        <w:tc>
          <w:tcPr>
            <w:tcW w:w="1032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205"/>
        <w:gridCol w:w="10311"/>
      </w:tblGrid>
      <w:tr>
        <w:trPr/>
        <w:tc>
          <w:tcPr>
            <w:tcW w:w="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w:t>
            </w:r>
          </w:p>
        </w:tc>
        <w:tc>
          <w:tcPr>
            <w:tcW w:w="1031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44"/>
        <w:gridCol w:w="10395"/>
      </w:tblGrid>
      <w:tr>
        <w:trPr/>
        <w:tc>
          <w:tcPr>
            <w:tcW w:w="14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5.</w:t>
            </w:r>
          </w:p>
        </w:tc>
        <w:tc>
          <w:tcPr>
            <w:tcW w:w="1039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197"/>
        <w:gridCol w:w="10319"/>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w:t>
            </w:r>
          </w:p>
        </w:tc>
        <w:tc>
          <w:tcPr>
            <w:tcW w:w="1031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229"/>
        <w:gridCol w:w="10287"/>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w:t>
            </w:r>
          </w:p>
        </w:tc>
        <w:tc>
          <w:tcPr>
            <w:tcW w:w="1028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247" w:type="dxa"/>
        <w:jc w:val="center"/>
        <w:tblInd w:w="0" w:type="dxa"/>
        <w:tblCellMar>
          <w:top w:w="0" w:type="dxa"/>
          <w:left w:w="0" w:type="dxa"/>
          <w:bottom w:w="0" w:type="dxa"/>
          <w:right w:w="0" w:type="dxa"/>
        </w:tblCellMar>
      </w:tblPr>
      <w:tblGrid>
        <w:gridCol w:w="1741"/>
        <w:gridCol w:w="2506"/>
      </w:tblGrid>
      <w:tr>
        <w:trPr/>
        <w:tc>
          <w:tcPr>
            <w:tcW w:w="17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 May 12, 2023</w:t>
            </w:r>
          </w:p>
        </w:tc>
        <w:tc>
          <w:tcPr>
            <w:tcW w:w="2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Gemma Brown</w:t>
            </w:r>
          </w:p>
        </w:tc>
      </w:tr>
      <w:tr>
        <w:trPr/>
        <w:tc>
          <w:tcPr>
            <w:tcW w:w="1741"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Gemma Brown</w:t>
            </w:r>
          </w:p>
        </w:tc>
      </w:tr>
      <w:tr>
        <w:trPr/>
        <w:tc>
          <w:tcPr>
            <w:tcW w:w="1741" w:type="dxa"/>
            <w:tcBorders/>
            <w:shd w:fill="auto" w:val="clear"/>
            <w:vAlign w:val="center"/>
          </w:tcPr>
          <w:p>
            <w:pPr>
              <w:pStyle w:val="TableContents"/>
              <w:spacing w:before="0" w:after="0"/>
              <w:ind w:left="0" w:right="0" w:hanging="0"/>
              <w:rPr/>
            </w:pPr>
            <w:r>
              <w:rPr/>
              <w:t>​</w:t>
            </w:r>
          </w:p>
        </w:tc>
        <w:tc>
          <w:tcPr>
            <w:tcW w:w="2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053" w:name="vacc-20230331xex32d1.htm"/>
      <w:bookmarkStart w:id="1054" w:name="ksvacc20230331xex32d1"/>
      <w:bookmarkEnd w:id="1053"/>
      <w:bookmarkEnd w:id="1054"/>
      <w:r>
        <w:rPr>
          <w:rFonts w:ascii="Times New Roman;Times;serif" w:hAnsi="Times New Roman;Times;serif"/>
          <w:b/>
          <w:sz w:val="20"/>
        </w:rPr>
        <w:t>Exhibit 32.1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18 U</w:t>
      </w:r>
      <w:r>
        <w:rPr>
          <w:rFonts w:ascii="Times New Roman;Times;serif" w:hAnsi="Times New Roman;Times;serif"/>
          <w:sz w:val="20"/>
        </w:rPr>
        <w:t>.</w:t>
      </w:r>
      <w:r>
        <w:rPr>
          <w:rFonts w:ascii="Times New Roman;Times;serif" w:hAnsi="Times New Roman;Times;serif"/>
          <w:b/>
          <w:sz w:val="20"/>
        </w:rPr>
        <w:t>S</w:t>
      </w:r>
      <w:r>
        <w:rPr>
          <w:rFonts w:ascii="Times New Roman;Times;serif" w:hAnsi="Times New Roman;Times;serif"/>
          <w:sz w:val="20"/>
        </w:rPr>
        <w:t>.</w:t>
      </w: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SECTION 1350</w:t>
      </w:r>
      <w:r>
        <w:rPr>
          <w:rFonts w:ascii="Times New Roman;Times;serif" w:hAnsi="Times New Roman;Times;serif"/>
          <w:sz w:val="20"/>
        </w:rPr>
        <w:t>, </w:t>
      </w: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connection with the Quarterly Report of Vaccitech plc (the “Company”) on Form 10-Q for the period ending March 31, 2023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pStyle w:val="TextBody"/>
        <w:spacing w:before="0" w:after="0"/>
        <w:ind w:left="0" w:right="0" w:hanging="0"/>
        <w:rPr/>
      </w:pPr>
      <w:r>
        <w:rPr/>
        <w:t>​</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23"/>
        <w:gridCol w:w="237"/>
        <w:gridCol w:w="10279"/>
      </w:tblGrid>
      <w:tr>
        <w:trPr/>
        <w:tc>
          <w:tcPr>
            <w:tcW w:w="2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1027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spacing w:before="0" w:after="0"/>
        <w:ind w:left="0" w:right="0" w:hanging="0"/>
        <w:rPr/>
      </w:pPr>
      <w:r>
        <w:rPr/>
        <w:t>​</w:t>
      </w:r>
    </w:p>
    <w:tbl>
      <w:tblPr>
        <w:tblW w:w="4307" w:type="dxa"/>
        <w:jc w:val="center"/>
        <w:tblInd w:w="0" w:type="dxa"/>
        <w:tblCellMar>
          <w:top w:w="0" w:type="dxa"/>
          <w:left w:w="0" w:type="dxa"/>
          <w:bottom w:w="0" w:type="dxa"/>
          <w:right w:w="0" w:type="dxa"/>
        </w:tblCellMar>
      </w:tblPr>
      <w:tblGrid>
        <w:gridCol w:w="1741"/>
        <w:gridCol w:w="2566"/>
      </w:tblGrid>
      <w:tr>
        <w:trPr/>
        <w:tc>
          <w:tcPr>
            <w:tcW w:w="17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 May 12, 2023</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William Enright</w:t>
            </w:r>
          </w:p>
        </w:tc>
      </w:tr>
      <w:tr>
        <w:trPr/>
        <w:tc>
          <w:tcPr>
            <w:tcW w:w="174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William Enright</w:t>
            </w:r>
          </w:p>
        </w:tc>
      </w:tr>
      <w:tr>
        <w:trPr/>
        <w:tc>
          <w:tcPr>
            <w:tcW w:w="174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Executive Officer</w:t>
            </w:r>
          </w:p>
        </w:tc>
      </w:tr>
      <w:tr>
        <w:trPr/>
        <w:tc>
          <w:tcPr>
            <w:tcW w:w="174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pBdr/>
              <w:spacing w:before="0" w:after="0"/>
              <w:ind w:left="0" w:right="0" w:hanging="0"/>
              <w:rPr/>
            </w:pPr>
            <w:r>
              <w:rPr/>
              <w:t>​</w:t>
            </w:r>
          </w:p>
        </w:tc>
        <w:tc>
          <w:tcPr>
            <w:tcW w:w="2566"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 May 12, 2023</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Gemma Brown</w:t>
            </w:r>
          </w:p>
        </w:tc>
      </w:tr>
      <w:tr>
        <w:trPr/>
        <w:tc>
          <w:tcPr>
            <w:tcW w:w="174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Gemma Brown</w:t>
            </w:r>
          </w:p>
        </w:tc>
      </w:tr>
      <w:tr>
        <w:trPr/>
        <w:tc>
          <w:tcPr>
            <w:tcW w:w="1741" w:type="dxa"/>
            <w:tcBorders/>
            <w:shd w:fill="auto" w:val="clear"/>
            <w:vAlign w:val="center"/>
          </w:tcPr>
          <w:p>
            <w:pPr>
              <w:pStyle w:val="TableContents"/>
              <w:spacing w:before="0" w:after="0"/>
              <w:ind w:left="0" w:right="0" w:hanging="0"/>
              <w:rPr/>
            </w:pPr>
            <w:r>
              <w:rPr/>
              <w:t>​</w:t>
            </w:r>
          </w:p>
        </w:tc>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 Chief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8185/000110465921063872/tm2115595d1_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25246</Words>
  <CharactersWithSpaces>165919</CharactersWithSpaces>
  <Paragraphs>4234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