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9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(Mark One)</w:t>
      </w:r>
    </w:p>
    <w:p>
      <w:pPr>
        <w:spacing w:after="0" w:line="38"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2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For the fiscal year ended December 31, 2024</w:t>
      </w:r>
    </w:p>
    <w:p>
      <w:pPr>
        <w:spacing w:after="0" w:line="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or</w:t>
      </w:r>
    </w:p>
    <w:p>
      <w:pPr>
        <w:spacing w:after="0" w:line="132"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Commission file number: 001-40367</w:t>
      </w:r>
    </w:p>
    <w:p>
      <w:pPr>
        <w:spacing w:after="0" w:line="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BARINTHUS BIOTHERAPEUTICS PLC</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33" w:lineRule="exact"/>
        <w:rPr>
          <w:sz w:val="24"/>
          <w:szCs w:val="24"/>
          <w:color w:val="auto"/>
        </w:rPr>
      </w:pPr>
    </w:p>
    <w:tbl>
      <w:tblPr>
        <w:tblLayout w:type="fixed"/>
        <w:tblInd w:w="1080" w:type="dxa"/>
        <w:tblCellMar>
          <w:top w:w="0" w:type="dxa"/>
          <w:left w:w="0" w:type="dxa"/>
          <w:bottom w:w="0" w:type="dxa"/>
          <w:right w:w="0" w:type="dxa"/>
        </w:tblCellMar>
      </w:tblPr>
      <w:tr>
        <w:trPr>
          <w:trHeight w:val="166"/>
        </w:trPr>
        <w:tc>
          <w:tcPr>
            <w:tcW w:w="2880" w:type="dxa"/>
            <w:vAlign w:val="bottom"/>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7"/>
              </w:rPr>
              <w:t>England and Wales</w:t>
            </w:r>
          </w:p>
        </w:tc>
        <w:tc>
          <w:tcPr>
            <w:tcW w:w="3360" w:type="dxa"/>
            <w:vAlign w:val="bottom"/>
          </w:tcPr>
          <w:p>
            <w:pPr>
              <w:spacing w:after="0"/>
              <w:rPr>
                <w:sz w:val="14"/>
                <w:szCs w:val="14"/>
                <w:color w:val="auto"/>
              </w:rPr>
            </w:pPr>
          </w:p>
        </w:tc>
        <w:tc>
          <w:tcPr>
            <w:tcW w:w="3240" w:type="dxa"/>
            <w:vAlign w:val="bottom"/>
          </w:tcPr>
          <w:p>
            <w:pPr>
              <w:jc w:val="center"/>
              <w:ind w:right="917"/>
              <w:spacing w:after="0"/>
              <w:rPr>
                <w:sz w:val="20"/>
                <w:szCs w:val="20"/>
                <w:color w:val="auto"/>
              </w:rPr>
            </w:pPr>
            <w:r>
              <w:rPr>
                <w:rFonts w:ascii="Times New Roman" w:cs="Times New Roman" w:eastAsia="Times New Roman" w:hAnsi="Times New Roman"/>
                <w:sz w:val="13"/>
                <w:szCs w:val="13"/>
                <w:b w:val="1"/>
                <w:bCs w:val="1"/>
                <w:color w:val="auto"/>
                <w:w w:val="98"/>
              </w:rPr>
              <w:t>Not Applicable</w:t>
            </w:r>
          </w:p>
        </w:tc>
        <w:tc>
          <w:tcPr>
            <w:tcW w:w="0" w:type="dxa"/>
            <w:vAlign w:val="bottom"/>
          </w:tcPr>
          <w:p>
            <w:pPr>
              <w:spacing w:after="0"/>
              <w:rPr>
                <w:sz w:val="1"/>
                <w:szCs w:val="1"/>
                <w:color w:val="auto"/>
              </w:rPr>
            </w:pPr>
          </w:p>
        </w:tc>
      </w:tr>
      <w:tr>
        <w:trPr>
          <w:trHeight w:val="203"/>
        </w:trPr>
        <w:tc>
          <w:tcPr>
            <w:tcW w:w="6240" w:type="dxa"/>
            <w:vAlign w:val="bottom"/>
            <w:gridSpan w:val="2"/>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3240" w:type="dxa"/>
            <w:vAlign w:val="bottom"/>
          </w:tcPr>
          <w:p>
            <w:pPr>
              <w:jc w:val="center"/>
              <w:ind w:right="917"/>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c>
          <w:tcPr>
            <w:tcW w:w="0" w:type="dxa"/>
            <w:vAlign w:val="bottom"/>
          </w:tcPr>
          <w:p>
            <w:pPr>
              <w:spacing w:after="0"/>
              <w:rPr>
                <w:sz w:val="1"/>
                <w:szCs w:val="1"/>
                <w:color w:val="auto"/>
              </w:rPr>
            </w:pPr>
          </w:p>
        </w:tc>
      </w:tr>
      <w:tr>
        <w:trPr>
          <w:trHeight w:val="419"/>
        </w:trPr>
        <w:tc>
          <w:tcPr>
            <w:tcW w:w="2880" w:type="dxa"/>
            <w:vAlign w:val="bottom"/>
            <w:vMerge w:val="restart"/>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5"/>
              </w:rPr>
              <w:t>Unit 6-10, Zeus Building</w:t>
            </w:r>
          </w:p>
        </w:tc>
        <w:tc>
          <w:tcPr>
            <w:tcW w:w="3360" w:type="dxa"/>
            <w:vAlign w:val="bottom"/>
          </w:tcPr>
          <w:p>
            <w:pPr>
              <w:spacing w:after="0"/>
              <w:rPr>
                <w:sz w:val="24"/>
                <w:szCs w:val="24"/>
                <w:color w:val="auto"/>
              </w:rPr>
            </w:pPr>
          </w:p>
        </w:tc>
        <w:tc>
          <w:tcPr>
            <w:tcW w:w="3240" w:type="dxa"/>
            <w:vAlign w:val="bottom"/>
          </w:tcPr>
          <w:p>
            <w:pPr>
              <w:jc w:val="center"/>
              <w:ind w:right="917"/>
              <w:spacing w:after="0"/>
              <w:rPr>
                <w:sz w:val="20"/>
                <w:szCs w:val="20"/>
                <w:color w:val="auto"/>
              </w:rPr>
            </w:pPr>
            <w:r>
              <w:rPr>
                <w:rFonts w:ascii="Times New Roman" w:cs="Times New Roman" w:eastAsia="Times New Roman" w:hAnsi="Times New Roman"/>
                <w:sz w:val="13"/>
                <w:szCs w:val="13"/>
                <w:b w:val="1"/>
                <w:bCs w:val="1"/>
                <w:color w:val="auto"/>
                <w:w w:val="97"/>
              </w:rPr>
              <w:t>OX11 0DF</w:t>
            </w:r>
          </w:p>
        </w:tc>
        <w:tc>
          <w:tcPr>
            <w:tcW w:w="0" w:type="dxa"/>
            <w:vAlign w:val="bottom"/>
          </w:tcPr>
          <w:p>
            <w:pPr>
              <w:spacing w:after="0"/>
              <w:rPr>
                <w:sz w:val="1"/>
                <w:szCs w:val="1"/>
                <w:color w:val="auto"/>
              </w:rPr>
            </w:pPr>
          </w:p>
        </w:tc>
      </w:tr>
      <w:tr>
        <w:trPr>
          <w:trHeight w:val="90"/>
        </w:trPr>
        <w:tc>
          <w:tcPr>
            <w:tcW w:w="2880" w:type="dxa"/>
            <w:vAlign w:val="bottom"/>
            <w:vMerge w:val="continue"/>
          </w:tcPr>
          <w:p>
            <w:pPr>
              <w:spacing w:after="0"/>
              <w:rPr>
                <w:sz w:val="7"/>
                <w:szCs w:val="7"/>
                <w:color w:val="auto"/>
              </w:rPr>
            </w:pPr>
          </w:p>
        </w:tc>
        <w:tc>
          <w:tcPr>
            <w:tcW w:w="3360" w:type="dxa"/>
            <w:vAlign w:val="bottom"/>
          </w:tcPr>
          <w:p>
            <w:pPr>
              <w:spacing w:after="0"/>
              <w:rPr>
                <w:sz w:val="7"/>
                <w:szCs w:val="7"/>
                <w:color w:val="auto"/>
              </w:rPr>
            </w:pPr>
          </w:p>
        </w:tc>
        <w:tc>
          <w:tcPr>
            <w:tcW w:w="3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880" w:type="dxa"/>
            <w:vAlign w:val="bottom"/>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7"/>
              </w:rPr>
              <w:t>Rutherford Avenue</w:t>
            </w:r>
          </w:p>
        </w:tc>
        <w:tc>
          <w:tcPr>
            <w:tcW w:w="3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880" w:type="dxa"/>
            <w:vAlign w:val="bottom"/>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7"/>
              </w:rPr>
              <w:t>Harwell, Didcot, United Kingdom</w:t>
            </w:r>
          </w:p>
        </w:tc>
        <w:tc>
          <w:tcPr>
            <w:tcW w:w="3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2880" w:type="dxa"/>
            <w:vAlign w:val="bottom"/>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3360" w:type="dxa"/>
            <w:vAlign w:val="bottom"/>
          </w:tcPr>
          <w:p>
            <w:pPr>
              <w:spacing w:after="0"/>
              <w:rPr>
                <w:sz w:val="24"/>
                <w:szCs w:val="24"/>
                <w:color w:val="auto"/>
              </w:rPr>
            </w:pPr>
          </w:p>
        </w:tc>
        <w:tc>
          <w:tcPr>
            <w:tcW w:w="3240" w:type="dxa"/>
            <w:vAlign w:val="bottom"/>
          </w:tcPr>
          <w:p>
            <w:pPr>
              <w:jc w:val="center"/>
              <w:ind w:right="917"/>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729"/>
        </w:trPr>
        <w:tc>
          <w:tcPr>
            <w:tcW w:w="9480" w:type="dxa"/>
            <w:vAlign w:val="bottom"/>
            <w:gridSpan w:val="3"/>
          </w:tcPr>
          <w:p>
            <w:pPr>
              <w:jc w:val="center"/>
              <w:ind w:right="317"/>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 +44 (0) 1865 818 808</w:t>
            </w:r>
          </w:p>
        </w:tc>
        <w:tc>
          <w:tcPr>
            <w:tcW w:w="0" w:type="dxa"/>
            <w:vAlign w:val="bottom"/>
          </w:tcPr>
          <w:p>
            <w:pPr>
              <w:spacing w:after="0"/>
              <w:rPr>
                <w:sz w:val="1"/>
                <w:szCs w:val="1"/>
                <w:color w:val="auto"/>
              </w:rPr>
            </w:pPr>
          </w:p>
        </w:tc>
      </w:tr>
      <w:tr>
        <w:trPr>
          <w:trHeight w:val="256"/>
        </w:trPr>
        <w:tc>
          <w:tcPr>
            <w:tcW w:w="2880" w:type="dxa"/>
            <w:vAlign w:val="bottom"/>
          </w:tcPr>
          <w:p>
            <w:pPr>
              <w:spacing w:after="0"/>
              <w:rPr>
                <w:sz w:val="22"/>
                <w:szCs w:val="22"/>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880" w:type="dxa"/>
            <w:vAlign w:val="bottom"/>
          </w:tcPr>
          <w:p>
            <w:pPr>
              <w:jc w:val="center"/>
              <w:ind w:right="1297"/>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3240" w:type="dxa"/>
            <w:vAlign w:val="bottom"/>
          </w:tcPr>
          <w:p>
            <w:pPr>
              <w:jc w:val="center"/>
              <w:ind w:left="837"/>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203"/>
        </w:trPr>
        <w:tc>
          <w:tcPr>
            <w:tcW w:w="2880" w:type="dxa"/>
            <w:vAlign w:val="bottom"/>
          </w:tcPr>
          <w:p>
            <w:pPr>
              <w:jc w:val="center"/>
              <w:ind w:right="1297"/>
              <w:spacing w:after="0"/>
              <w:rPr>
                <w:sz w:val="20"/>
                <w:szCs w:val="20"/>
                <w:color w:val="auto"/>
              </w:rPr>
            </w:pPr>
            <w:r>
              <w:rPr>
                <w:rFonts w:ascii="Times New Roman" w:cs="Times New Roman" w:eastAsia="Times New Roman" w:hAnsi="Times New Roman"/>
                <w:sz w:val="13"/>
                <w:szCs w:val="13"/>
                <w:color w:val="auto"/>
                <w:w w:val="97"/>
              </w:rPr>
              <w:t>American Depositary Shares*</w:t>
            </w:r>
          </w:p>
        </w:tc>
        <w:tc>
          <w:tcPr>
            <w:tcW w:w="3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BRNS</w:t>
            </w:r>
          </w:p>
        </w:tc>
        <w:tc>
          <w:tcPr>
            <w:tcW w:w="3240" w:type="dxa"/>
            <w:vAlign w:val="bottom"/>
          </w:tcPr>
          <w:p>
            <w:pPr>
              <w:jc w:val="center"/>
              <w:ind w:left="857"/>
              <w:spacing w:after="0"/>
              <w:rPr>
                <w:sz w:val="20"/>
                <w:szCs w:val="20"/>
                <w:color w:val="auto"/>
              </w:rPr>
            </w:pPr>
            <w:r>
              <w:rPr>
                <w:rFonts w:ascii="Times New Roman" w:cs="Times New Roman" w:eastAsia="Times New Roman" w:hAnsi="Times New Roman"/>
                <w:sz w:val="13"/>
                <w:szCs w:val="13"/>
                <w:color w:val="auto"/>
                <w:w w:val="95"/>
              </w:rPr>
              <w:t>The Nasdaq Global Market</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3"/>
          <w:szCs w:val="13"/>
          <w:color w:val="auto"/>
        </w:rPr>
        <w:t>Ordinary shares, nominal value £0.000025 per share**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*American Depositary Shares may be evidenced by American Depositary Receipts. Each American Depositary Share represents one (1) ordinary share.</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Not for trading, but only in connection with the listing of American Depositary Shares on The Nasdaq Global Market.</w:t>
      </w:r>
    </w:p>
    <w:p>
      <w:pPr>
        <w:spacing w:after="0" w:line="78"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07" w:lineRule="exact"/>
        <w:rPr>
          <w:sz w:val="24"/>
          <w:szCs w:val="24"/>
          <w:color w:val="auto"/>
        </w:rPr>
      </w:pPr>
    </w:p>
    <w:p>
      <w:pPr>
        <w:ind w:right="60"/>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93" w:lineRule="exact"/>
        <w:rPr>
          <w:sz w:val="24"/>
          <w:szCs w:val="24"/>
          <w:color w:val="auto"/>
        </w:rPr>
      </w:pPr>
    </w:p>
    <w:p>
      <w:pPr>
        <w:ind w:right="14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65"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6" w:lineRule="exact"/>
        <w:rPr>
          <w:sz w:val="24"/>
          <w:szCs w:val="24"/>
          <w:color w:val="auto"/>
        </w:rPr>
      </w:pPr>
    </w:p>
    <w:p>
      <w:pPr>
        <w:ind w:left="380"/>
        <w:spacing w:after="0"/>
        <w:tabs>
          <w:tab w:leader="none" w:pos="2000" w:val="left"/>
          <w:tab w:leader="none" w:pos="2740" w:val="left"/>
          <w:tab w:leader="none" w:pos="4240" w:val="left"/>
          <w:tab w:leader="none" w:pos="4880" w:val="left"/>
          <w:tab w:leader="none" w:pos="6480" w:val="left"/>
          <w:tab w:leader="none" w:pos="6980" w:val="left"/>
          <w:tab w:leader="none" w:pos="8740" w:val="left"/>
          <w:tab w:leader="none" w:pos="9240" w:val="left"/>
          <w:tab w:leader="none" w:pos="1098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Wingdings" w:cs="Wingdings" w:eastAsia="Wingdings" w:hAnsi="Wingdings"/>
          <w:sz w:val="13"/>
          <w:szCs w:val="13"/>
          <w:b w:val="1"/>
          <w:bCs w:val="1"/>
          <w:color w:val="auto"/>
        </w:rPr>
        <w:t>o</w:t>
      </w:r>
      <w:r>
        <w:rPr>
          <w:sz w:val="20"/>
          <w:szCs w:val="20"/>
          <w:color w:val="auto"/>
        </w:rPr>
        <w:tab/>
      </w:r>
      <w:r>
        <w:rPr>
          <w:rFonts w:ascii="Times New Roman" w:cs="Times New Roman" w:eastAsia="Times New Roman" w:hAnsi="Times New Roman"/>
          <w:sz w:val="13"/>
          <w:szCs w:val="13"/>
          <w:color w:val="auto"/>
        </w:rPr>
        <w:t>Accelerated filer</w:t>
      </w:r>
      <w:r>
        <w:rPr>
          <w:sz w:val="20"/>
          <w:szCs w:val="20"/>
          <w:color w:val="auto"/>
        </w:rPr>
        <w:tab/>
      </w:r>
      <w:r>
        <w:rPr>
          <w:rFonts w:ascii="Wingdings" w:cs="Wingdings" w:eastAsia="Wingdings" w:hAnsi="Wingdings"/>
          <w:sz w:val="13"/>
          <w:szCs w:val="13"/>
          <w:b w:val="1"/>
          <w:bCs w:val="1"/>
          <w:color w:val="auto"/>
        </w:rPr>
        <w:t>o</w:t>
      </w:r>
      <w:r>
        <w:rPr>
          <w:sz w:val="20"/>
          <w:szCs w:val="20"/>
          <w:color w:val="auto"/>
        </w:rPr>
        <w:tab/>
      </w:r>
      <w:r>
        <w:rPr>
          <w:rFonts w:ascii="Times New Roman" w:cs="Times New Roman" w:eastAsia="Times New Roman" w:hAnsi="Times New Roman"/>
          <w:sz w:val="13"/>
          <w:szCs w:val="13"/>
          <w:color w:val="auto"/>
        </w:rPr>
        <w:t>Non-accelerated filer</w:t>
      </w:r>
      <w:r>
        <w:rPr>
          <w:sz w:val="20"/>
          <w:szCs w:val="20"/>
          <w:color w:val="auto"/>
        </w:rPr>
        <w:tab/>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3"/>
          <w:szCs w:val="13"/>
          <w:color w:val="auto"/>
        </w:rPr>
        <w:t>Smaller reporting company</w:t>
      </w:r>
      <w:r>
        <w:rPr>
          <w:sz w:val="20"/>
          <w:szCs w:val="20"/>
          <w:color w:val="auto"/>
        </w:rPr>
        <w:tab/>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3"/>
          <w:szCs w:val="13"/>
          <w:color w:val="auto"/>
        </w:rPr>
        <w:t>Emerging growth company</w:t>
      </w:r>
      <w:r>
        <w:rPr>
          <w:sz w:val="20"/>
          <w:szCs w:val="20"/>
          <w:color w:val="auto"/>
        </w:rPr>
        <w:tab/>
      </w:r>
      <w:r>
        <w:rPr>
          <w:rFonts w:ascii="Wingdings" w:cs="Wingdings" w:eastAsia="Wingdings" w:hAnsi="Wingdings"/>
          <w:sz w:val="13"/>
          <w:szCs w:val="13"/>
          <w:b w:val="1"/>
          <w:bCs w:val="1"/>
          <w:color w:val="auto"/>
        </w:rPr>
        <w:t>x</w:t>
      </w:r>
    </w:p>
    <w:p>
      <w:pPr>
        <w:spacing w:after="0" w:line="229" w:lineRule="exact"/>
        <w:rPr>
          <w:sz w:val="24"/>
          <w:szCs w:val="24"/>
          <w:color w:val="auto"/>
        </w:rPr>
      </w:pPr>
    </w:p>
    <w:p>
      <w:pPr>
        <w:ind w:right="220"/>
        <w:spacing w:after="0"/>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93" w:lineRule="exact"/>
        <w:rPr>
          <w:sz w:val="24"/>
          <w:szCs w:val="24"/>
          <w:color w:val="auto"/>
        </w:rPr>
      </w:pPr>
    </w:p>
    <w:p>
      <w:pPr>
        <w:ind w:right="12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o</w:t>
      </w:r>
    </w:p>
    <w:p>
      <w:pPr>
        <w:spacing w:after="0" w:line="65"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79" w:lineRule="exact"/>
        <w:rPr>
          <w:sz w:val="24"/>
          <w:szCs w:val="24"/>
          <w:color w:val="auto"/>
        </w:rPr>
      </w:pPr>
    </w:p>
    <w:p>
      <w:pPr>
        <w:ind w:right="14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07" w:lineRule="exact"/>
        <w:rPr>
          <w:sz w:val="24"/>
          <w:szCs w:val="24"/>
          <w:color w:val="auto"/>
        </w:rPr>
      </w:pPr>
    </w:p>
    <w:p>
      <w:pPr>
        <w:ind w:right="280"/>
        <w:spacing w:after="0" w:line="262" w:lineRule="auto"/>
        <w:rPr>
          <w:sz w:val="20"/>
          <w:szCs w:val="20"/>
          <w:color w:val="auto"/>
        </w:rPr>
      </w:pPr>
      <w:r>
        <w:rPr>
          <w:rFonts w:ascii="Times New Roman" w:cs="Times New Roman" w:eastAsia="Times New Roman" w:hAnsi="Times New Roman"/>
          <w:sz w:val="13"/>
          <w:szCs w:val="13"/>
          <w:color w:val="auto"/>
        </w:rPr>
        <w:t>As of the last business day of the registrant’s most recently completed second fiscal quarter, the aggregate market value of the registrant’s ordinary shares, nominal value £0.000025 per share, in the form of American Depositary Shares, held by non-affiliates was approximately $31.1 million.</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outstanding of the registrant’s ordinary shares, nominal value £0.000025 per share, as of March 14, 2025: 40,339,395 shares.</w:t>
      </w:r>
    </w:p>
    <w:p>
      <w:pPr>
        <w:spacing w:after="0" w:line="10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09"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3"/>
          <w:szCs w:val="13"/>
          <w:color w:val="auto"/>
        </w:rPr>
        <w:t>Portions of the registrant’s definitive proxy statement to be filed with the Securities and Exchange Commission relative to the registrant’s 2025 Annual Meeting of Shareholders are incorporated by reference into Items 10, 11, 12, 13 and 14 of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751840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12"/>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tc>
        <w:tc>
          <w:tcPr>
            <w:tcW w:w="11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80" w:type="dxa"/>
            <w:vAlign w:val="bottom"/>
            <w:gridSpan w:val="10"/>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40" w:type="dxa"/>
            <w:vAlign w:val="bottom"/>
            <w:gridSpan w:val="12"/>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2024</w:t>
            </w:r>
          </w:p>
        </w:tc>
        <w:tc>
          <w:tcPr>
            <w:tcW w:w="110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60" w:type="dxa"/>
            <w:vAlign w:val="bottom"/>
            <w:gridSpan w:val="9"/>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80" w:type="dxa"/>
            <w:vAlign w:val="bottom"/>
            <w:gridSpan w:val="7"/>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660" w:type="dxa"/>
            <w:vAlign w:val="bottom"/>
            <w:gridSpan w:val="8"/>
          </w:tcPr>
          <w:p>
            <w:pPr>
              <w:spacing w:after="0"/>
              <w:rPr>
                <w:sz w:val="24"/>
                <w:szCs w:val="24"/>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Business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520" w:type="dxa"/>
            <w:vAlign w:val="bottom"/>
            <w:gridSpan w:val="5"/>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20" w:type="dxa"/>
            <w:vAlign w:val="bottom"/>
          </w:tcPr>
          <w:p>
            <w:pPr>
              <w:spacing w:after="0"/>
              <w:rPr>
                <w:sz w:val="21"/>
                <w:szCs w:val="21"/>
                <w:color w:val="auto"/>
              </w:rPr>
            </w:pPr>
          </w:p>
        </w:tc>
        <w:tc>
          <w:tcPr>
            <w:tcW w:w="520" w:type="dxa"/>
            <w:vAlign w:val="bottom"/>
            <w:gridSpan w:val="5"/>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540" w:type="dxa"/>
            <w:vAlign w:val="bottom"/>
            <w:gridSpan w:val="6"/>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Cybersecurity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gridSpan w:val="2"/>
          </w:tcPr>
          <w:p>
            <w:pPr>
              <w:spacing w:after="0"/>
              <w:rPr>
                <w:sz w:val="21"/>
                <w:szCs w:val="21"/>
                <w:color w:val="auto"/>
              </w:rPr>
            </w:pPr>
          </w:p>
        </w:tc>
        <w:tc>
          <w:tcPr>
            <w:tcW w:w="540" w:type="dxa"/>
            <w:vAlign w:val="bottom"/>
            <w:gridSpan w:val="6"/>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Properties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660" w:type="dxa"/>
            <w:vAlign w:val="bottom"/>
            <w:gridSpan w:val="8"/>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660" w:type="dxa"/>
            <w:vAlign w:val="bottom"/>
            <w:gridSpan w:val="8"/>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50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660" w:type="dxa"/>
            <w:vAlign w:val="bottom"/>
            <w:gridSpan w:val="8"/>
          </w:tcPr>
          <w:p>
            <w:pPr>
              <w:spacing w:after="0"/>
              <w:rPr>
                <w:sz w:val="24"/>
                <w:szCs w:val="24"/>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80" w:type="dxa"/>
            <w:vAlign w:val="bottom"/>
          </w:tcPr>
          <w:p>
            <w:pPr>
              <w:spacing w:after="0"/>
              <w:rPr>
                <w:sz w:val="21"/>
                <w:szCs w:val="21"/>
                <w:color w:val="auto"/>
              </w:rPr>
            </w:pPr>
          </w:p>
        </w:tc>
        <w:tc>
          <w:tcPr>
            <w:tcW w:w="580" w:type="dxa"/>
            <w:vAlign w:val="bottom"/>
            <w:gridSpan w:val="7"/>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[Reserved]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7.</w:t>
            </w:r>
          </w:p>
        </w:tc>
        <w:tc>
          <w:tcPr>
            <w:tcW w:w="80" w:type="dxa"/>
            <w:vAlign w:val="bottom"/>
          </w:tcPr>
          <w:p>
            <w:pPr>
              <w:spacing w:after="0"/>
              <w:rPr>
                <w:sz w:val="21"/>
                <w:szCs w:val="21"/>
                <w:color w:val="auto"/>
              </w:rPr>
            </w:pPr>
          </w:p>
        </w:tc>
        <w:tc>
          <w:tcPr>
            <w:tcW w:w="580" w:type="dxa"/>
            <w:vAlign w:val="bottom"/>
            <w:gridSpan w:val="7"/>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7A.</w:t>
            </w:r>
          </w:p>
        </w:tc>
        <w:tc>
          <w:tcPr>
            <w:tcW w:w="520" w:type="dxa"/>
            <w:vAlign w:val="bottom"/>
            <w:gridSpan w:val="5"/>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8.</w:t>
            </w:r>
          </w:p>
        </w:tc>
        <w:tc>
          <w:tcPr>
            <w:tcW w:w="140" w:type="dxa"/>
            <w:vAlign w:val="bottom"/>
            <w:gridSpan w:val="3"/>
          </w:tcPr>
          <w:p>
            <w:pPr>
              <w:spacing w:after="0"/>
              <w:rPr>
                <w:sz w:val="21"/>
                <w:szCs w:val="21"/>
                <w:color w:val="auto"/>
              </w:rPr>
            </w:pPr>
          </w:p>
        </w:tc>
        <w:tc>
          <w:tcPr>
            <w:tcW w:w="520" w:type="dxa"/>
            <w:vAlign w:val="bottom"/>
            <w:gridSpan w:val="5"/>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9.</w:t>
            </w:r>
          </w:p>
        </w:tc>
        <w:tc>
          <w:tcPr>
            <w:tcW w:w="660" w:type="dxa"/>
            <w:vAlign w:val="bottom"/>
            <w:gridSpan w:val="8"/>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520" w:type="dxa"/>
            <w:vAlign w:val="bottom"/>
            <w:gridSpan w:val="5"/>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20" w:type="dxa"/>
            <w:vAlign w:val="bottom"/>
          </w:tcPr>
          <w:p>
            <w:pPr>
              <w:spacing w:after="0"/>
              <w:rPr>
                <w:sz w:val="21"/>
                <w:szCs w:val="21"/>
                <w:color w:val="auto"/>
              </w:rPr>
            </w:pPr>
          </w:p>
        </w:tc>
        <w:tc>
          <w:tcPr>
            <w:tcW w:w="520" w:type="dxa"/>
            <w:vAlign w:val="bottom"/>
            <w:gridSpan w:val="5"/>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540" w:type="dxa"/>
            <w:vAlign w:val="bottom"/>
            <w:gridSpan w:val="6"/>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7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1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10.</w:t>
            </w: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580" w:type="dxa"/>
            <w:vAlign w:val="bottom"/>
            <w:gridSpan w:val="7"/>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12.</w:t>
            </w:r>
          </w:p>
        </w:tc>
        <w:tc>
          <w:tcPr>
            <w:tcW w:w="460" w:type="dxa"/>
            <w:vAlign w:val="bottom"/>
            <w:gridSpan w:val="3"/>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20" w:type="dxa"/>
            <w:vAlign w:val="bottom"/>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13.</w:t>
            </w:r>
          </w:p>
        </w:tc>
        <w:tc>
          <w:tcPr>
            <w:tcW w:w="460" w:type="dxa"/>
            <w:vAlign w:val="bottom"/>
            <w:gridSpan w:val="3"/>
          </w:tcPr>
          <w:p>
            <w:pPr>
              <w:spacing w:after="0"/>
              <w:rPr>
                <w:sz w:val="21"/>
                <w:szCs w:val="21"/>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14.</w:t>
            </w: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7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15.</w:t>
            </w:r>
          </w:p>
        </w:tc>
        <w:tc>
          <w:tcPr>
            <w:tcW w:w="460" w:type="dxa"/>
            <w:vAlign w:val="bottom"/>
            <w:gridSpan w:val="3"/>
          </w:tcPr>
          <w:p>
            <w:pPr>
              <w:spacing w:after="0"/>
              <w:rPr>
                <w:sz w:val="24"/>
                <w:szCs w:val="24"/>
                <w:color w:val="auto"/>
              </w:rPr>
            </w:pP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16.</w:t>
            </w:r>
          </w:p>
        </w:tc>
        <w:tc>
          <w:tcPr>
            <w:tcW w:w="8940" w:type="dxa"/>
            <w:vAlign w:val="bottom"/>
            <w:gridSpan w:val="23"/>
          </w:tcPr>
          <w:p>
            <w:pPr>
              <w:ind w:left="60"/>
              <w:spacing w:after="0"/>
              <w:rPr>
                <w:sz w:val="20"/>
                <w:szCs w:val="20"/>
                <w:color w:val="auto"/>
              </w:rPr>
            </w:pPr>
            <w:r>
              <w:rPr>
                <w:rFonts w:ascii="Times New Roman" w:cs="Times New Roman" w:eastAsia="Times New Roman" w:hAnsi="Times New Roman"/>
                <w:sz w:val="18"/>
                <w:szCs w:val="18"/>
                <w:color w:val="0000FF"/>
              </w:rPr>
              <w:t>Form 10-K Summary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952"/>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960" w:type="dxa"/>
            <w:vAlign w:val="bottom"/>
            <w:gridSpan w:val="17"/>
          </w:tcPr>
          <w:p>
            <w:pPr>
              <w:jc w:val="center"/>
              <w:ind w:left="3790"/>
              <w:spacing w:after="0"/>
              <w:rPr>
                <w:sz w:val="20"/>
                <w:szCs w:val="20"/>
                <w:color w:val="auto"/>
              </w:rPr>
            </w:pPr>
            <w:r>
              <w:rPr>
                <w:rFonts w:ascii="Times New Roman" w:cs="Times New Roman" w:eastAsia="Times New Roman" w:hAnsi="Times New Roman"/>
                <w:sz w:val="18"/>
                <w:szCs w:val="18"/>
                <w:color w:val="auto"/>
                <w:w w:val="88"/>
              </w:rPr>
              <w:t>2</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own the registered trademark BARINTHUS in the United Kingdom, and we have filed applications at the U.K. Intellectual Property Office and other intellectual properties to register trademarks for BARINTHUS, SNAP -TI, SNAP-CI and a design logo globally. We also own various trademark registrations and applications, and unregistered trademarks, including the registered trademark VACCITECH, and trademarks relating to the technologies acquired as part of our acquisition of Avidea Technologies, Inc. in December 2021 including the registered trademarks SNAPVAX and SYNTHOLYTIC. All other trade names, trademarks and service marks of other companies appearing in this Annual Report on Form 10-K ("Annual Report") are the property of their respective holders. Solely for convenience, the trademarks and trade names in this Annual Report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From time to time, we may use our website, our X (formerly known as Twitter) account at @Barinthusbio and our LinkedIn account at linkedin.com/company/barinthus-bio to distribute material information about us and for complying with our disclosure obligations under Regulation FD. Our financial and other material information is routinely posted to and accessible on the Investors section of our website, available at www.barinthusbio.com. Investors are encouraged to review the Investors section of our website because we may post material information on that site that is not otherwise disseminated by us. Information that is contained in and can be accessed through our website, our X (formerly known as Twitter) posts and our LinkedIn posts are not incorporated into, and does not form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This Annual Report contains express or implied forward-looking statements that involve substantial risks and uncertainties. In some cases, you can identify forward-looking statements by the words “may,” “might,” “will,” “could,” “would,” “should,” “expect,” “intend,” “plan,” “objective,” “anticipate,” “believe,” “estimate,” “predict,” “potential,” “continue,”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Annual Report are based upon information available to our management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Annual Report include, but are not limited to, statements about:</w:t>
      </w:r>
    </w:p>
    <w:p>
      <w:pPr>
        <w:spacing w:after="0" w:line="18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 and clinical trials;</w:t>
      </w:r>
    </w:p>
    <w:p>
      <w:pPr>
        <w:spacing w:after="0" w:line="211"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including timing of Investigational New Drug Application ("IND"), New Drug Application ("NDA"), and Biologics License Application ("BLA") filings for our current and future product candidates, and final U.S. Food and Drug Administration ("FDA"), European Medicines Agency ("EMA"), United Kingdom Medicines and Healthcare products Regulatory Agency ("MHRA"), or other foreign regulatory authority approvals relating to our current and future product candidates;</w:t>
      </w:r>
    </w:p>
    <w:p>
      <w:pPr>
        <w:spacing w:after="0" w:line="18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expectations, plans and prospects, including the estimates of costs that we expect to incur in connection with the restructuring and the timing thereof;</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our current and future product candidates and programs into, and successfully complete, clinical trials;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future or maintain current collaborations or strategic relationships;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current and future product candidates;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expectations surrounding the payments we could potentially receive pursuant to our collaborations and license agreements;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collaborators to continue research and development activities relating to our product candidates;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defend and enforce our intellectual property protection for our product candidates, and the scope of such protection;</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commercialization and marketing capabilities and strategy;</w:t>
      </w:r>
    </w:p>
    <w:p>
      <w:pPr>
        <w:spacing w:after="0" w:line="21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 candidates, if approved, and any other approved products;</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technologies and our industry and the success of competing therapies that are or may become available;</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21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commercialization of our product candidates;</w:t>
      </w:r>
    </w:p>
    <w:p>
      <w:pPr>
        <w:spacing w:after="0" w:line="16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of our annual total addressable markets, future revenue, expenses, capital requirements and needs for additional financing;</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overcome challenges posed to the conduct of our business in the event of a global pandemic or similar event;</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inflationary pressures, volatile interest rates, or intensified disruptions in the global financial markets, the change in the U.S. presidential administration, the conflict in Ukraine, the conflict in Israel and Gaza, disruptions in the banking industry, economic sanctions and economic slowdowns or recessions that may result from such developments; and</w:t>
      </w:r>
    </w:p>
    <w:p>
      <w:pPr>
        <w:spacing w:after="0" w:line="18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qualify as an emerging growth company under the Jumpstart Our Business Startups Act of 2012, as amended ("JOBS Act").</w:t>
      </w:r>
    </w:p>
    <w:p>
      <w:pPr>
        <w:spacing w:after="0" w:line="39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You should refer to the section titled “Risk Factors”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Annual Report and the documents that we reference in this Annual Report with the understanding that our actual future results may be materially different from what we expect. We qualify all of our forward-looking statements in this Annual Report by these cautionary statements.</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Annual Report contains summaries of certain provisions contained in some of the documents described herein, but reference is made to the actual documents for complete information. All of the summaries are qualified in their entirety by the actual documents. Unless the context otherwise requires, reference in this Annual Report to the terms “Barinthus Bio,” “the Company,” “we,” “us,” “our,” and similar designations refer to Barinthus Biotherapeutics plc and, where appropriate, our majority-owned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THE MATERIAL RISKS ASSOCIATED WITH OUR BUSINESS</w:t>
      </w:r>
    </w:p>
    <w:p>
      <w:pPr>
        <w:spacing w:after="0" w:line="216"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We have incurred significant losses since inception. We expect to incur losses for at least the next several years and may never achieve or maintain profitability.</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generated any material revenue from our product candidates.</w:t>
      </w:r>
    </w:p>
    <w:p>
      <w:pPr>
        <w:spacing w:after="0" w:line="21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engage in further acquisitions or future strategic partnerships, this may increase our capital requirements, dilute our shareholders, cause us to incur debt or assume contingent liabilities, and subject us to other risks.</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you to evaluate the success of our business to date and to assess our future viability.</w:t>
      </w:r>
    </w:p>
    <w:p>
      <w:pPr>
        <w:spacing w:after="0" w:line="21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existing shareholders, restrict our operations or require us to relinquish rights to our technologies or product candidates.</w:t>
      </w:r>
    </w:p>
    <w:p>
      <w:pPr>
        <w:spacing w:after="0" w:line="14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substantial additional funding in the future. If we are unable to raise capital when needed, we would be compelled to delay, reduce or eliminate our product development programs or commercialization efforts.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advance our current or future product candidates into and through clinical trials, obtain marketing approval or reimbursement and ultimately commercialize any product candidates we develop, or experience significant delays in doing so, our business will be materially harmed.</w:t>
      </w:r>
    </w:p>
    <w:p>
      <w:pPr>
        <w:spacing w:after="0" w:line="190"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involves a lengthy and expensive process with uncertain outcomes, and results of earlier preclinical studies and clinical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marketing authorization of any of our product candidates, we may incur additional costs or experience delays in completing, or ultimately be unable to complete, the development of such product candidate.</w:t>
      </w:r>
    </w:p>
    <w:p>
      <w:pPr>
        <w:spacing w:after="0" w:line="18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participant data become available and are subject to audit and verification procedures that could result in material changes in the final data.</w:t>
      </w:r>
    </w:p>
    <w:p>
      <w:pPr>
        <w:spacing w:after="0" w:line="14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based on novel approaches to the treatment of diseases, which makes it difficult to predict the time and cost of product candidate development.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serious adverse events, serious side effects or have other properties that could halt their clinical development, prevent their marketing authorization, require expansion of the trial size, limit their commercial potential or result in significant negative consequences.</w:t>
      </w:r>
    </w:p>
    <w:p>
      <w:pPr>
        <w:spacing w:after="0" w:line="19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for certain of our oncology product candidates may be relatively small as it may be limited to those patients who are ineligible for or have failed prior treatments and our estimates of the prevalence of our target patient populations may be inaccurate.</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form or seek additional collaborations or strategic alliances or enter into additional licensing arrangements in the future, and we may not realize the benefits of such collaborations, alliances or licensing arrangements.</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authorization processes of the FDA, the EMA, MHRA and other comparable foreign regulatory authorities are lengthy, time-consuming and inherently unpredictable, and if we are ultimately unable to obtain marketing authorizations for our product candidates, or the marketing authorization is for a narrower indication than we seek, our business will be substantially harmed.</w:t>
      </w:r>
    </w:p>
    <w:p>
      <w:pPr>
        <w:spacing w:after="0" w:line="16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marketing authorization for our product candidates, we will be subject to ongoing regulatory obligations and continued regulatory review, which may result in significant additional expenses and we may be subject to penalties if we fail to comply with regulatory requirements or experience unanticipated problems with our product candidates.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spacing w:after="0" w:line="16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technology and product candidates are subject, in part, to the terms and conditions of licenses granted to us by others and if we fail to comply with our current or future obligations in any agreements under which we license intellectual property rights from third parties or otherwise experience disruptions to our business relationships with our licensors, we could lose license rights that are important to our business.</w:t>
      </w:r>
    </w:p>
    <w:p>
      <w:pPr>
        <w:spacing w:after="0" w:line="17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pipeline prioritization and restructuring may be unsuccessful, lead to additional costs, disrupt our operations, create unintended problems in our workforce, or increase litigation, in which case our business could be harmed.</w:t>
      </w:r>
    </w:p>
    <w:p>
      <w:pPr>
        <w:spacing w:after="0" w:line="14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and retaining highly qualified personnel, we may not be able to successfully implement our business strategy.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the size of our organization and we may experience difficulties in managing this growth.</w:t>
      </w:r>
    </w:p>
    <w:p>
      <w:pPr>
        <w:spacing w:after="0" w:line="21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classified as a passive foreign investment company, it would result in adverse U.S. federal income tax consequences to U.S. Holders (as defined below).</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variety of risks associated with operating our business internationally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novel immunotherapeutic drug candidates for treating auto-immune and inflammatory diseases within the immunology and inflammation ("I&amp;I") space. Helping patients and their families is the guiding principle at the heart of Barinthus Bio. We aim to achieve this by developing truly transformational and highly disease-specific immunotherapies.</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prioritizing the development of a pipeline for I&amp;I indications enabled by our proprietary and highly differentiated platform for promoting immune tolerance, referred to as SNAP-TI, that are designed to guide patient's T cells to reduce inflammation and restore the natural state of immune non-responsiveness to healthy tissue. Our lead candidate, VTP-1000, is designed to restore immune non-responsiveness to gluten in patients with celiac disease, and is currently being assessed in a Phase 1 clinical trial. Based on encouraging preclinical data, we believe that the SNAP-TI platform has the potential to impact multiple other I&amp;I indications.</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are also evaluating two product candidates to treat infectious diseases and cancer that harness our proprietary viral vector platform technologies, consisting of ChAdOx and MVA; these technologies are designed to increase disease-specific CD8+ T cells. These include: VTP-300, a Phase 2 immunotherapeutic treatment modality that is a component of a treatment regimen to establish functional cure in patients who are chronically infected by the hepatitis B virus, and VTP-850, a second-generation immunotherapeutic candidate for the prevention of recurrence of prostate cancer. VTP-850 is being tested in patients in a Phase 1 clinical trial in prostate cancer after surgical resection. We intend to progress the development of these product candidates by completing the ongoing clinical trials, and seek a partner or collaborator for continuing development.</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Alongside these proprietary programs, we have partnerships in place to advance additional prophylactic and therapeutic product candidates utilizing our viral vector platforms, including VTP-500 for Middle East Respiratory Syndrome, or MERS, VTP-400 for Herpes Zoster infections, and VTP-600 with potential for multiple cancer indications, including Non-Small Cell Lung Cancer ("NSCLC"), and Squamous Esophageal Cancer. We also co-invented a COVID-19 vaccine with the University of Oxford, which was exclusively licensed worldwide to AstraZeneca U.K. Limited ("AstraZeneca").</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core capabilities at the intersection of T cell immunology and immunotherapeutic technology platforms combined with our track record of successfully executing development path activities uniquely position us to navigate towards delivering promising new treatments for patients with auto-immune and inflammatory diseases and building value for shareholders.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leveraging the latest understanding of how the immune system's T cells naturally function to control disease. Research has shown that T cells are key to our body’s ability to identify and respond to threats through recognition of antigens. Disease can occur when the T cell response is either inappropriate, as occurs in auto-immunity, or inadequate, as often occurs in chronic viral infections or cancer.</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auto-immune and inflammatory diseases are characterized by an inappropriate or overactive immune response caused by an imbalance in the T cell population. T effector ("Teff") cells that normally fight infections and cancer can inappropriately attack the body and overwhelm the regulatory T ("Treg") cells that are meant to prevent inflammation. While there has been incredible progress in the treatment options over the last two decades, current therapies still rely heavily on the use of non-specific immunosuppressive agents and supportive therapies. These may efficiently dampen inflammation and slow disease progression, but they often require lifelong treatment and their lack of specificity for the pathogenic mechanism can lead to several, sometimes life-threatening, side effects. Therefore, there remains a need for more targeted, curative therapies that directly address the T cell (Treg/Teff) imbalance underlying many auto-immune and inflammatory diseases. Fortunately, improved understanding of the cause of inflammatory diseases is allowing the identification of the specific antigens that Teff cells are attacking. In auto-immunity, Teff cells recognize and attack tissues harboring self-antigens, such as pancreatic beta islet cell associated antigens in type-1 diabetes. Knowledge of the problematic antigens that the Teff cells are responding to allows for the development of highly specific treatments that only target the T cells involved in the disease and may provide a less aggressive and potentially curative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aim to directly address the disease process underlying auto-immunity and other inflammatory diseases by developing antigen-specific immune tolerance ("ASIT") therapies based on our proprietary SNAP-TI technology platform. Our approach is to use SNAP-TI to provide the immune system with problematic antigens within an appropriate tolerogenic context that promotes a reduction in Teff cells and increase in Treg cells, aiming to restore the natural state of immune tolerance and control over disease. Properties that differentiate SNAP-TI from other ASIT therapies are the use of synthetic, self-assembling nanoparticles to improve manufacturability of multiple antigen compositions; ability to administer by preferred intramuscular or subcutaneous routes; and use of an immunomodulator that aims to improve the Treg/Teff ratio and prevent unwanted inflammation associated with the treatment.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chronic viral infections and cancer, we use a different platform and approach but still leverage T cells. Our viral vector platforms are designed to stimulate the production of very high levels of Teff cells, such as CD8+ T cells that can recognize viral antigens or tumor antigens. Over the past three decades, hundreds of trials have examined a wide variety of approaches that induce the production of CD8+ T cells against infected and cancerous cells. These trials have demonstrated that different approaches induce different breadths and magnitudes of immune responses. While there have been many successes, certain diseases requiring a robust CD8+ T cell response have remained resistant possibly due to limitations of existing approaches. Our approach for treating chronic viral infections or cancers is to attempt to elicit a strong and specific immune response against key viral or tumor antigens, respectively, using a combination of two proprietary platforms encoded with the target antigens, each administered one month apart. We employ unique antigen design strategies intended to optimize antigen presentation to the immune system and maximize the desired type of immune response we are seeking to induce. This specific combination approach has been shown to provide a very high magnitude and durable CD8+ T cell response induced in humans. Our viral platforms are further differentiated by their flexibility, applicability across diseases, favorable tolerability profile and proven rapid production on a large scale.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we achieved a number of strategic, operational, and financial objectives, which we believe position us to deliver on our long-term plans:</w:t>
      </w:r>
    </w:p>
    <w:p>
      <w:pPr>
        <w:spacing w:after="0" w:line="239" w:lineRule="exact"/>
        <w:rPr>
          <w:sz w:val="20"/>
          <w:szCs w:val="20"/>
          <w:color w:val="auto"/>
        </w:rPr>
      </w:pPr>
    </w:p>
    <w:p>
      <w:pPr>
        <w:jc w:val="both"/>
        <w:ind w:left="660" w:hanging="328"/>
        <w:spacing w:after="0" w:line="23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we received clearance from the FDA on an Investigational New Drug ("IND") application, as well as from the Australian regulatory authorities, to progress VTP-1000 in a first in human clinical trial in celiac disease. AVALON is a randomized, placebo-controlled Phase 1 trial with a controlled gluten challenge to evaluate the safety, tolerability, pharmacokinetics and pharmacodynamics of VTP-1000 in adults with celiac disease. The primary endpoint is assessment of the safety and tolerability of single and multiple dosing, and determination of a dose and schedule for further investigation. The trial also aims to demonstrate proof-of-principle of induction of immune tolerance and early proof-of-concept for VTP-1000, as a potential treatment for celiac disease, based on assessment of pharmacodynamics and preliminary efficacy determined by means of a controlled gluten challenge.</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3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we announced top-line final data from the APOLLO trial (also known as HPV001), a Phase 1b/2 randomized, placebo-controlled, multi-center dose-ranging trial of VTP-200 in 108 participants across the U.K. and EU evaluating the safety, tolerability and immunogenicity of VTP-200 in women aged 25-55 with persistent high-risk human papillomavirus ("hrHPV") infections and low-grade cervical lesions. The trial was designed to assess the effect of VTP-200 on clearance of hrHPV infection and cervical lesion(s), as well as defining select appropriate doses for further development.</w:t>
      </w:r>
    </w:p>
    <w:p>
      <w:pPr>
        <w:spacing w:after="0" w:line="20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we appointed Dr. Leon Hooftman, M.D., as our Chief Medical Officer, effective as of June 2, 2024. Dr. Hooftman brings significant drug development expertise across a broad array of therapeutic areas including oncology, infectious diseases, and inflammation.</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we presented interim data on two Phase 2 trials of VTP-300. Across both studies, 19% of participants had undetectable HBsAg levels. The majority of patients who were assessed reached very low levels of HBsAg and eligibility for NUC discontinuation. Management believe these data are further evidence that VTP-300 could be a critical component of a functional cure regimen.</w:t>
      </w:r>
    </w:p>
    <w:p>
      <w:pPr>
        <w:spacing w:after="0" w:line="226"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we announced a strategic pipeline prioritization following positive interim data from VTP-300 in Chronic Hepatitis B virus infections, prioritizing the development of VTP-300 in chronic Hepatitis B, and VTP-1000 in celiac disease.</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we announced that the first patient/participant was entered into the Phase 1 AVALON clinical trial for VTP-1000 in celiac disease. The AVALON trial aims to enroll 42 participants with celiac disease and will be conducted in two parts: a randomized double-blind placebo controlled single ascending dose ("SAD") part,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followed by a randomized double-blind placebo-controlled multiple ascending dose part, incorporating a controlled gluten challenge to assess the impact of VTP-1000 administration on patients’ exposure to gluten.</w:t>
      </w:r>
    </w:p>
    <w:p>
      <w:pPr>
        <w:spacing w:after="0" w:line="189" w:lineRule="exact"/>
        <w:rPr>
          <w:sz w:val="20"/>
          <w:szCs w:val="20"/>
          <w:color w:val="auto"/>
        </w:rPr>
      </w:pPr>
    </w:p>
    <w:p>
      <w:pPr>
        <w:jc w:val="both"/>
        <w:ind w:left="660" w:hanging="328"/>
        <w:spacing w:after="0" w:line="24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announced that enrollment had completed in the Phase 2b HBV003 clinical trial for VTP-300 in chronic hepatitis B as well as the Phase 1 PCA001 clinical trial for VTP-850 in prostate cancer, respectively. The Phase 2b trial with VTP 300 enrolled 121 adult participants and is designed to obtain critical dosing information for a potential functional cure regimen for chronic hepatitis B, with participants receiving VTP-300 and low-dose ("LD") nivolumab. The Phase 1 PCA001 clinical trial enrolled 22 participants and is designed to determine the recommended Phase 2 dosing regimen of VTP-850 as well as evaluate safety and efficacy, as measured by PSA and T cell responses.</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presented positive updated interim data from the Phase 2b HBV003 clinical trial for VTP-300. The new data showed that as of the data cut off date of September 30, 2024, eight participants demonstrated complete HBsAg loss (defined as HBsAg levels below the lower limit of quantitation [&lt;LLOQ, 0.05 IU/mL]) and two participants met the criteria for functional cure. Uniquely, two of the eight participants with HBsAg loss, became positive for anti-hepatitis B antibodies ("HBsAb", so called seroconversion) that they did not have before, including one of those who met functional cure criteria.</w:t>
      </w:r>
    </w:p>
    <w:p>
      <w:pPr>
        <w:spacing w:after="0" w:line="208"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presented interim data from Group C of the Phase 2a IM-PROVE II clinical trial in collaboration with Arbutus Biopharma Corporation ("Arbutus") (NASDAQ: ABUS), in people with chronic hepatitis B receiving imdusiran followed by VTP-300 and low-dose nivolumab. The data indicated that Group C participants receiving nivolumab and VTP-300 experienced increased rates of HBsAg loss at Week 48 (3/13) compared to Group A and B participants who received imdusiran and VTP-300 or placebo.</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announced the promotion of Geoffrey Lynn, M.D., Ph.D., to Chief Scientific Officer, effective as of December 1, 2024, following the departure of Nadège Pelletier, Ph.D. Dr. Lynn is a seasoned biotech innovator and executive with over 15 years of experience leading immunotherapeutic R&amp;D from discovery through early development.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Key Elements of Our Immunotherapy Platforms</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two distinct technology platforms that are designed to either promote immune tolerance for treating auto-immunity and inflammatory diseases or induce CD8+ T cells to fight chronic viral infectious disease and cancer. Our immune tolerance platform, SNAP-TI, is designed to restore immune tolerance by a mechanism of action that includes the induction of Treg cells and/or decrease of Teff cells to specifically restore a beneficial Treg/Teff ratio. Our viral vector platforms (ChAdOx and MVA) by contrast allow us to develop product candidates designed to induce high and durable levels of antigen-specific polyfunctional T cells, particularly CD8+ T cells, and B cells to prevent and treat infectious diseases and cancer.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SNAP-TI:</w:t>
      </w:r>
    </w:p>
    <w:p>
      <w:pPr>
        <w:spacing w:after="0" w:line="212" w:lineRule="exact"/>
        <w:rPr>
          <w:sz w:val="20"/>
          <w:szCs w:val="20"/>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Self-assembling nanoparticles based on amphiphilic peptides as a tolerance immunotherapy ("SNAP-TI") is a synthetic platform that leverages self-assembly to co-deliver multiple disease-specific peptide antigens and immunomodulators in nanoparticles of uniform size (~20 nm) and composition that are designed to access immune cells that promote tolerance following intramuscular or subcutaneous routes of administration.</w:t>
      </w:r>
    </w:p>
    <w:p>
      <w:pPr>
        <w:spacing w:after="0" w:line="196" w:lineRule="exact"/>
        <w:rPr>
          <w:rFonts w:ascii="Times New Roman" w:cs="Times New Roman" w:eastAsia="Times New Roman" w:hAnsi="Times New Roman"/>
          <w:sz w:val="18"/>
          <w:szCs w:val="18"/>
          <w:b w:val="1"/>
          <w:bCs w:val="1"/>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self-assembly is a key differentiator of SNAP-TI that allows for co-delivery of multiple antigens and an immunomodulator at up to about 50% loading by particle mass. This relatively high loading enables dosing by intramuscular or subcutaneous routes. The small size of SNAP-TI particles allows them to enter different lymphoid organs and promote uptake by the key immune cells that help to promote immune tolerance. Importantly, the co-delivered immunomodulator provides a tolerogenic context to prevent any unwanted inflammation and to promote an increased Treg/Teff ratio.</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SNAP-TI has shown promising data on protection from disease in multiple mouse models of autoimmunity and is now being assessed in clinical studies as a product candidate (VTP-1000) for treating celiac disease. We expect that the modularity of the SNAP-TI platform could allow for a growing pipeline of candidates for I&amp;I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Antigen selection and design for SNAP-TI candidates:</w:t>
      </w:r>
    </w:p>
    <w:p>
      <w:pPr>
        <w:spacing w:after="0" w:line="252" w:lineRule="exact"/>
        <w:rPr>
          <w:sz w:val="20"/>
          <w:szCs w:val="20"/>
          <w:color w:val="auto"/>
        </w:rPr>
      </w:pPr>
    </w:p>
    <w:p>
      <w:pPr>
        <w:jc w:val="both"/>
        <w:ind w:left="660" w:hanging="328"/>
        <w:spacing w:after="0" w:line="25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prioritizing the research and development of candidates for treating autoimmune and inflammatory diseases that are at least in part driven by Teff cells and preferably have a known human leukocyte antigen ("HLA") association. This focus allows us to select specific I&amp;I indications and patients who are most likely to benefit from therapy with SNAP-TI. For each indication, we undertake a rigorous antigen selection process to identify key antigens that are recognized by Teff cells involved in disease pathology or present in disease tissue that may be helpful for inducing bystander Tregs. Our pipeline integrates clinical precedent,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bioinformatics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screening of candidate antigens with patient derived Teff cells. The result of this screening process is the selection of antigens to include in SNAP-TI with the aim of inducing antigen-specific immune tolerance tailored to the specific disease indication.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viral vector platforms, which include ChAdOx and MVA, are:</w:t>
      </w:r>
    </w:p>
    <w:p>
      <w:pPr>
        <w:spacing w:after="0" w:line="248" w:lineRule="exact"/>
        <w:rPr>
          <w:sz w:val="20"/>
          <w:szCs w:val="20"/>
          <w:color w:val="auto"/>
        </w:rPr>
      </w:pPr>
    </w:p>
    <w:p>
      <w:pPr>
        <w:jc w:val="both"/>
        <w:ind w:left="660" w:hanging="328"/>
        <w:spacing w:after="0" w:line="24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Proprietary simian vectors</w:t>
      </w:r>
      <w:r>
        <w:rPr>
          <w:rFonts w:ascii="Times New Roman" w:cs="Times New Roman" w:eastAsia="Times New Roman" w:hAnsi="Times New Roman"/>
          <w:sz w:val="18"/>
          <w:szCs w:val="18"/>
          <w:color w:val="auto"/>
        </w:rPr>
        <w:t>: ChAdOx1 and ChAdOx2 are modified simian adenoviral vectors which deliver target antigens into cells to generate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specific immune response. These viruses were originally isolated from chimpanzees to avoid pre-existing immunity issues affecting the use of human adenovirus vectors. Researchers at the Jenner Institute modified the ChAdOx viruses to be non-replicating and to have an increased antigen-carrying capacity. To date, we have developed several candidates with the ChAdOx vectors, each carrying antigens that are specific to the targeted pathogens and diseases. Adenoviral vectors have demonstrable safety profiles and have induced the desired immune responses in all age groups evaluated to date.</w:t>
      </w:r>
    </w:p>
    <w:p>
      <w:pPr>
        <w:spacing w:after="0" w:line="201"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Well-validated follow-up vector</w:t>
      </w:r>
      <w:r>
        <w:rPr>
          <w:rFonts w:ascii="Times New Roman" w:cs="Times New Roman" w:eastAsia="Times New Roman" w:hAnsi="Times New Roman"/>
          <w:sz w:val="18"/>
          <w:szCs w:val="18"/>
          <w:color w:val="auto"/>
        </w:rPr>
        <w:t>: MVA is a highly attenuated vaccinia virus used to deliver target antigens into cells to generate de novo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amplify an existing immune response. MVA has a large antigen-carrying capacity and generates a particularly strong immune response when used secondarily, in sequential combination, to an alternative viral vector carrying the same antigen load (ChAdOx in this case). MVA is replication-deficient and has a well-documented safety profile in hundreds of thousands of people, and is licensed as a smallpox vaccine in both Europe and the U.S.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55"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Proprietary promoters and enhancers: </w:t>
      </w:r>
      <w:r>
        <w:rPr>
          <w:rFonts w:ascii="Times New Roman" w:cs="Times New Roman" w:eastAsia="Times New Roman" w:hAnsi="Times New Roman"/>
          <w:sz w:val="17"/>
          <w:szCs w:val="17"/>
          <w:color w:val="auto"/>
        </w:rPr>
        <w:t>Promoters and molecular enhancers are genetic codes that influence antigen expression. For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adenoviral vectors, we use a proprietary promoter that is modified from cytomegalovirus. The use of this modified promoter has been shown to increase both antigen expression and the associated immune response. For our MVA vector, we use a proprietary promoter to control expression of recombinant antigens and thereby further enhance T cell induction levels. We may use molecular adjuvants to enhance the CD8+ T cell response.</w:t>
      </w:r>
    </w:p>
    <w:p>
      <w:pPr>
        <w:spacing w:after="0" w:line="187"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Rapid vector generation and manufacturing</w:t>
      </w:r>
      <w:r>
        <w:rPr>
          <w:rFonts w:ascii="Times New Roman" w:cs="Times New Roman" w:eastAsia="Times New Roman" w:hAnsi="Times New Roman"/>
          <w:sz w:val="18"/>
          <w:szCs w:val="18"/>
          <w:color w:val="auto"/>
        </w:rPr>
        <w:t>: We employ manipulation of adenovirus genomes to enable rapid generation of recombinant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adenoviral vectors to meet GMP standards. We believe our sequencing techniques have the potential to result in safer, more stable, product candidates. We believe that our adenovirus product candidates can be manufactured quickly and to significant scale, as demonstrated by Vaxzevria, a prophylactic vaccine for the prevention of COVID-19 infection. Vaxzevria, which is based on the ChAdOx1 vector, was designed, constructed and manufactured for human use within three months. Normal GMP production processes typically take six to ten months each for adenovirus and for MVA.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Antigen selection and design for our viral vectors</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jc w:val="both"/>
        <w:ind w:left="660" w:hanging="328"/>
        <w:spacing w:after="0" w:line="25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select full-length and/or subunit antigen sequences involved in or associated with targeted infectious disease or cancer. We employ unique antigen design strategies to optimize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antigen presentation and maximize the desired type of immune responses while maintaining the desired tolerability profile. For example, some targeted diseases may require a greater CD8+ T cell-mediated response, whereas others may require a more balanced T and B cell response. We use cutting-edge bioinformatics methods to design and optimize our antigen load. For example, to select antigen targets for pathogens, we use databases to rank options based on factors including global distribution of genetic strains, evolutionary competitive advantage, known pathogenicity and sequence upload bias; and design our final antigens to achieve maximal antigen presenting cell processing to elicit CD8+ T cells.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several product candidates in our pipeline focusing on I&amp;I indications, infectious diseases, and oncology.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I&amp;I Pipeline: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 below provides key information about our program using the SNAP-TI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657850" cy="659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worldwide rights for this product candidate.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i w:val="1"/>
          <w:iCs w:val="1"/>
          <w:color w:val="auto"/>
        </w:rPr>
        <w:t>Based on Management's current estimates on expected clinical data milestones.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VTP-1000: Antigen-specific Immune Tolerance Candidate for Celiac Disease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Patients with celiac disease have an unwanted immune response against gluten proteins and can become severely ill following exposure to gluten found in various cereal grains, especially wheat.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VTP-1000 is designed to suppress the unwanted immune response to gluten by restoring a beneficial regulatory T cell to effector T cell ratio. It is based on SNAP-TI and comprises multiple gluten antigens (representing the key antigens linked to celiac disease) and an immunomodulator co-delivered in nanoparticles of precise size and composition that are optimized to target the appropriate immune cells that promote tolerance. The immunomodulator is a key component of VTP-1000 and is intended to drive regulatory T cell expansion and prevent pro-inflammatory responses.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AVALON - Currently enrolling, ongoing Phase 1</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AVALON clinical trial is designed to evaluate the safety, tolerability, pharmacokinetics and pharmacodynamics of VTP-1000. The trial aims to enroll 42 participants with celiac disease and will be conducted in two parts: a randomized double-blind placebo-controlled single ascending dose ("SAD") part, followed by a randomized double-blind placebo-controlled multiple ascending dose ("MAD") part, incorporating a controlled gluten challenge to assess the impact of VTP-1000 administration on patients’ exposure to gluten. In the AVALON trial, we are enrolling adults with celiac disease in the two-part trial, as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5657850" cy="1217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Future Development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VTP-1000 is our first product candidate directed towards the treatment of an inflammatory disease, we believe demonstration of T regulatory cell induction and/or suppression of unwanted immune responses to gluten would pave the way for other therapeutic candidates based on SNAP-TI, including alternative autoimmune disease indications.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Infectious Disease and Oncology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657850" cy="2237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worldwide rights for all product candidates, except where indicated.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Based on Management's current estimates on expected clinical data milestones.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VTP-300: An Immunotherapeutic Targeting Chronic HBV Infection</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Patients with chronic hepatitis B infection live with the disease in the absence of symptoms for decades after initial infection. However, as the disease progresses and symptoms occur, it can cause serious health problems, including development of hepatocellular carcinoma or liver cirrhosis, especially if left untreated. There is an urgent need to develop an effective therapeutic strategy for chronic hepatitis B infection as less than 10% of patients achieve a functional cure with existing therapies. Experts agree that achieving functional cure in chronic Hepatitis B patients will likely require a combination of agents with complementary mechanisms of action. VTP-300 has been designed to be one of those components by stimulating a highly potent and polyfunctional disease-specific immune response, mostly led by disease-specific effector T-cells.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VTP-300 is composed of two viral vectors (ChAdOx and MVA), both encoding the same antigen sequence based on HBV genotype C antigen sequences that are administered intramuscularly one month apart, with the potential for additional administrations subsequently, depending upon outcome.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HBV002 – Completed Phase 1b/2a Trial</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2023, we announced positive final safety and efficacy data from the HBV002 trial (NCT04778904). VTP-300 as a monotherapy and in combination with low-dose nivolumab was administered with no treatment-related serious adverse events. Meaningful, durable reductions of HBsAg were seen in Group 2 (receiving VTP-300 monotherapy, N=18) and Group 3 (receiving VTP-300 followed by a single low dose of nivolumab together with MVA, N=18). In Group 3, two participants developed non-detectable HBsAg levels, which continued eight months after last dose.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Importantly, VTP-300, based on HBV genotype C sequences, was observed to lead to a decline in HBsAg in both genotype B- and C-infected CHB patients. Additionally, T cell responses to HBV core protein induced by VTP-300 in healthy subjects were shown to cross-react with other prevalent genotypes (A to E). Together, these results highlighted that T cell responses induced by VTP-300, based on genotype C, were cross-reactive to other common HBV genotypes.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HBV003 – Fully Enrolled, Ongoing Phase 2b Trial</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HBV003 is designed to obtain critical information on treatment dosing regimens in patients receiving VTP-300 and low-dose nivolumab. Participant enrollment was completed in October 2024. In the HBV003 trial, we enrolled CHB patients in three treatment groups as described in the table below. The trial design directly builds on HBV002 to evaluate PD-1 inhibition timing, and includes criteria for discontinuation of maintenance therapy with standard-of-care nucleos(t)ide reverse transcriptase inhibitors ("NUC") to obtain information on the durability of the response in the absence of such treatment.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5657850" cy="1329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Data from the HBV003 Trial</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we reported updated data with another interim analysis of the ongoing HBV003 trial (NCT05343481) (with data as of September 30, 2024, for laboratory data and October 8, 2024, for clinical data). One hundred and twenty-one virally suppressed CHB patients on stable NUC therapy have been enrolled in the fully recruited trial, and this interim analysis focused on the 69 virally-suppressed participants who had entered the trial with HBsAg levels below 200 IU/mL.</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most recent data showed that as of data cut off date of September 30, 2024, eight participants demonstrated complete HBsAg loss (defined as HBsAg levels below the lower limit of quantitation [&lt;LLOQ, 0.05 IU/mL]). Among these eight participants, three discontinued their NUC treatment, of which two met the criteria for functional cure, defined as undetectable HBV DNA and undetectable HBsAg for at least six months post-NUC treatment discontinuation. Uniquely, two of the eight participants with HBsAg loss, seroconverted to anti-HBsAb, including one of those who met functional cure criteria. The data from this ongoing trial indicate that stronger responses may happen in participants treated with the combination of VTP-300 and a low dose of the anti-PD1 antibody nivolumab given simultaneously (Groups 1 and 2) rather than separately (Group 3). VTP-300 in combination with nivolumab led to durable HBsAg declines in all treatment groups (as shown in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703320" cy="23660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0332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hanging="92"/>
        <w:spacing w:after="0"/>
        <w:tabs>
          <w:tab w:leader="none" w:pos="100" w:val="left"/>
        </w:tabs>
        <w:numPr>
          <w:ilvl w:val="0"/>
          <w:numId w:val="13"/>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 curves shown herewith are derived from the interim intent to treat ("ITT") comparison of the 3 treatment groups in HBV003.</w:t>
      </w:r>
    </w:p>
    <w:p>
      <w:pPr>
        <w:spacing w:after="0" w:line="2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Preliminary safety data indicated that VTP-300 in combination with low-dose nivolumab was generally well tolerated with no treatment-related SAEs observed or reported as of the data cut off date of September 30,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IM-PROVE II – Fully Enrolled, Ongoing Phase 2a Trial in Collaboration with Arbutus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IM-PROVE II, or AB-729-202, is an ongoing Phase 2a clinical trial in collaboration with Arbutus to evaluate Arbutus’ RNAi therapeutic candidate, imdusiran or AB-729, in combination with VTP-300 for the treatment of patients with chronic HBV infection. The clinical trial is designed to evaluate whether decreasing HBsAg levels following imdusiran but prior to VTP-300 treatment, lead to a more sustained HBsAg reduction compared to treatment with imdusiran alone, for CHB patients. Primary endpoints are evaluating the safety, antiviral activity and T cell activity of VTP-300 administered post imdusiran treatment. The trial is designed to enroll 60 CHB patients as shown in the table below. All patients receive imdusiran (60mg every 8 weeks) plus NUC therapy for 24 weeks. At week 24, treatment with imdusiran stops and patients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are randomized to receive either placebo (Group B) or VTP-300 (Groups A &amp; C) at week 26 and 30 (and conditionally at week 38 if they experienced a &gt;0.5log10 decline in HBsAg between week 26 and 34). Group C receives in addition to the above a low dose nivolumab concomitantly with their MVA dose. At week 48 all participants are evaluated for eligibility to either discontinue or remain on NUC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5657850" cy="12001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Data from the IM-PROVE II Trial</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2024, we announced new interim data from Group C of the IM-PROVE II trial (ACTRN12622000317796). Group C enrolled a total of 22 non-cirrhotic, virally suppressed cHBV participants with HBsAg ≥100 to &lt;5,000 IU/mL at screening.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data indicated that Group C participants receiving nivolumab experienced increased rates of HBsAg loss (defined as HBsAg &lt;LLOQ [0.05 IU/mL]) compared to Group A and B participants who received imdusiran and VTP-300 or placebo.</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preliminary data from Group C included data to Week 48 (20/22 participants) and, as shown in the graph below, showed that imdusiran lead-in treatment led to a mean decline from baseline in HBsAg consistent with data from Groups A and B. Significantly greater mean declines in HBsAg levels (p &lt;0.017) were seen in Group C participants, who received imdusiran and VTP-300 with nivolumab, at Week 48 compared with Groups A and B and Group C without nivolumab. 23% of participants (3/13) in the group receiving imdusiran, VTP-300 and low-dose nivolumab achieved HBsAg loss by Week 48. Increases in soluble immune biomarkers associated with immune checkpoint proteins, inflammation, and T-cell activation were observed in participants who had HBsAg loss at any point through Week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3291840" cy="2383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9184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C treatment regimen with nivolumab was generally well tolerated and did not result in any immune-related adverse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Development</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 interim analysis from the HBV003 Phase 2b and the IM-PROVE II Phase 2a studies suggest that VTP-300 contributes to HBsAg loss, and could become part of a regimen that can attain and maintain functional cure.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actively seeking a partner to take advantage of VTP-300's differentiated ability to achieve sustained HBsAg loss and functional cure in patients with low levels of HBsAg. We expect to report out more definitive data of a complete primary analysis of both the HBV003 trial and the IM-PROVE II combination trial with Arbutus in the second quarter of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VTP-200: A Potential Non-Invasive Treatment for Persistent High-Risk HPV (hr-HPV)</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VTP-200 is a potential curative treatment for persistent hrHPV infection and associated pre-cancerous lesions. An estimated 291 million women worldwide are carriers of human papillomavirus ("HPV") DNA, which can progress to pre-cancerous cervical lesions if untreated. The last clinical visit of the final patient in our Phase 1b/2 APOLLO (HPV001) clinical trial of VTP-200, (NCT04607850), took place in January 2024. VTP-200 is composed of two viral vectors (ChAdOx1 and MVA), both encoding the same HPV antigens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E1, E2, E4, E5, E6, E7), designed to elicit an antigen-specific T cell immune response to HPV. Both vectors are administered intramuscularly and sequentially, one month apart.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APOLLO (HPV001) - Completed Phase 1b/2 Trial</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Phase 1b/2 APOLLO clinical trial was designed to assess the safety and efficacy of VTP-200 and determine the optimal dosing regimen. We enrolled a total of 108 healthy women with low grade lesions who had persistent hrHPV for at least six months. Patients with high-grade squamous intraepithelial lesions ("HSIL") or early cancer were excluded. The trial was conducted in the United Kingdom and the European Union. The diagram below provides an overview of the Phase 1b/2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657850" cy="15005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primary objective of the trial was to evaluate the safety and tolerability of VTP-200. The secondary objective of this trial was to determine the optimal dose and to evaluate the efficacy of HPV001 on the clearance of hrHPV infection and on the cervical intraepithelial neoplasia ("CIN").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April 2024, we announced topline data from 108 participants with low grade lesions who had persistent hrHPV for at least six months. The APOLLO trial met its primary safety endpoint, demonstrating that VTP-200 was generally well-tolerated and was administered with no treatment-related grade 3 or higher unsolicited AEs and no treatment-related SAEs.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highest hrHPV clearance rate of 60% at Month 12 was observed in Group 2, which included the highest dose of ChAdOx, compared to a 33% clearance rate in the placebo group. Groups 1, 3, 4 and 5 showed 12%, 11%, 33% and 36% hrHPV clearance rates,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trial also evaluated cervical lesion clearance rates in participants with both reported lesions at screening and visualization of the cervical transformation zone at 12 months (n=57). The highest cervical lesion clearance rate of 67% was observed in Group 2 and Group 5, both received the highest dose of ChAdOx, compared to 39% in the placebo group. Groups 1, 3 and 4 showed 40%, 20% and 33% cervical lesion clearance rates,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Pooled data from the five active dose groups showed no significant improvement in hrHPV clearance or cervical lesion clearance rates in comparison to the placebo group.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Development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clinical development of VTP-200 is expected to be progressed by external parties via licensing or partnership, if a partner can be identified. We will not continue to develop this product candidate.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VTP-850: Our Next-Generation Immunotherapeutic Candidate for Prostate Cancer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developing VTP-850, our next-generation prostate cancer product candidate, to improve upon VTP-800. Both VTP-800 and VTP-850 are composed of two viral vectors (ChAdOx1 and MVA, both encoding the same antigen sequences); however, VTP-800 encodes only one antigen, 5T4, while VTP-850 encodes four antigens, PSA, PAP, STEAP1 and 5T4. We designed VTP-850 to induce a broader immune response by encoding multiple antigens to reduce the ability of cancer cells to evade the immune response by mutating or losing expression of any one antigen. The antigens we encode in VTP-850 are expressed in most prostate cancers but have little or no expression on healthy tissues other than prostate.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Phase 1 (VANCE) and Phase 2 (ADVANCE) clinical trials of VTP-800 were sponsored and conducted by the University of Oxford in the United Kingdom.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VANCE - Completed Phase 1</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VANCE was a first-in-human, open label, randomized, Phase 1 clinical trial designed to evaluate the safety and immunological response of VTP-800 with and without low dose cyclophosphamide in localized prostate cancer. Thirty-nine patients with early stage localized, castration-sensitive prostate cancer were treated. Thirty-three patients received sequential administration of ChAdOx1-5T4 and MVA-5T4, one month apart, while six patients received MVA-5T4 alone. Patients received both regimens alone or with cyclophosphamide preconditioning. VTP-800 was generally well tolerated, with side effects of local injection site pain, fatigue, feverishness, and myalgia, which are consistent with those observed for these vectors in other clinical trials. There were no reported treatment-related serious adverse events. Data showed that 59% of participants had no detectable T cell response at baseline and developed a 5T4-specific T cell response de novo. Two patients had a baseline response, and the frequency of 5T4-specific T cells was observed to increase following administration. T cell infiltration into the resected prostate was also observed.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ADVANCE - Completed Phase 2</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ADVANCE was an open-label, non-randomized Phase 2 clinical trial of VTP-800 in combination with anti-PD-1 checkpoint inhibitor, nivolumab, in 23 patients with metastatic prostate cancer. The primary objectives of the ADVANCE trial were to assess the safety and response rate of VTP-800 when administered in combination with nivolumab. The secondary objectives were to assess the immune responses in peripheral blood and to evaluate radiographic progression-free survival and overall survival. Patients received sequential administration of ChAdOx1-5T4 followed by MVA-5T4 one month later. Nivolumab was administered at months one, two and three. In most patients, VTP-800 was also given at months three and four. All patients received 2.5 x 10</w:t>
      </w:r>
      <w:r>
        <w:rPr>
          <w:rFonts w:ascii="Arial" w:cs="Arial" w:eastAsia="Arial" w:hAnsi="Arial"/>
          <w:sz w:val="18"/>
          <w:szCs w:val="18"/>
          <w:color w:val="auto"/>
        </w:rPr>
        <w:t>˄</w:t>
      </w:r>
      <w:r>
        <w:rPr>
          <w:rFonts w:ascii="Times New Roman" w:cs="Times New Roman" w:eastAsia="Times New Roman" w:hAnsi="Times New Roman"/>
          <w:sz w:val="18"/>
          <w:szCs w:val="18"/>
          <w:color w:val="auto"/>
        </w:rPr>
        <w:t>10 vp of ChAdOx1-5T4, 2.0 x 10</w:t>
      </w:r>
      <w:r>
        <w:rPr>
          <w:rFonts w:ascii="Arial" w:cs="Arial" w:eastAsia="Arial" w:hAnsi="Arial"/>
          <w:sz w:val="18"/>
          <w:szCs w:val="18"/>
          <w:color w:val="auto"/>
        </w:rPr>
        <w:t>˄</w:t>
      </w:r>
      <w:r>
        <w:rPr>
          <w:rFonts w:ascii="Times New Roman" w:cs="Times New Roman" w:eastAsia="Times New Roman" w:hAnsi="Times New Roman"/>
          <w:sz w:val="18"/>
          <w:szCs w:val="18"/>
          <w:color w:val="auto"/>
        </w:rPr>
        <w:t>10 pfu of MVA-5T4 and 480mg of nivolumab. VTP-800 was generally well tolerated. The most common treatment emergent adverse events were bone pain, injection site pain, muscle pain, stomatitis, and constipation, and most were mild and grade 1 or 2. The only grade 3 adverse event was a chest infection, which was not related to trial drug. There were no grade 4 or 5 treatment-related adverse events. Data showed that three of eight patients with measurable disease had partial tumor responses. Five of 23, or 22%, of enrolled patients had greater than 50% reduction of prostate specific antigen ("PSA") at any timepoint.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PSA Reduction in Patients from ADVANCE Phase 2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173990</wp:posOffset>
            </wp:positionV>
            <wp:extent cx="3008630" cy="1645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0863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PCA001 - Fully Enrolled, Phase 1 Trial</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2024, we announced enrollment was complete for PCA001 (NCT05617040), our ongoing Phase 1 clinical trial designed to determine the recommended dosing regimen of VTP-850 as well as evaluate safety and efficacy, as measured by prostate-specific antigen (PSA), and induced T cell response of VTP-850 monotherapy in men with rising PSA after definitive local therapy for their disease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biochemical recurrence). PCA001 builds on the previous promising data from the University of Oxford Phase 1 VANCE and Phase 1/2 ADVANCE clinical trials of VTP-800.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trial involves a Phase 1 dose finding stage testing 2 doses of ChAdOx-PCA with follow-up MVA-PCA dose administered either intramuscularly or intravenously to determine potential Phase 2 recommended dose and route of administration. The diagram below provides an overview of the Phase 1 clinical trial design for PCA001.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140335</wp:posOffset>
            </wp:positionV>
            <wp:extent cx="3291840" cy="1508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9184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Development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announce topline data from the PCA001 clinical trial in the second quarter of 2025. The future clinical development of VTP-850 is expected to be progressed by external parties via licensing or partnership, if a partner can be identified.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VTP-600: Our Immunotherapeutic Candidate Targeting MAGE-A3 and NY-ESO1 Antigens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VTP-600 is an immunotherapy candidate encoding the tumor-associated antigens MAGE-A3 and NY-ESO1, initially as a potential first line treatment of NSCLC in combination with standard of care treatment, chemotherapy and pembrolizumab. Lung cancer is the most common cancer diagnosis and cause of cancer death worldwide, with 85% of cases classified as NSCLC. About 25% to 30% of NSCLC patients have squamous histology and the remainder have non-squamous histology. MAGE-A3 is expressed in 48% of squamous NSCLC and 24% of non- squamous NSCLC. NY-ESO1 has been shown to have an expression rate of 27% across all NSCLC types. We initiated a first-in-human Phase 1/2a trial in collaboration with Cancer Research U.K. ("CRUK"), who are sponsoring and funding this trial.</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CRUK opened a squamous esophageal cancer cohort with the intention of recruiting up to 17 participants. As squamous esophageal cancer is suitable for biopsy, we believed that the trial in this cohort could enable the observation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 cell immunity both in the periphery and in the tumor micro-environment between pre- and post-VTP-600 treatment. Recruitment into both the NSCLC and squamous esophageal arms stopped in September 2024 and patients are in follow-up. No toxicity was observed during the trial and safety was not a factor in deciding to stop the trial.</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Together with our strategic collaborators, Ludwig Institute for Cancer Research (the "Ludwig Institute"), and CRUK, we are looking for other routes to continue development of VTP-600.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VTP-500: A Prophylactic Vaccine Candidate to Prevent MERS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developing VTP-500 as a vaccine product candidate to prevent infection and subsequent disease caused by the MERS coronavirus. Although human-to-human transmission appears to be rare, MERS coronavirus has the potential to cause epidemics, infecting hundreds of thousands of people and causing significant morbidity and mortality in 34% of infected individuals. Clinical efficacy trials to prevent MERS are challenging to execute due to the sporadic nature of infection, however studies have demonstrated positive Phase 1 safety and immunogenicity data. In November 2021, VTP-500 results from the Saudi Arabia Phase 1 trial were published in The Lancet Microbe. The Phase 1 data showed that VTP-500 was generally well tolerated in patients, and further development of the product candidate is planned by our non-exclusive licensee, the University of Oxford.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21, 2023, we announced a project with Coalition for Epidemic Preparedness Innovations ("CEPI") and the University of Oxford, aiming to fast-track the development of VTP-500 for the prevention of MERS. The project includes CEPI contributing funding of up to $34.8 million to Barinthus Bio, in addition to funds previously committed to the University of Oxford to develop and stockpile a ready reserve of emergency MERS vaccine candidate, VTP-500.</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VTP-500’s potential in significantly addressing the unmet need for MERS, the EMA confirmed support for the program through PRIME designation in December 2023. The EMA’s PRIME designation enhances support for the development of medicines that target an unmet medical need, offering early and proactive support to medicine developers to optimize the generation of robust data on a medicine's benefits and risks and enable accelerated assessment of medicines applications.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VTP-400: A Prophylactic Vaccine Candidate for Shingles (Herpes Zoster)</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VTP-400 is our vaccine candidate in development to prevent shingles in adults aged 50 years and older. There are an estimated 140 million cases globally of shingles each year, which can result in significant post-infection pain, known as post-herpetic neuralgia, or even death. Our regional partner in China and Southeast Asia, CanSino, initiated a Phase 1 clinical trial of VTP-400 in Canada in November 2023 to evaluate both T cell-mediated and B cell-mediated immune responses resulting from VTP-400.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Vaxzevria: A Prophylactic Vaccine for the Prevention of COVID-19 Infection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speed of the development of Vaxzevria (formerly VTP-900 and AZD1222) for the prevention of COVID-19, which entered the clinic within three months from initial antigen design, demonstrated that our ChAdOx platform enables rapid development of product candidates. We co-invented VTP-900 in partnership with the University of Oxford’s Jenner Institute, which we assigned to Oxford University Innovation ("OUI") to facilitate the licensing of those rights by OUI to AstraZeneca. It has been estimated that over 6.5 million lives have been saved worldwide, and between 37.7 and 122.4 million hospitalizations were prevented. We are eligible to receive a share of royalties and other revenue received by OUI pursuant to its agreement with AstraZeneca for Vaxzevria. In May 2024, AstraZeneca announced it had made the strategic decision to initiate the withdrawal of marketing authorization for Vaxzevria within Europe, citing decline in demand as the reason for the decision. In October 2024, we were informed of $15.0 million due to the Company from OUI in relation to the Company's share of royalties received by OUI as a result of prior commercial sales of Vaxzevria by AstraZeneca. We do not expect to receive any further payments relating to future commercial sales of Vaxzevria.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 and Team</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founded in May 2016 as a spin-out from a leading institution in the United Kingdom, the Jenner Institute at the University of Oxford, with the aim of developing and commercializing innovative immunotherapeutics and vaccines to treat and prevent infectious diseases and cancer. The ChAdOx1 and MVA platforms use technologies that were developed at the Jenner Institute over 15 years and through clinical trials involving thousands of participants. Our scientific founders, Professor Adrian Hill KBE, FRCP, FRS and Professor Dame Sarah Gilbert DBE, are leaders in the fields of infectious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diseases, immunology, vaccine development and viral vectors. Professor Hill is the founding Director of the Jenner Institute at the University of Oxford and is also the Lakshmi Mittal and Family Professor of Vaccinology at the University of Oxford. Professor Gilbert is Professor of Vaccinology at the University of Oxford and leads programs on the development of vaccines against multiple emerging viral pathogens as well as research into vaccine manufacturing. She was the Oxford Project Lead for the Oxford/AstraZeneca COVID-19 vaccine project. Our strategic trajectory has grown with the acquisition of Avidea Technologies, Inc. ("Avidea") and the SNAP-TI platform in 2021, expanding our product candidate pipeline and strengthening our scientific leadership in immunotherapies and the autoimmune space.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assembled a management team with extensive expertise in building and operating biopharmaceutical organizations that have discovered, developed and delivered innovative medicines to patients. Our management team has broad experience and successful track records in biopharmaceutical drug discovery, clinical development, regulatory affairs, manufacturing and commercialization, as well as in business, operations, and finance. Our management team’s experience was gained at leading institutions that include Agalimmune, Altimmune, Celltech, Ernst &amp; Young, GenVec and Roche.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extensive expertise in the fields of science, business, and finance. Our scientific advisory board ("SAB") works with our management team in the planning and development of scientific, clinical, and research and development initiatives and strategies. The SAB is composed of scientific and clinical thought leaders in the fields of immunotherapy, vaccine development, immunology, infectious diseases, immune tolerance and oncology.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Collaboration and License Agreements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License Agreement with OUI</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March 2016, we entered into a license agreement (the "2016 OUI License Agreement") (as amended in January 2019 and April 2020), with OUI (previously known as Isis Innovation Limited) for the development and commercialization of vaccines for influenza, cancer (including therapeutic and prophylactic vaccines and including cancer associated with viral infections), varicella zoster and MERS. We refer to these areas together as the “Field.”</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Pursuant to the 2016 OUI License Agreement, OUI granted us a worldwide license under certain patent rights of OUI, including rights related to the use of ChAdOx1, ChAdOx2, adenoviral and MVA promoters and influenza product candidates, among other rights (the "2016 Licensed Technology") to develop, manufacture, use and commercialize licensed products. The rights are exclusive in certain fields and non-exclusive in others. Our license to certain patents and applications relating to certain adenoviral vectors encoding a pathogen or tumor antigen and certain pox virus expression systems is exclusive within the Field, non- exclusive in all other fields, and excludes veterinary applications. Our license to certain patents and applications relating to certain compositions and methods is exclusive in all fields and excludes veterinary applications. Our license for the use of the ChAdOx1 vector under certain patents and applications relating to certain simian adenovirus and hybrid adenoviral vectors is exclusive in the Field, non-exclusive in all other fields, and excludes veterinary applications (apart from MERS) and certain specified indications. Furthermore, our license with respect to the use of the ChAdOx2 vector under certain patents and applications relating to certain adenoviral vectors is exclusive in certain vaccine-related fields, non- exclusive in all other fields, and excludes all veterinary applications (apart from MERS) and certain other specified indications. In addition, we also obtained a license to certain clinical data generated from OUI projects and related confidential know-how to develop, manufacture, use and commercialize licensed products, and such license is exclusive in the Field, other than with respect to know-how related to ChAdOx2, which is licensed non-exclusively. The 2016 Licensed Technology is sublicensable subject to obtaining OUI’s prior written consent (such consent not to be unreasonably withheld, conditioned or delayed) and inclusion in any sublicense agreement of restrictions on further sub-licensing, among other terms and conditions.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Pursuant to the 2016 OUI License Agreement, all intellectual property rights resulting from improvements made prior to the second anniversary of the agreement (i) to the licensed patent rights by the inventor belong to OUI, and (ii) to the 2016 Licensed Technology by us belong to us. OUI retains the right for the University of Oxford and any person who works or has worked on the 2016 Licensed Technology to use the 2016 Licensed Technology, as well as any improvements that we made to that technology during the first two years of the license, for education, research and limited clinical patient care. Furthermore, the University of Oxford may publish the 2016 Licensed Technology and those improvements without our consent provided that they have first given us advance notice and delayed the publication if necessary for us to obtain patent protection. In addition, OUI retains the right to grant academic and research licenses to any third parties under the 2016 Licensed Technology to encourage basic research for education and limited clinical patient care but may not grant licenses for commercialization of the 2016 Licensed Technology that is exclusively licensed to us, nor for development or marketing or products or services that are produced or supplied using the 2016 Licensed Technology.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Upon execution of the 2016 OUI License Agreement, we paid OUI a one-time upfront fee of £100,000. We are obligated to pay OUI a low single-digit royalty (that varies based on the indication) on net sales of any product or process produced by or using the 2016 Licensed Technology. If we sublicense the 2016 Licensed Technology, we will be required to pay OUI a mid-single-digit royalty on any royalties paid to us by the sublicensee and a high single-digit royalty on non-royalty sublicensing income (excluding milestone payment income overlapping with milestone payments paid to OUI and income used to fund research and development). In the event that the royalties (excluding the royalty on sublicensing income) owed to OUI do not amount to a specified minimum ranging from the mid five figures to low six figures based on the license year in each year following March 2020, we must also pay OUI the difference between the royalty paid and the applicable minimum sum payable. In 2024, we paid £100,000 to OUI, representing the difference between royalties paid and the minimum sum payable. In addition, we are required to pay OUI milestone payments of up to an aggregate of £14.8 million upon the achievement of specified development, regulatory and commercial milestones.</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Unless earlier terminated, the 2016 OUI License Agreement will continue until the later of the expiration of the last claim of a licensed patent or 20 years from the date of the agreement. The last patent under the 2016 OUI License Agreement, if granted, is expected to expire in November 2039, without giving effect to any potential patent term extensions or patent term adjustments. Either party may terminate for the uncured breach of the other party. We may terminate the agreement at any time upon three months’ prior written notice. OUI may terminate the agreement upon us filing for bankruptcy or in the event of liquidation or receivership proceedings, or upon 30 days’ prior written notice upon the occurrence of certain other events. Upon termination of the 2016 OUI License Agreement, we are required to, among other things, grant to OUI an irrevocable, transferable, non-exclusive license to develop, make and use any improvements to the 2016 Licensed Technology which we made prior to the second anniversary of the date of the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License Agreement with OUI (Barinthus Biotherapeutics (U.K.) Limited)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2017, we entered into a further license agreement with OUI (the "2017 OUI License Agreement") for the development and commercialization of immunotherapies for HBV and HPV.</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Pursuant to the 2017 OUI License Agreement, we acquired a worldwide license under certain additional patent rights of OUI, including rights related to the use of HBV immunotherapy product candidates, HPV immunotherapy product candidates and shark invariant chain polypeptides, among other rights (the "2017 Licensed Technology"), to develop, manufacture, use and commercialize licensed products. The rights are exclusive in some fields and non-exclusive in others. Our license to certain patents and applications relating to certain HBV and HPV vaccines is exclusive in all fields. Our license to certain patents and applications relating to molecular adjuvants is non-exclusive in the field of HBV. Our license to certain patents and applications relating to certain simian and hybrid adenoviral vectors is exclusive in the fields of HPV associated diseases and HBV. Further, our license to certain patents and applications relating to certain other vectors is exclusive in the field of HBV.</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2017 OUI License Agreement, we also obtained a non-exclusive license under related know- how to develop, manufacture, use and commercialize licensed products in all fields. The 2017 Licensed Technology is sublicensable subject to obtaining OUI’s prior written consent (such consent not to be unreasonably withheld, conditioned or delayed) and inclusion in any sublicense agreement of restrictions on further sub-licensing, among other terms.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2017 OUI License Agreement, all intellectual property rights resulting from improvements made prior to the second anniversary of the agreement (i) to the licensed patent rights by the inventor belong to OUI, and (ii) to the 2017 Licensed Technology by us belong to us. OUI retains the right for the University of Oxford and any person who works or has worked on the 2017 Licensed Technology to use the 2017 Licensed Technology, as well as any improvements that we made to that technology during the first two years of the license, for education, research and limited clinical patient care. Furthermore, the University of Oxford may publish the 2017 Licensed Technology and those improvements without our consent provided that they have first given us advance notice and delayed the publication if necessary for us to obtain patent protection. In addition, OUI retains the right to grant academic and research licenses to any third parties under the 2017 Licensed Technology to encourage basic research for education and limited clinical patient care but may not grant licenses for commercialization of the 2017 Licensed Technology that is exclusively licensed to us, nor for development or marketing or products or services that are produced or supplied using the 2017 Licensed Technology.</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execution of the 2017 OUI License Agreement, we paid OUI a one-time upfront fee of £50,000. We are obligated to pay OUI a low single-digit royalty (that varies based on the indication) on net sales made by us or our sublicensees of any product or process produced by or using the 2017 Licensed Technology. In the event that such sales royalties owed to OUI do not amount to a specified minimum ranging from the mid five figures to low six figures based on the license year in each year following September 2020, we must also pay OUI the difference between the royalty paid and the applicable minimum sum payable. In 2024, we paid £100,000 to OUI, representing the difference between royalties paid and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minimum sum payable. If we sublicense the 2017 Licensed Technology, we will be required to pay OUI a mid-single-digit royalty on non- royalty sublicensing income (excluding milestone payment income overlapping with milestone payments paid to OUI and income used to fund research and development). In addition, we are required to pay OUI milestone payments of up to an aggregate of £9.85 million upon the achievement of specified development, regulatory and commercial milestones.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earlier terminated, the 2017 OUI License Agreement will continue until the later of the expiration of the last claim of a licensed patent or 20 years from the date of the agreement. The last patent under the 2017 OUI License Agreement, if granted, is expected to expire in August 2038, without giving effect to any potential patent term extensions or patent term adjustments. Either party may terminate for the uncured breach of the other party. We may terminate the agreement at any time upon three months’ prior written notice. OUI may terminate the agreement upon us filing for bankruptcy or in the event of liquidation or receivership proceedings, or upon 30 days’ prior written notice upon the occurrence of certain other events. Upon termination of the 2017 OUI License Agreement, we are required to, among other things, grant to OUI an irrevocable, transferable, non-exclusive license to develop, make and use any improvements to the 2017 Licensed Technology which we made prior to the second anniversary of the date of the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License Agreement with OUI (Barinthus Biotherapeutics North America, Inc.)</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2017, Avidea entered into a license agreement with OUI (the "March 2017 OUI License Agreement") for the development and commercialization of products comprising thermo-responsive adjuvant scaffolds for use in all indications. All of Avidea’s rights, duties and obligations under this March 2017 OUI License Agreement were assumed by Barinthus Bio NA following the acquisition of Avidea by Barinthus Biotherapeutics plc on December 10, 2021.</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March 2017 OUI License Agreement, OUI granted us a worldwide license under certain patent rights of OUI related to the use of thermo-responsive adjuvant scaffolds, among other rights (the "March 2017 Licensed Technology"), to develop, manufacture, use and commercialize licensed products. The license to patent rights are exclusive in all fields, and the license to know how is non-exclusive. The March 2017 Licensed Technology is sublicensable subject to obtaining OUI’s prior written consent (such consent not to be unreasonably withheld, conditioned or delayed) and inclusion in any sublicense agreement of restrictions on further sub-licensing, among other terms and conditions.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Pursuant to the March 2017 OUI License Agreement, all intellectual property rights resulting from improvements made by us belong to us. OUI retains the right for the University of Oxford, the U.S. National Institutes of Allergy and Infectious Diseases (“NIAID”), the Institute of Macromolecular Chemistry of the Czech Republic (“IMC”) and any person who works or has worked on the March 2017 Licensed Technology to use the March 2017 Licensed Technology and any licensee improvements for non-commercial use. Furthermore, the University of Oxford, NIAID or IMC may publish the March 2017 Licensed Technology and those improvements without our consent provided that they have first given us advance notice and delayed the publication if necessary for us to obtain patent protection. In addition, OUI retains the right to grant academic and research licenses to any third parties under the March 2017 Licensed Technology to encourage basic research for education and limited clinical patient care but may not grant licenses for commercialization of the March 2017 Licensed Technology that is exclusively licensed to us, nor for development or marketing or products or services that are produced or supplied using the March 2017 Licensed Technology.</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Upon execution of the March 2017 OUI License Agreement, we paid OUI a one-time upfront fee of £3,000. We are obligated to pay OUI a low single-digit royalty on net sales of any product or process produced by or using the March 2017 Licensed Technology. If we sublicense the March 2017 Licensed Technology, we will be required to pay OUI a mid-single-digit royalty on any non-royalty sublicensing income. As of March 14, 2025, OUI has not been paid any royalties under the 2017 OUI License Agreement. In the event that the royalties (excluding the royalty on sublicensing income) owed to OUI do not amount to a specified minimum ranging from the low to mid five figures based on the license year in each year following March 2020, the licensee must also pay OUI the difference between the royalty paid and the applicable minimum sum payable. In 2024, we paid £55,000 to OUI, representing the difference between royalties paid and the minimum sum payable. In addition, we are required to pay OUI milestone payments of up to an aggregate of £2.43 million upon the achievement of specified development, regulatory and commercial milestones.</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Unless earlier terminated, the 2017 OUI License Agreement will continue for as long as anything within the definition of the licensed patent remains in effect or 20 years from the date of the agreement. The patent licensed under the March 2017 OUI License Agreement, if granted, is expected to expire in October 2035, without giving effect to any potential patent term extensions or patent term adjustments. Either party may terminate for the uncured breach of the other party. We may terminate the agreement at any time upon six months’ prior written notice. OUI may terminate the agreement upon us filing for bankruptcy or in the event of liquidation or receivership proceedings, or upon 30 days’ prior written notice upon the occurrence of certain other events. Upon termination of the March 2017 OUI License Agreement, we are required to,</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among other things, grant to OUI an irrevocable, transferable, non-exclusive license to develop, make and use any improvements to the March 2017 Licensed Technology which we made prior to the second anniversary of the date of the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Cooperative Research and Development Agreement with NIH (Barinthus Biotherapeutics NA)</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February 2017, Avidea entered into a Cooperative Research and Development Agreement (“CRADA”) with the U.S. National Institutes of Health (“NIH”) to carry out collaborative research for the evaluation of Avidea’s synthetic, polymer-based vaccine technology, “Immunotherapeutic Nanoscaffolds” (IMNs) for infectious disease prevention and cancer treatment in animal models. Under this CRADA Avidea committed to providing scientific staff together with materials for use in experiments to evaluate their performance in various animal models of infectious disease and cancer. Under this CRADA NIH committed to evaluating Avidea materials in animal models and to perform comprehensive immune analysis. No funding was exchanged under this CRADA.</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October 2019, the CRADA was amended (“1st CRADA Amendment”) to expand the scope of the collaborative research to evaluate the therapeutic potential of Avidea’s polymer-based vaccine technology, “Immunotherapeutic Nanoscaffolds” (IMNs), including Star polymers and self-assembling nanoparticles based on amphiphilic polymers (SNAP), in preclinical animal models for cancer, infectious and inflammatory diseases. Under this 1st CRADA Amendment Avidea committed to increase its scientific staffing contribution and to provide funding of $22,500 by October 15, 2019 and a further $62,500 by October 15, 2020.</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2020, the CRADA was further amended (“2nd CRADA Amendment”) to defer payment of Avidea’s October 2020 funding contribution of the 1st CRADA Amendment to April 15, 2021.</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the CRADA was further amended (“3rd CRADA Amendment”) to extend the term of the CRADA by 2 additional years and to defer payment of Avidea’s April 2021 funding contribution of the 2nd CRADA Amendment to October 31, 2021.</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2021, the CRADA was further amended (“4th CRADA Amendment”) to expand the scope of the collaborative research to evaluate the therapeutic potential of Avidea’s polymer-based vaccine technology, “Immunotherapeutic Nanoscaffolds” (IMNs), including Star polymers and self-assembling nanoparticles based on amphiphilic polymers (SNAP), in preclinical animal models for cancer, infectious and inflammatory diseases (e.g., induction of suppression and/or tolerance for treating or preventing allergies, autoimmunity, and transplant rejection).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2022, the CRADA was further amended (“5th CRADA Amendment”) to acknowledge that all of Avidea’s rights, duties and obligations under the CRADA were assumed by Barinthus Bio NA following the acquisition of Avidea by Barinthus Biotherapeutics plc on December 10,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CRADA as amended we own inventions made solely by our staff, and we have an option to enter an exclusive or nonexclusive license to any inventions made solely by NIH staff or made jointly by our staff and NIH under the CRADA (the "CRADA Licensed Technology"). NIH retains rights on behalf of the U.S. Government in the CRADA Licensed Technology as required by statute and NIH policy. The CRADA gave us the option to exclusively license any further inventions made under the CRADA. The CRADA expired on February 23,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License Agreement with NIH (Barinthus Bio NA)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2019, Avidea entered into a license agreement with the NIH for the commercial development of products and processes for the prevention and/or treatment of cancer and infectious diseases within the scope of Licensed Patent rights that had been developed under a CRADA entered into by NIH and Avidea in February 2017 and amended in March 2019, December 2020, May 2021, November 2021 and October 2022. We are co-owners of all the Licensed Patents under this agreement, and we have an option to exclusively license NIH rights in all inventions made under this CRADA.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Avidea’s rights, duties and obligations under the 2019 License Agreement with NIH were assumed by Barinthus Bio NA following the acquisition of Avidea by Barinthus Biotherapeutics plc on December 10, 2021. The 2019 License Agreement with NIH was amended in September 2022 to note Barinthus Bio NA’s rights, duties and obligations and also to include newly filed patents developed under the 2017 CRADA as amended.</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2019 License Agreement with NIH, NIH granted us a worldwide exclusive license under certain patent rights co-owned by us and NIH related to the use of the SNAP-TI and SNAP-CI platforms, among other rights (the "2019 Licensed Technology"), to develop, manufacture, use and commercialize licensed products. The license to patent rights are exclusive in all fields. The 2019 Licensed Technology is sublicensable subject to obtaining NIH’s prior written consent (such consent not to be unreasonably withheld) and inclusion of other customary provisions. NIH retains rights on behalf of the U.S. Government in the 2019 Licensed Technology as required by statute and NIH policy.</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execution of the 2019 License Agreement with NIH, we paid NIH a one-time upfront fee of $20,000. We are obligated to pay NIH a low single-digit royalty on net sales of any product or process produced by or using the 2019 Licensed Technology. If we sublicense the 2019 Licensed Technology, we will be required to pay NIH a low-single-digit royalty on any non-royalty sublicensing income. As of March 23, 2023, NIH has not been paid any royalties under the 2019 License Agreement with NIH. In the event that the royalties (excluding the royalty on sublicensing income) owed to NIH do not amount to a specified minimum ranging from the low to mid five figures based on the license year in each year following September 2019, the licensee must also pay NIH the difference between the royalty paid and the applicable minimum royalty payment. In 2024, we paid $20,000 to NIH, representing the difference between royalties paid and the minimum sum payable. In addition, we are required to pay NIH milestone payments of up to an aggregate of $3.24 million upon the achievement of specified development, regulatory and commercial milestones for each Licensed Product.</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earlier terminated, the 2019 License Agreement with NIH will continue until expiry of the last to expire Licensed Patent. 5 patent families licensed under the 2019 License Agreement with NIH that cover the SNAP-TI and SNAP-CI platforms, if granted, are expected to expire in April 2038, in May 2039, in October 2039, in February 2042 and in June 2042, without giving effect to any potential patent term extensions or patent term adjustments. Two patent families licensed under the 2019 License Agreement with NIH that cover the syntholytic platform, if granted, are expected to expire in April 2040 and in October 2041, without giving effect to any potential patent term extensions or patent term adjustments. Either party may terminate for the uncured breach of the other party. We may terminate the agreement at any time upon 60 days’ prior written notice. NIH may terminate the agreement upon the occurrence of certain events.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Research Collaboration Agreement (“RCA”) with Institute of Macromolecular Chemistry, Prague (Barinthus Biotherapeutics NA)</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September 2017, Avidea entered into a RCA with the IMC to carry out collaborative research for the development of polymer-based immunotherapies for cancer treatment, HIV prevention and recombinant protein delivery. Under this RCA Avidea committed to providing bioactive molecules and to developing and deploying animal models for evaluating immunotherapies. Under this RCA IMC committed to synthesizing various polymers and bioactive molecules and to linking such polymers and bioactive molecules for use in experiments to characterize their physicochemical properties. No funding was exchanged under this RCA. All of Avidea’s rights, duties and obligations under the 2017 RCA with IMC were assumed by Barinthus Bio NA following the acquisition of Avidea by Barinthus Biotherapeutics plc on December 10, 2021.</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RCA we own inventions made solely by our staff, and we have an exclusive option to enter an exclusive or nonexclusive license to any inventions made solely by IMC staff or made jointly by our staff and IMC under the RCA. We have secured exclusive rights in two patent families that we co-own with IMC under the 2022 License Agreement with IMC as described below. We have an exclusive option to exclusively license any further inventions made under the RCA. The RCA expired on September 18, 2022. Our rights in inventions made under the RCA survive expiry of the RCA.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License Agreement with IMC (Barinthus Bio NA)</w:t>
      </w:r>
    </w:p>
    <w:p>
      <w:pPr>
        <w:spacing w:after="0" w:line="2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April 2022, we entered into an exclusive license agreement with the IMC for the exploitation, development and commercialization of technologies and products within the scope of Licensed Patent rights that had been developed under a RCA entered into by IMC and Avidea in September 2017. We are co-owners of all the Licensed Patents under this agreement, and we have an option to exclusively license IMC rights in all inventions made under this RCA.</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2022 License Agreement with IMC, IMC granted us a worldwide, exclusive license under certain patent rights co-owned by us and IMC related to the use of polymer-based immunotherapies, among other rights (the "2022 Licensed Technology"), to develop, manufacture, use and commercialize licensed products. The license to patent rights is exclusive in all fields. The 2022 Licensed Technology is sublicensable.</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obligated to pay IMC a low single-digit royalty on net sales of any product or process produced by or using the 2022 Licensed Technology. If we sublicense the 2022 Licensed Technology, we will be required to pay IMC a low-single-digit royalty on any non-royalty sublicensing income. As of March 14, 2025, IMC has not been paid any royalties under the 2022 License Agreement with IMC. In addition, we are required to pay IMC milestone payments of up to an aggregate of $820,000 upon the achievement of specified development, regulatory and commercial milestones for each Licensed Product.</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Unless earlier terminated, the 2022 License Agreement with IMC will continue until expiry of the last valid claim of the Licensed Patents. One patent family licensed under the 2022 License Agreement with IMC that covers the SNAP-TI and SNAP-CI platforms, if granted, is expected to expire in September 2041, without giving effect to any potential patent term extensions or patent term adjustments. One patent family licensed under the 2022 License Agreement with IMC that covers the syntholytic platform, if granted, is expected to expire in April 2040, without giving effect to any potential patent term extensions or patent term adjustments. Either party may terminate for the uncured breach or insolvency of the other party. We may terminate the agreement at any time upon 3 months’ prior written notice.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License Agreement with OUI</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January 2019, we entered into an additional license agreement with OUI (the "2019 OUI License Agreement"). Pursuant to the 2019 OUI License Agreement, OUI granted us a worldwide, license under an additional patent application of OUI related to the rapid production of recombinant adenovirus constructs, to be used as personalized cancer vaccines or emerging pathogen vaccines, and related confidential know-how (the "2019 OUI Licensed Technology") to develop, manufacture, use and commercialize licensed products.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execution of the 2019 OUI License Agreement, we paid OUI a nominal upfront fee. The 2019 OUI License set out various royalty payments due in certain circumstances and a minimum sum that would be payable based on the license year in each year following January 2022. In 2024, we paid £100,000 to OUI, representing the difference between royalties paid and the minimum sum payable.</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2024, we provided notice of termination of the 2019 OUI License Agreement to OUI. Termination took effect on December 26, 2024. No improvements had been made to this technology prior to the second anniversary of the agreement, and consequently no license was granted to OUI on termination. No further payments are due to OUI under or in relation to the 2019 OUI License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License Agreement with OUI and Oxford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2018, we entered into a license agreement (the "2018 License Agreement") with The Chancellor, Masters and Scholars of the University of Oxford, or Oxford, and OUI. Pursuant to the 2016 OUI License Agreement, OUI had granted us certain exclusive rights related to the Licensed Technology, as defined in the 2016 OUI License Agreement, in the field of diagnosis, prevention and treatment of MERS. The 2018 License Agreement enables Oxford to grant a further sublicense to CEPI in the field of MERS (the "Field") and to enable Oxford to conduct related activities.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2018 License Agreement, we agreed to grant to Oxford a fully-paid-up, worldwide, non- exclusive license under the Licensed Technology, as defined in the 2016 OUI License Agreement, and developments and improvements to such technology controlled by us during the term of the 2016 OUI License Agreement (the "MERS Technology") in the Field solely for the purpose of enabling Oxford to develop any product or process which uses or is within the scope of the MERS Technology ("Licensed Product"). This license includes the right to generate investigational stockpiles, but excludes any commercial use or sale of Licensed Products and is sublicensable by Oxford solely to its collaborators under the framework agreement entered into on or about the same date as the 2018 License Agreement between Oxford, CEPI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Janssen Vaccines &amp; Prevention B.V. Furthermore, we agreed that the rights retained by OUI under the 2016 OUI License Agreement include the right to allow Oxford to use the MERS Technology to carry out research activities (including in collaboration with other parties) up to and including the performance of Phase 1/2 clinical trials and related activities, and the generation of Licensed Product for research use (but excluding any commercial use or sale of such Licensed Product). We have been informed by Oxford that Janssen Vaccines &amp; Prevention B.V. is no longer a party to that framework agreement.</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agreed to grant to Oxford a fully-paid-up, worldwide, non-exclusive license under the MERS Technology in the Field solely for the purpose of enabling Oxford to grant a sublicense to CEPI in order to address (i) circumstances in which CEPI determines there to be a heightened need for the Licensed Product and that steps should be taken to prepare for such need; and/or (ii) material increases in the number of cases of people infected with MERS in particular geographical areas that are declared a public health emergency. Oxford is permitted to grant CEPI a fully-paid-up, worldwide, non-exclusive sublicense under the MERS Technology to develop, manufacture and commercialize the Licensed Product in the Field anywhere in the world, provided that all end users (i) are in a relevant affected territory, or (ii) are healthcare workers going to an affected territory under the direction of one or more governments or recognized not-for-profit organizations, or Public Sector Agencies, in order to help address a public healthcare issue. However, the sublicense must exclude the right for CEPI to (i) apply for or obtain any marketing approval or conduct any post-marketing activities, (ii) sell Licensed Product other than to Public Sector Agencies on a “cost plus” basis, where “cost plus” means the cost of manufacturing and supply plus a margin of 10% percent on such cost, or (iii) further sublicense its rights other than to its affiliates and/or to Public Sector Agencies and their appointees for the sole purpose of accelerating epidemic preparedness for public health applications.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2018 License Agreement, OUI agreed that, notwithstanding our payment obligations under the 2016 OUI License Agreement, we are not obligated to make any payment to OUI in connection with the 2018 License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 2024, following the entry by Barinthus Biotherapeutics (U.K.) Limited and Oxford into a funding agreement with CEPI (described below), Oxford, OUI and Barinthus Biotherapeutics (U.K.) Limited entered into a termination agreement, pursuant to which the 2018 License Agreement was terminated other than obligations that have accrued prior to the termination or were expressly intended to survive, including certain confidentiality obligations.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OUI License Agreement Amendment</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April 2020, we entered into an amendment, assignment and revenue share agreement (the "OUI License Agreement Amendment") with OUI to amend the 2016 OUI License Agreement. Pursuant to the 2016 OUI License Agreement and among other rights and obligations, OUI granted to us a non-exclusive license to certain patent applications relating to its ChAdOx1 and ChAdOx2 vaccine vectors and the adenovirus long promoter for use in certain fields, or the Field, including SARS-CoV2, which is the virus known to cause COVID 19. The OUI License Agreement Amendment was entered into to enable a single exclusive license agreement for a COVID 19 vaccine co-developed by us and the University of Oxford’s Jenner Institute to be negotiated with a suitable pharmaceutical partner.</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Under the OUI License Agreement Amendment, we agreed to exclude SARS-CoV2 from the Field and to cease use of the ChAdOx1 vector, ChAdOx2 vector and the adenovirus long promoter in SARS-CoV2. In addition, we assigned to OUI our rights to a jointly owned U.K. patent application relating to the composition of matter related to a ChAdOx1 vector-based or a ChAdOx2 vector-based vaccine to prevent COVID 19 (the "Assigned Patent Application"), as well as certain other intellectual property rights related to any ChAdOx1 vector-based or ChAdOx2 vector-based COVID 19 vaccine covered by the Assigned Patent Application and its manufacture, including rights to the variations, improvements and modifications thereof, whether existing at or arising after the date of the OUI License Agreement Amendment. In consideration of the rights granted by us, OUI agreed to pay us approximately 24% of payments, including royalties and milestones, received by OUI in connection with the commercialization of any ChAdOx1 vector-based or ChAdOx2 vector-based vaccine in the field of SARS-CoV2 covered by or disclosed in the Assigned Patent Application. The last patent under the OUI License Agreement Amendment, which is owned by OUI, if granted, is expected to expire in March 2041, without giving effect to any potential patent term extensions or patent term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OUI’s Agreement with AstraZeneca</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OUI has entered into an exclusive research collaboration and worldwide license agreement (the "AstraZeneca License Agreement") with AstraZeneca. The following description of the impact of AstraZeneca License Agreement with respect to our rights under the OUI License Agreement Amendment is based solely on an extract of the AstraZeneca License Agreement provided by the parties to that agreement. We are not a party to the AstraZeneca License Agreement and do not have access to a copy of that agreement to verify the accuracy of such extract. In addition, no party to the AstraZeneca License Agreement has confirmed that there are no material terms in that agreement that are not included in the description below that could adversely impact the economic and other terms of the AstraZeneca License Agreement described below. Moreover, there can be no assurance that the AstraZeneca License Agreement is an enforceable agreement, that the parties thereto will comply with their obligations under that agreement (including any obligations of AstraZeneca to make milestone or royalty payments to OUI), or that the terms of that agreement (including royalty rates and other economic terms) will not be modified by the parties in the future.</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AstraZeneca License Agreement allows AstraZeneca to pursue, among other things, the commercialization of a vaccine product candidate for the prevention of COVID 19 containing one or more of the ChAdOx1 or ChAdOx2 vectors or their derivatives. AstraZeneca announced that as of January 13, 2022, the vaccine had been granted a conditional marketing authorization or emergency use in more than 90 countries. It also had Emergency Use Listing from the World Health Organization, which accelerated the pathway to access in up to 144 countries through the COVAX Facility. In May 2024, AstraZeneca withdrew the marketing authorization for Vaxzevria within Europe, citing decline in demand as the reason for the decision.</w:t>
      </w:r>
    </w:p>
    <w:p>
      <w:pPr>
        <w:spacing w:after="0" w:line="1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Pursuant to the OUI License Agreement Amendment, we received $2.4 million in July 2020 as our share of the upfront fee paid by AstraZeneca. We were also entitled to receive a share of certain regulatory and sales milestones and royalties on net sales of Vaxzevria, as well as a portion of any sublicensing income payable by AstraZeneca. Our share of the royalties on net sales of Vaxzevria is approximately 1.4%.</w:t>
      </w:r>
    </w:p>
    <w:p>
      <w:pPr>
        <w:spacing w:after="0" w:line="1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understanding is that we were not entitled to receive any royalties or payments from sub-licensees from the commercialization of Vaxzevria until after the pandemic period, which was defined as a period that would end on July 1, 2021 (or such later date when AstraZeneca, in good faith, determines that the COVID-19 pandemic is over). However, our understanding was that we were entitled to receive our share of any regulatory milestone payments during the pandemic period. The royalty term for net sales of Vaxzevria commenced in 2022 and continues, on a country-by-country basis, until the later of (i) the date upon which the vaccine is no longer subject to patent protection in such country, (ii) expiration of regulatory exclusivity for the vaccine in such country or</w:t>
      </w:r>
    </w:p>
    <w:p>
      <w:pPr>
        <w:spacing w:after="0" w:line="3" w:lineRule="exact"/>
        <w:rPr>
          <w:sz w:val="20"/>
          <w:szCs w:val="20"/>
          <w:color w:val="auto"/>
        </w:rPr>
      </w:pPr>
    </w:p>
    <w:p>
      <w:pPr>
        <w:jc w:val="both"/>
        <w:ind w:firstLine="8"/>
        <w:spacing w:after="0" w:line="255" w:lineRule="auto"/>
        <w:tabs>
          <w:tab w:leader="none" w:pos="3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years from the first commercial sale of the vaccine in such country. In May 2024, AstraZeneca announced the initiation of withdrawal of marketing authorization for Vaxzevria in Europe as demand had declined, and therefore we do not expect to receive any further payments relating to future commercial sales of Vaxzevria and, if such payments are due, that we will be notified of such payments in a timely manner.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ChAdOx Zoster Project Agreement (under the CanSino Agreement)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CanSino Agreement, we entered into a project agreement in September 2018 with CanSino (the "ChAdOx Zoster Project Agreement") with the goal of developing a Zoster vaccine to become a competitor to Shingrix. Under the ChAdOx Zoster Project Agreement, we are responsible for funding and undertaking various development tasks, including (subject to availability of funding) conducting a Phase 1 clinical trial in the U.K. CanSino was responsible for funding and undertaking various development tasks, including conducting a Phase 1 clinical trial in China. The ChAdOx Zoster Project Agreement was amended on August 31, 2023 following the parties’ agreement that the Phase 1 clinical trial to be conducted by CanSino as Sponsor should be carried out in Canada (rather than China). It was also agreed that the parties would each be responsible for 50% of the budgeted cost of the Phase 1 clinical trial (rather than each being responsible for funding or securing funding for any Phase 1 clinical trial in its respective country). The amendment further expanded the scope of the ChAdOx Zoster Project Agreement to cover potential administration of the product by inhalation.</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parties’ rights and responsibilities in relation to Phase 2 and 3 clinical trials are pending, subject to further negotiation. In addition, the parties agreed to use all reasonable efforts to enter into a separate supply agreement pursuant to which CanSino will manufacture all product necessary for clinical trials and commercialization under the project agreement. If the parties cannot agree upon such supply agreement, they must follow a specified dispute resolution process set forth in the CanSino Agreement. For all products manufactured by CanSino under a supply agreement that we wish to sell in the Barinthus Bio Territory, we have agreed to pay the costs incurred by CanSino to manufacture the products plus 20% of such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received an upfront payment of £50,000 under this project agreement. We will also receive milestone payments of up to an aggregate of £1.125 million based on successful conduct of clinical trials and commercialization of the product. We will receive mid-single-digit royalties on the net sales of the product by or on behalf of CanSino or its sub-licensees in the CanSino Territory. If CanSino sublicense their rights in the product to a non-affiliate third party, we are also entitled to receive a mid-teens royalty on the transaction value (excluding royalties). We must pay to CanSino mid-single-digit royalties on the net sales of the product by or on behalf of us or our sub-licensees in the Barinthus Bio Territory. A party will benefit from a reduction of its royalties (in the low single digits) where it requires a license from a third party to sell the product in its territory.</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Unless earlier terminated, the term of the ChAdOx Zoster Project Agreement will expire upon the later of expiry of all registered patents in the New IP developed under the project, or ten years from first commercial sale of the product. The last patent under the ChAdOx Zoster Project Agreement, if granted, is expected to expire in November 2039, without giving effect to any potential patent term extensions or patent term adjustments. A party may terminate the ChAdOx Zoster Project Agreement by written notice if the other party unreasonably delays the performance of its obligations. Upon the expiration of the term, we agreed to grant CanSino a royalty-free, perpetual, sub-licensable, non-exclusive license to use our Background IPR and our New IPR used to develop, incorporated in, or referenced in any products that are the subject of the project agreement to the extent necessary for CanSino to undertake research, develop, manufacture and commercialize such products in the CanSino Territory. Pursuant to the CanSino Agreement, upon the expiration or earlier termination of the project agreement, except for termination by CanSino for our breach, CanSino agreed to grant us a royalty-free, perpetual, sub-licensable, non-exclusive license to use their Background IPR and New IPR used to develop, incorporated in, or referenced in any products that are the subject of the project agreement to the extent necessary for us to undertake research, develop, manufacture and commercialize such products in the Barinthus Bio Territory. Unless we terminate the project agreement early for CanSino’s breach, upon early termination after completion of a Phase 1 trial, we will continue to pay CanSino a low single-digit royalty on net sales of the product by us or our sub-licensees in the Barinthus Bio Territory, for the remainder of the Term. If such early termination is after completion of a Phase 2 trial, the royalty we must pay rises to mid-single digit.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and Option Agreement with CRUK</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2019, Vaccitech Oncology Limited ("VOLT"), entered into a clinical trial and option agreement (the "Clinical Trial Agreement") with CRUK and CRUK’s subsidiary, Cancer Research Technology Limited ("CRT"), relating to the conduct of a Phase 1/2a clinical trial of VOLT’s VTP 600 immunotherapy product in patients with non-small cell lung cancer, or the Clinical Trial. The trial opened in the first quarter of 2022 across multiple clinical sites in the U.K.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VOLT is our oncology focused strategic collaboration with the Ludwig Institute for Cancer Research, an international non-profit organization that conducts innovative cancer research and is looking to enable the clinical development of new treatments that induce and harness CD8+ T cells of the immune system to fight cancer. VOLT has a license to our proprietary CD8+ T cell induction platform and research by Benoit Van den Eynde’s group at the Ludwig Oxford Branch.</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Clinical Trial Agreement, CRUK is responsible for, among other things, designing, preparing, carrying out and sponsoring the Clinical Trial, at its cost, and VOLT has granted to CRUK a license under its intellectual property to enable CRUK to perform such activities. VOLT is responsible for supplying agreed quantities of its VTP 600 immunotherapy product. VOLT retains the right to continue the development of the product during the Clinical Trial, provided that the parties have first agreed appropriate terms for sharing of safety data. CRUK owns all results, including all intellectual property therein, generated in the performance of the Clinical Trial. Upon the completion of the Clinical Trial, VOLT has the option to obtain a license to use such results (the "VTP 600 License"). The terms of the VTP 600 License have been pre-agreed and are set out in the Clinical Trial Agreement.</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VOLT exercises the option to take the VTP 600 License, CRT agrees to grant VOLT an exclusive license under the results of the Clinical Trial that exclusively relate to the VTP 600 immunotherapy product (the "Exclusive Results") and a non-exclusive license under any results that are not Exclusive Results, in each case, to develop and commercialize any product which makes use of the results of the Clinical Trial in an application for regulatory authorization, contains the relevant active ingredients, or is covered by the patent application PCT/EP2019/070555 (the "Product"). The rights under the VTP 600 License are sublicensable (except to a tobacco company). The exclusive rights granted under the VTP 600 License are subject to the right of certain third-party contributors associated with the Clinical Trial, CRUK and scientists funded or employed by CRUK to use the Exclusive Results for non-commercial scientific or clinical research purposes and to publish the Exclusive Results and the results of non-commercial research performed using the Exclusive Results (subject to the publication process set out in the Clinical Trial Agreement). Upon exercise of the option, VOLT is required to pay 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one-time upfront fee of an amount in pounds Sterling in the high six-digits. VOLT is also obligated to make future milestone payments upon the achievement of development, regulatory and commercial milestones, with an aggregate total value of £40.8 million. VOLT is required to pay to CRT a low single-digit royalty on net sales of Products sold by VOLT or its sublicensees. If VOLT sublicenses the right to sell Products, VOLT will also be required to pay to CRT a royalty of between 5% and 20% on non-royalty amounts due to VOLT from a sublicensee, with the precise rate depending on the stage in development at which such sublicense was granted. VOLT is obligated to use commercially reasonable efforts to meet certain development, regulatory and commercialization obligations, including commencement of a Phase 2 clinical trial of a Product in an oncology indication before the second anniversary of the date of the VTP 600 License. CRT may terminate the VTP 600 License in respect of any given Product if VOLT is not actively developing it or fails to launch it after receiving marketing authorization. CRT may also terminate the VTP 600 License as a whole if no Product is being actively developed or commercialized.</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VOLT does not exercise the option to take the VTP 600 License, or if the VTP 600 License or Clinical Trial Agreement is subsequently terminated by CRUK (as described below) VOLT will enter into a step-in agreement with CRT (the "Step-In Agreement"). Pursuant to the Step-In Agreement, the terms of which have been pre-agreed and are set out in the Clinical Trial Agreement, VOLT will assign to CRT certain know- how and materials owned or controlled by VOLT. In addition, we agreed to grant to CRT an exclusive sub-license to a third-party patent family relating to viral vectors and methods for the prevention or treatment of cancer and non-exclusive sub-licenses to the HEK293 TetR Cell Line as well as certain third party patents and patent applications relating to certain adenovirus vectors and poxvirus expression systems, in each case, to develop and commercialize the Products on a revenue sharing basis. VOLT will receive a share of between 55% and 80% of the net revenue received by CRT for commercialization of the Product, with the precise share depending on the stage in development at which such Step-In Agreement is entered into.</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 of the Clinical Trial Agreement continues until it is otherwise terminated by the parties or, if the option is not exercised, upon the execution of the Step-In Agreement. The Clinical Trial Agreement can be terminated by either party upon an insolvency event in respect of the other party, for material breach of the other party, or upon a change of control of the other party (if the new controlling entity generates its revenue from the sale of tobacco products). If the Clinical Trial Agreement is terminated by CRUK for such causes prior to VOLT’s exercise of its option, VOLT will reimburse CRUK for all costs incurred or committed in connection with the Clinical Trial. In addition, CRUK may terminate the Clinical Trial Agreement at any time before the last cycle of treatment under the Clinical Trial is complete, in which case, upon VOLT’s request, CRT will grant the VTP 600 License to VOLT with appropriately reduced payments, to reflect the stage of the Clinical Trial at the date of termination. If the Clinical Trial Agreement is terminated for any reason after VOLT’s exercise of its option, VOLT may for three months following such termination continue to manufacture Products to the extent necessary to satisfy orders for Products accepted before such termination, and sell, use or otherwise dispose of Product inventory.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VOLT License Agreement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2018, we entered into a license agreement (the "VOLT License Agreement") with VOLT. Pursuant to the VOLT License Agreement, we granted to VOLT a non-exclusive worldwide license under certain patent rights, know-how and materials related to the use of ChAdOx1, ChAdOx2, adenoviral and MVA promoters, and the TR293 Tet-Repressed Cell Line (the "VOLT Licensed Technology"), to manufacture, use and commercialize any product which uses or is within the scope of the VOLT Licensed Technology (the "VOLT Licensed Product"). In part, the rights granted are a sublicense of rights granted to us by OUI under the 2016 OUI License Agreement. The license is sublicensable subject to obtaining OUI’s prior consent with respect to sublicensing of any of the VOLT Licensed Technology licensed to us by OUI (with such consent not to be unreasonably withheld).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VOLT License Agreement, we are required to make available to VOLT such further know- how relating to the manufacture of VOLT Licensed Products as we consider to be reasonably necessary or useful. We are also required to notify VOLT on a confidential basis of any improvements to the VOLT Licensed Technology that we develop or acquire rights in, and such improvements will be included within the scope of the license.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earlier terminated, the VOLT License Agreement will continue until the later of the expiration of all patents included in the VOLT Licensed Technology or the know-how included in the VOLT Licensed Technology ceasing to be secret and substantial. The last patent under the VOLT License Agreement, if granted, is expected to expire in July 2039, without giving effect to any potential patent term extensions or patent term adjustments. Either party may terminate for the uncured material breach or insolvency of the other party. In the event of termination of the 2016 OUI License Agreement, we may terminate the VOLT License Agreement in respect of any of the VOLT Licensed Technology that is licensed to us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OUI, and VOLT and OUI shall enter into a direct license containing the same obligations and liabilities as set forth in the VOLT License Agreement.</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VOLT License Agreement was subsequently amended in July 2019 by two separate agreements for the research, development, and commercialization of cancer immunotherapy targeting MAGE-A3 and NY-ESO-1 for the treatment of various forms of cancer under the VOLT Licensed Technology. Such amendments further elaborated on the parties’ respective rights and obligations, including with respect to VOLT’s payment obligations to 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CEPI Funding Agreement</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December 20, 2023, we, the Chancellors, Masters and Scholars of the University of Oxford (“Oxford,” together with us, the “Partners”) and CEPI entered into a Funding Agreement (the “Funding Agreement”) pursuant to which CEPI will provide funding of up to $34.8 million to us to advance the development of VTP-500, our vaccine candidate against MERS (such development activities, the “Project”). In December 2023, VTP-500 received PRIority MEdicines (“PRIME”) designation by the EMA. Under the Funding Agreement, the Partners have agreed to use reasonable endeavors to achieve the deliverables, milestones and timelines for the vaccine development activities under discrete “Work Packages” mutually agreed to by the parties from time to time.</w:t>
      </w:r>
    </w:p>
    <w:p>
      <w:pPr>
        <w:spacing w:after="0" w:line="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initial Work Package, we have agreed, subject to the achievement of certain milestones, including a successful Phase 2 clinical trial of VTP-500, that it will manufacture or have manufactured an investigational ready reserve of 100,000 doses of VTP-500 to be rapidly deployed for a clinical trial in the event of a substantial outbreak of MERS. During the Term (as defined below), we have also agreed to certain collaboration obligations in the event of a regional or national public health emergency or preparation need for an impending outbreak of MERS.</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Funding Agreement, we will retain ownership of its intellectual property owned or controlled throughout the term of the Funding Agreement, subject to the rights of CEPI under the Funding Agreement. We will also own any intellectual property invented by or on behalf of us in connection with the activities contemplated by the Funding Agreement, as well as all tangible materials and results made or developed by or on behalf of us in connection with the Funding Agreement.</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amounts funded by CEPI to the Partners under the Funding Agreement in accordance with each Work Package will be paid in tranches covering six-month periods based on mutually agreed project-based budgets and subject to certain conditions as set forth in the Funding Agreement including the achievement of identified milestones.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Funding Agreement, we have agreed to pay CEPI on a country-by-country basis increasing mid-single digit percentage royalties of net sales and net income with respect to future cash sales of VTP-500, less certain deductions, for a period starting on December 20, 2023 (“Effective Date”) and ending the later of: (i) the expiration of the last valid patent claim included in intellectual property developed under the Project covering VTP-500 in such country, (ii) the expiration of Regulatory Exclusivity (as defined in the Funding Agreement) for VTP-500 in such country, and (iii) the tenth (10th) anniversary of the first commercial sale of VTP-500 (the “Royalty Term”). We shall also pay CEPI a mid-double digit percentage of net revenue earned on VTP-500 until CEPI has received payments from us under the Funding Agreement equaling the total amount of funding paid by CEPI to us and a low double-digit percentage of such net revenue thereafter. Sales for the benefit of end users in specified low and middle income countries (“LMICs”) and upper and middle income countries (“UMICs”) are excluded from the calculations of net sales and net revenue. Sales of product for the benefit of end users in LMICs and UMICs are subject to tiered discounted pricing requirements under the Funding Agreement. We are further required to pay a mid-double digit percentage of any proceeds earned on any priority review voucher related to VTP-500 during the Royalty Period.</w:t>
      </w:r>
    </w:p>
    <w:p>
      <w:pPr>
        <w:spacing w:after="0" w:line="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Funding Agreement will commence on the Effective Date and will continue until the fifth (5th) anniversary of the Effective Date, unless the parties agree to extend the Funding Agreement for a period of up to twenty-four (24) months unless all activities under the Funding Agreement have been completed (“Term”). Either Partner or CEPI can terminate the Funding Agreement following an insolvency event or material breach by the other party that is not cured within forty-five (45) business days, in the event of termination by a Partner, or thirty (30) business days, in the event of termination by CEPI. Pursuant to the Funding Agreement, CEPI also has certain discretionary termination rights, including if CEPI determines that we are involved in material safety, regulatory, scientific misconduct, or ethical issues or is no longer able to fulfill its obligations under the Funding Agreement.</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Neither CEPI, us nor Oxford may assign its rights or obligations under the Funding Agreement without the other parties’ consent; provided that CEPI may do so to an organization of equivalent charitable mission and technical capabilities.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product candidates, technology and know-how, to defend and enforce our intellectual property rights, in particular, our patent rights, to preserve the confidentiality of our know-how and trade secrets, and to operate without infringing the proprietary rights of others. We seek to protect our product candidates and technologies by, among other methods, filing U.S. and foreign patent applications related to our proprietary technology, inventions and improvements that are important to the development of our business. We also rely on trade secrets, know-how, continuing technological innovation and in-licensing of third-party intellectual property to develop and maintain our proprietary position. We, or our licensors, file patent applications directed to our key product candidates in an effort to establish intellectual property positions to protect our product candidates as well as uses of our product candidates for the prevention and/or treatment of diseases.</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14, 2025, we control a patent portfolio comprising in-licensed and co-owned patent families relating to our key SNAP-TI, SNAP-CI and syntholytic technology platforms and product candidates, including 10 pending U.S. patent applications, six issued foreign patents, 50 pending foreign patent applications and two pending PCT patent applications. We also own a patent family relating to our novel prime-boost regimens that includes one pending U.S. patent application and one pending foreign patent application together with one pending Patent Cooperation Treaty ("PCT") patent application relating to our novel viral vectored products. In addition, we have in-licensed certain patent families relating to our viral vectored technology platforms and product candidates, including 13 issued U.S. patents, six pending U.S. patent applications, at least 30 issued foreign patents and at least 60 pending foreign patent applications.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Vector Technology Platforms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ChAdOx 1 Expression Vector</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March 14, 2025, with regard to our ChAdOx1 expression vector, we in-license from OUI a patent family that includes three issued U.S. patents with claims directed to the composition of matter of the ChAdOx1 adenovirus vector and methods of using such a vector, and 9 issued foreign patents granted in such jurisdictions as Australia, Canada, China, Europe (validated in 12 countries including Denmark, France, Germany, Italy, Spain, and Great Britain), India, Japan, Singapore and South Africa. A second granted European patent with further claims directed to the composition of matter of ChAdOx adenovirus vector is validated in France, Germany and Great Britain. This patent family also includes a pending U.S. patent application. The granted patents and pending applications, if issued, are expected to expire in 2032, without giving effect to any potential patent term extensions and patent term adjustments and assuming payment of all appropriate maintenance, renewal, annuity or other governmental fees.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Adenoviral Promoter</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of our ChAdOx1 vectors incorporate a proprietary adenoviral promoter, which is covered by a patent family that we in-license from OUI. As of March 14, 2025, the patent family includes two issued U.S. patents and one granted patent in Europe (validated in 7 countries including France, Germany, Italy, Spain, and Great Britain). The patents in this family are expected to expire in 2028, without giving effect to any potential patent term extensions and patent term adjustments and assuming payment of all appropriate maintenance, renewal, annuity or other governmental fees.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MVA-poxvirus Promoter</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MVA vector incorporates a proprietary poxvirus promoter ("MVA-poxvirus promoter") which is covered by a patent family that we in-license from OUI. As of March 14, 2025, the patent family includes two issued U.S. patents and one granted European patent (validated in 9 countries including Denmark, France, Germany, Italy, Spain, and Great Britain) that are expected to expire in 2031, without giving effect to any potential patent term extensions and patent term adjustments and assuming payment of all appropriate maintenance, renewal, annuity or other governmental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Synthetic SNAP platform (SNAP-TI</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xml:space="preserve"> and SNAP-CI</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proprietary synthetic SNAP platform is covered by a patent portfolio that includes one patent family we own, eight patent families that we co-own and one patent family that we in-license from OUI. As of March 14, 2025, we in-license a patent family from OUI that includes one pending U.S. patent application and one pending European patent application that are expected to expire in 2035, without giving effect to any potential patent term extensions and patent term adjustments and assuming payment of all appropriate maintenance, renewal, annuity or other governmental fees. As of March 14, 2025, we own a patent family that includes four issued foreign patents that are expected to expire in 2030, without giving effect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any potential patent term extensions and patent term adjustments and assuming payment of all appropriate maintenance, renewal, annuity or other governmental fees. As of March 14, 2025, we co-own a patent family that includes two issued foreign patents, one pending U.S. patent application, one pending European patent application and at least 10 pending foreign patent applications that are expected to expire in 2038, without giving effect to any potential patent term extensions and patent term adjustments and assuming payment of all appropriate maintenance, renewal, annuity or other governmental fees. We have exclusively licensed rights in this patent family, which resulted from work carried out under a CRADA with the NIH. As of March 14, 2025, we co-own a patent family that includes one pending U.S. patent application, one pending European patent application and a further 5 pending foreign patent applications that are expected to expire in 2039, without giving effect to any potential patent term extensions and patent term adjustments and assuming payment of all appropriate maintenance, renewal, annuity or other governmental fees. We have exclusively licensed rights in this patent family, which resulted from work carried out under a CRADA with the NIH. As of March 14, 2025, we co-own a patent family that includes one pending U.S. patent application, one pending European patent application and a further 2 pending foreign patent applications that are expected to expire in 2039,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 As of March 14, 2025, we co-own a patent family that includes one pending U.S. patent application, one pending European patent application and a further nine pending foreign patent applications that are expected to expire in 2042,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 As of March 14, 2025, we co-own a patent family that includes one pending U.S. patent application, one pending European patent application and a further three pending foreign patent applications that are expected to expire in 2042,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 As of March 14, 2025, we co-own a patent family that includes one pending U.S. patent application, one pending European patent application and a further two pending foreign patent applications that are expected to expire in 2041, without giving effect to any potential patent term extensions and patent term adjustments and assuming payment of all appropriate maintenance, renewal, annuity or other governmental fees. We have licensed exclusive rights in this patent family, which resulted from work carried out under a RCA with the IMC. As of March 14, 2025, we co-own a patent family that includes one pending U.S. patent application and one pending international PCT patent application that are expected to expire in 2043,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 As of March 14, 2025, we co-own a patent family that includes one pending international PCT patent application that is expected to expire in 2043,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Syntholytic</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proprietary Syntholytic technology is covered by a patent portfolio that includes one patent family we own, 2 patent families that we co-own and one patent family that we in-license from OUI. As of March 14, 2025, we in-license a patent family from OUI that includes one pending U.S. patent application and one pending European patent application that are expected to expire in 2035, without giving effect to any potential patent term extensions and patent term adjustments and assuming payment of all appropriate maintenance, renewal, annuity or other governmental fees. As of March 14, 2025, we own a patent family that includes four issued foreign patents that are expected to expire in 2030, without giving effect to any potential patent term extensions and patent term adjustments and assuming payment of all appropriate maintenance, renewal, annuity or other governmental fees. As of March 14, 2025, we co-own a patent family that includes one pending U.S. patent application, one pending European patent application and a further seven pending foreign patent applications that are expected to expire in 2040, without giving effect to any potential patent term extensions and patent term adjustments and assuming payment of all appropriate maintenance, renewal, annuity or other governmental fees. We have exclusive rights in this patent family, which resulted from work carried out under a CRADA with the NIH, and we have licensed exclusive rights in this patent family, which resulted from work carried out under a RCA with the IMC, Prague. As of March 14, 2025, we co-own a patent family that includes one pending U.S. patent application, one pending European patent application and a further two pending foreign patent applications that are expected to expire in 2041, without giving effect to any potential patent term extensions and patent term adjustments and assuming payment of all appropriate maintenance, renewal, annuity or other governmental fees. We have licensed exclusive rights in this patent family, which resulted from work carried out under a RCA with the IMC.</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VTP-200 product candidate comprises a ChAdOx1HPV vector and a MVA-HPV vector, where each vector incorporates an engineered HPV antigen. We in-license from OUI a patent family directed to the HPV antigen with claims directed to a nucleic acid encoding a polypeptide comprising certain peptide sequences based on certain HPV proteins. As of March 14, 2025, the patent family includes two issued U.S. patents, three issued foreign patents and seven foreign patent applications pending in jurisdictions including Europe, Australia, Canada, and Japan. If patents were to issue from such patent applications, they would be expected to expire in 2038, without giving effect to any potential patent term extensions or patent term adjustments and assuming payment of all appropriate maintenance, renewal, annuity or other governmental fees. In addition, we also rely on patent protection afforded by the patent family directed to the ChAdOx1 expression vector, which is expected to expire in 2032, and the patent family directed to our MVA-poxvirus promoter, which is expected to expire in 2031, as discussed above.</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VTP-300 product candidate comprises a ChAdOx1-HBV vector and a MVA-HBV vector, where each vector incorporates an engineered HBV antigen. As of March 14, 2025, we in-license from OUI a patent family with claims directed to a multi-HBV immunogen viral vector vaccine that includes five issued foreign patents, one pending U.S. patent application and 12 foreign patent applications pending in jurisdictions including Europe, Australia, Canada and China. If patents were to issue from such patent applications, they would be expected to expire in 2038, without giving effect to any potential patent term extensions or patent term adjustments and assuming payment of all appropriate maintenance, renewal, annuity or other governmental fees. In addition, we also rely on patent protection afforded by the patent family directed to the ChAdOx1 expression vector, which is expected to expire in 2032, and the patent family directed to our MVA-poxvirus promoter, which is expected to expire in 2031, as discussed above.</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VTP-600 product candidate comprises a ChAdOx1MAGE-NYESO vector, a MVA-MAGE vector, and a MVA-NYESO vector. We in-license from Ludwig Institute a patent family with claims directed to a chimpanzee adenovirus vector encapsulating a nucleic acid molecule encoding a MAGE antigen, a NY- ESO1 antigen or both a MAGE antigen and a NY-ESO1 antigen. As of March 14, 2025, the patent family includes one granted U.S. patent and 11 foreign patent applications pending in jurisdictions including Europe, Australia, Canada, China, and Japan. If a patent were to issue from such patent applications, it would be expected to expire in 2039, without giving effect to any potential patent term extensions or patent term adjustments and assuming payment of all appropriate maintenance, renewal, annuity or other governmental fees. In addition, we also rely on patent protection afforded by the patent family directed to the ChAdOx1 expression vector, which is expected to expire in 2032, the patent family directed to our adenoviral promotor, which is expected to expire in 2028, and the patent family directed to our MVA-poxvirus promoter, which is expected to expire in 2031, as discussed above.</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VTP-800 and VTP-850 product candidates comprise a ChAdOx15T4 vector and a MVA5T4 vector, where each vector incorporates an engineered 5T4 antigen and in VTP-850 the 5T4 antigen is also in combination with additional antigens. We in-license from OUI a patent family with claims directed to a composition for inducing a T Cell response comprising a MVA vector expressing the 5T4 antigen polypeptide. As of March 14, 2025, the patent family includes one granted foreign patent, one pending U.S. patent application and 10 foreign patent applications pending in jurisdictions including Europe, Australia, Canada, China, and Japan. If a patent were to issue from a patent application claiming the benefit of this PCT application, such a patent would be expected to expire in 2039, without giving effect to any potential patent term extensions or patent term adjustments and assuming payment of all appropriate maintenance, renewal, annuity or other governmental fees. In addition, we also rely on patent protection afforded by the patent family directed to the ChAdOx1 expression vector, which is expected to expire in 2032, the patent family directed to our adenoviral promotor, which is expected to expire in 2028, and the patent family directed to our MVA-poxvirus promoter, which is expected to expire in 2031, as discussed above.</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VTP-500 product candidate comprises a ChAdOx1MERS vector that incorporates an engineered MERS antigen. We rely on patent protection afforded by the patent family directed to the ChAdOx1 expression vector, which is expected to expire in 2032 and the patent family directed to our adenoviral promotor, which is expected to expire in 2028, as discussed above.</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VTP-400 product candidate comprises a ChAdOx1VZVgE vector that incorporates an engineered VZVgE antigen. We in-license from OUI a patent family with claims directed to an adenoviral vector comprising a nucleic acid encoding the varicella-zoster virus antigen. As of March 14, 2025, the patent family includes one granted foreign patent, one pending U.S. patent application and 12 foreign patent applications pending in jurisdictions including Europe, Australia, Canada, China, and Japan. If a patent were to issue from a patent application claiming the benefit of this PCT application, such a patent would be expected to expire in 2039, without giving effect to any potential patent term extensions or patent term adjustments and assuming payment of all appropriate maintenance, renewal, annuity or other governmental fees. We also</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rely on patent protection afforded by the patent family directed to the ChAdOx1 expression vector, which is expected to expire in 2032 and the patent family directed to our adenoviral promotor, which is expected to expire in 2028, as discussed above.</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VTP-1100 product candidate includes SNAP-CI platform technology to target HPV16+ cancers. We co-own a patent family with claims directed to methods of treating cancers using SNAP-CI compositions. As of March 14, 2025, the patent family includes one pending international PCT patent application. If a patent were to issue from a patent application claiming the benefit of this PCT application, such a patent would be expected to expire in 2043, without giving effect to any potential patent term extensions or patent term adjustments and assuming payment of all appropriate maintenance, renewal, annuity or other governmental fees. We have exclusive rights in this patent family, which resulted from work carried out under a CRADA between Barinthus Bio and the NIH. In addition, we rely on patent protection afforded by the patent families directed to the SNAP technology platforms, which are expected to expire between 2030 and 2042, as discussed above.</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VTP-1000 product candidate includes SNAP-TI platform technology to provide tolerizing immunotherapy for celiac disease. We co-own a patent family with claims directed to compositions and methods for treating celiac disease. As of March 14, 2025, the patent family includes one pending U.S. patent application and one pending international PCT patent application. If a patent were to issue from either of these pending applications or from a patent application claiming the benefit of either of these applications, such a patent would be expected to expire in 2043, without giving effect to any potential patent term extensions or patent term adjustments and assuming payment of all appropriate maintenance, renewal, annuity or other governmental fees. In addition, we rely on patent protection afforded by the patent families directed to the SNAP technology platforms, which are expected to expire between 2030 and 2042, as discussed above.</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The duration of foreign patents varies in accordance with provisions of applicable local law, but typically is also 20 years from the earliest effective filing date. All taxes, annuities or maintenance fees for a patent, as required by the USPTO and certain foreign jurisdictions, must be timely paid in order for the patent to remain in force during this period of time.</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actual protection afforded by a patent may vary on a product by product basis, from country to country and can depend upon many factors, including the type of patent, the scope of its coverage, the availability of regulatory-related extensions and the availability of legal remedies in a particular country and the validity and enforceability of the patent. Our patents and patent applications may be subject to procedural or legal challenges by others. 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about the risks associated with our efforts to obtain adequate intellectual property protection for our product candidates, and the enforcement of such intellectual property rights, as well as the risks associated with third party intellectual property rights, see the section titled “Risk Factors — Risks Related to Our Intellectual Property.” With regard to our VTP-300 and VTP-850 product candidates, we are aware of third-party patents in the United States with claims which may be relevant to these product candidates. See “Risk Factors — Risks Related to Intellectual Property — The intellectual property landscape around immunotherapeutics and viral-vector based vaccines is crowded and dynamic, and third parties may initiate legal proceedings alleging that we are infringing, misappropriating or otherwise violating their intellectual property rights and such claims may be costly and time-consuming and may prevent or delay our product discovery and development efforts.”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(the "FD&amp;C Act") and biological products under the FD&amp;C Act and the Public Health Service Act (the “PHS Act”), and other federal, state, and local statutes and regulations. Both the FD&amp;C Act and the PHS Act and their corresponding regulations govern, among other things, the research, development, testing, manufacturing, quality control, approval, safety, efficacy, labeling, packaging, storage, record keeping, distribution, reporting, marketing, promotion, export and import, advertising, post-approval monitoring, and post-approval reporting involving drugs and biological products. The process of obtaining regulatory approvals and the subsequent compliance with appropriate federal, state, local and foreign statutes and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regulations, and international guidelines require the expenditure of substantial time and financial resources and we may not be able to obtain the required regulatory approvals.</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Further, even if we obtain the required regulatory approvals for our products, pharmaceutical companies are subject to myriad federal, state, and foreign healthcare laws, rules, and regulations governing all aspects of our operations, including, but not limited to, our relationships with healthcare professionals, healthcare institutions, distributors of our products, and sales and marketing personnel; governmental and other third-party payor coverage and reimbursement of our products; and data privacy and security. Such laws, rules, and regulations are complex, continuously evolving, and, in many cases, have not been subject to extensive interpretation by applicable regulatory agencies or the courts. We are required to invest significant time and financial resources in policies, procedures, processes, and systems to ensure compliance with these laws, rules, and regulations, and our failure to do so may result in the imposition of substantial monetary or other penalties by federal or state regulatory agencies, give rise to reputational harm, or otherwise have a material adverse effect on our results of operations and financial condition.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Drug and Biological Products Development Process</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United States, the FDA is responsible for enforcing the laws in place to protect public health by ensuring the safety, efficacy, and security of drugs and biological products. The process required by the FDA before a product may be marketed in the United States generally involves the following:</w:t>
      </w:r>
    </w:p>
    <w:p>
      <w:pPr>
        <w:spacing w:after="0" w:line="230" w:lineRule="exact"/>
        <w:rPr>
          <w:sz w:val="20"/>
          <w:szCs w:val="20"/>
          <w:color w:val="auto"/>
        </w:rPr>
      </w:pPr>
    </w:p>
    <w:p>
      <w:pPr>
        <w:ind w:left="660" w:hanging="328"/>
        <w:spacing w:after="0" w:line="227"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completion of extensive preclinical laboratory tests and animal studies performed in accordance with applicable regulations, including the FDA’s Good Laboratory Practices (GLPs), regulations and standards;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submission to the FDA of an IND, which must become effective before clinical trials may begin;</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approval by an independent institutional review board ("IRB") or ethics committee representing each clinical site before the trial is commenced;</w:t>
      </w:r>
    </w:p>
    <w:p>
      <w:pPr>
        <w:spacing w:after="0" w:line="14" w:lineRule="exact"/>
        <w:rPr>
          <w:rFonts w:ascii="Arial" w:cs="Arial" w:eastAsia="Arial" w:hAnsi="Arial"/>
          <w:sz w:val="22"/>
          <w:szCs w:val="22"/>
          <w:color w:val="auto"/>
        </w:rPr>
      </w:pPr>
    </w:p>
    <w:p>
      <w:pPr>
        <w:jc w:val="both"/>
        <w:ind w:left="660" w:hanging="328"/>
        <w:spacing w:after="0" w:line="228"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Good Clinical Practices ("GCPs"), and other clinical trial-related regulations to establish the safety, purity and potency of the proposed product candidate for its intended purpose;</w:t>
      </w:r>
    </w:p>
    <w:p>
      <w:pPr>
        <w:ind w:left="660" w:hanging="328"/>
        <w:spacing w:after="0" w:line="225"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preparation of and submission to the FDA of an NDA or BLA, which includes not only the results of the clinical trials, but also, detailed information on the chemistry, manufacture and quality controls for the product candidate and proposed labeling;</w:t>
      </w: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payment of user fees for FDA review of the NDA or BLA (unless a fee waiver applies);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a determination by the FDA within 60 days of its receipt of a NDA or BLA to file the application for review;</w:t>
      </w:r>
    </w:p>
    <w:p>
      <w:pPr>
        <w:spacing w:after="0" w:line="14" w:lineRule="exact"/>
        <w:rPr>
          <w:rFonts w:ascii="Arial" w:cs="Arial" w:eastAsia="Arial" w:hAnsi="Arial"/>
          <w:sz w:val="22"/>
          <w:szCs w:val="22"/>
          <w:color w:val="auto"/>
        </w:rPr>
      </w:pPr>
    </w:p>
    <w:p>
      <w:pPr>
        <w:jc w:val="both"/>
        <w:ind w:left="660" w:hanging="328"/>
        <w:spacing w:after="0" w:line="229"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current Good Manufacturing Practice requirements ("cGMPs") and to assure that the facilities, methods and controls are adequate to preserve the investigational product’s identity, strength, quality and purity, and of selected clinical trial sites that generated the data in support of the application to assess compliance with the FDA’s GCPs;</w:t>
      </w:r>
    </w:p>
    <w:p>
      <w:pPr>
        <w:spacing w:after="0" w:line="2"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satisfactory completion of an FDA Advisory Committee review, if applicable; and</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FDA review and approval, or licensure, of an NDA or BLA to permit commercial marketing of the product for particular indications for use in the United States.</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Before testing any investigational product candidate in humans, the product candidate enters the preclinical development stage. The preclinical development stage generally involves laboratory evaluations of drug chemistry, formulation and stability, as well as studies to evaluate toxicity in animals, which support subsequent clinical testing. The conduct of the preclinical studies must comply with federal regulations, including GLPs. The sponsor must submit the results of the preclinical studies, together with manufacturing information, analytical data, any available clinical data or literature and a proposed clinical protocol, as well as other information, to the FDA as part of the IND. An IND is a request for authorization from the FDA to administer an investigational drug product to humans. The central focus of an IND submission is on the general investigational plan and the protocol(s) for human trials.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clinical holds on a drug product candidate at any time before or during clinical trials due to safety concerns, non-compliance, or other issues affecting the integrity of the trial. Accordingly, we cannot be sure that submission of an IND will result in the FDA allowing clinical trials to begin, or that, once begun, issues will not arise that could cause the trial to be suspended or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under the supervision of qualified investigators which generally are physicians not employed by, or under the control of, the trial sponsor. Clinical trials are conducted under written trial protocols detailing, among other things, the objectives of the clinical trial, dosing procedures, subject selection (inclusion and exclusion criteria) and the parameters and criteria to be used to monitor subject safety, including stopping rules that assure a clinical trial will be stopped if certain adverse events should occur. Each protocol, and any subsequent amendments to the protocol, must be submitted to the FDA as part of the IND.</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An IRB representing each institution participating in the clinical trial must review and approve the plan for any clinical trial before it commences at that institution, and the IRB must conduct continuing review and reapprove the trial at least annually. The IRB must review and approve, among other things, the trial protocol and informed consent information to be provided to trial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(if blinded) or to data available also to the sponsor (unblinded) from the trial and may recommend halting the clinical trial if it determines that there is an unacceptable safety risk for subjects or other grounds, such as no demonstration of efficacy.</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about certain clinical trials must also be submitted within specific timeframes to the NIH for public dissemination on its ClinicalTrials.gov website.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239" w:lineRule="exact"/>
        <w:rPr>
          <w:sz w:val="20"/>
          <w:szCs w:val="20"/>
          <w:color w:val="auto"/>
        </w:rPr>
      </w:pPr>
    </w:p>
    <w:p>
      <w:pPr>
        <w:jc w:val="both"/>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investigational product is initially introduced into healthy human volunteers or patients with the target disease or condition. Phase 1 clinical trials are typically designed to test the safety, dosage tolerance, absorption, metabolism and distribution of the investigational product in humans, including any side effects associated with increasing doses, and, if possible, to gain early evidence of effectiveness.</w:t>
      </w:r>
    </w:p>
    <w:p>
      <w:pPr>
        <w:spacing w:after="0" w:line="190"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investigational product is evaluated in a limited patient population to identify possible adverse side effects and safety risks, to preliminarily evaluate the efficacy of the product for specific targeted diseases and to determine dosage tolerance, optimal dosage and dosing schedule. Multiple Phase 2 clinical trials may be conducted to obtain information prior to beginning larger and more expensive Phase 3 clinical trials.</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investigational product is administered to an expanded patient population to further evaluate dosage, to provide substantial evidence of clinical efficacy and to further test for safety, generally at multiple geographically dispersed clinical trial sites. These clinical trials are intended to establish the overall benefit:risk ratio of the investigational product and to provide an adequate basis for physician labeling. Generally, two adequate and well-controlled Phase 3 clinical trials are required by the FDA for approval of an NDA or BLA.</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post-approval clinical trials, sometimes referred to as Phase 4 clinical trials, after initial marketing approval. These clinical trials are used to gain additional experience from the treatment of patients in the intended therapeutic indication, particularly for long-term safety follow-up. During all phases of clinical development, regulatory agencies require extensive monitoring and auditing of all clinical trial activities, clinical data, and clinical trial investigators. Annual progress reports detailing the results of the clinical trials must be submitted to the FDA. Written IND safety reports must be submitted to the FDA and the investigators fifteen days after the trial sponsor determines the information qualifies for reporting for serious and unexpected suspected adverse events, findings from other studies or animal or in vitro testing that suggest a significant risk for human volunteers and any clinically important increase in the rate of a serious suspected adverse reaction over that listed in the protocol or investigator brochure. The sponsor must submit an IND safety report within seven days of the sponsor’s initial receipt of the information of any unexpected fatal or life-threatening suspected adverse reaction. Phase 1, Phase 2 and Phase 3 clinical trials may not be completed successfully within any specified period, if at all. The FDA or the sponsor, acting on its own or based on a recommendation from the sponsor’s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also must develop additional information about the chemistry and physical characteristics of the investigational product and finalize a process for manufacturing the product in commercial quantities in accordance with cGMP.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high quality batches of the product candidate and, among other things, the sponsor must develop methods for testing the identity, strength, quality, potency, stability,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Review and Approval Processes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an NDA or BLA requesting approval to market the product for one or more indications. This application must include results of product development, laboratory and animal studies, human trials, information on the manufacture and composition of the product, proposed labeling and other relevant information.</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an NDA or BLA submitted to determine if it is substantially complete before the FDA accepts it for filing. The FDA may refuse to file any application that it deems incomplete or not properly reviewable at the time of submission and may request additional information. In this event, the application must be resubmitted with the required additional information. The resubmitted application also is subject to review to determine if it is substantially complete before the FDA accepts it for filing. In most cases, the submission of an NDA or BLA is subject to a substantial application user fee, although the fee may be waived under certain circumstances. Under the performance goals and policies implemented by the FDA under the Prescription Drug User Fee Act ("PDUFA") for original applications, the FDA targets ten months from the filing date in which to complete its initial review of a standard application and respond to the applicant, and six months from the filing date for an application with priority review. The FDA does not always meet its PDUFA goal dates, and the review process can be significantly extended by FDA requests for additional information or clarification.</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Once the submission is accepted for filing, the FDA begins an in-depth substantive review of the application. The FDA reviews the NDA or BLA to determine, among other things, whether the proposed product is safe and effective for its intended use, conducting a benefit-risk assessment based on the information provided as to whether the benefits (with their uncertainties) of the investigational product outweigh the risks (with their uncertainties and approaches to managing risks) under the conditions of use described in the proposed product labeling, and whether the product is being manufactured in accordance with cGMP to ensure its continued safety, purity and potency. The FDA may refer applications for novel investigational products or products that present difficult or novel questions of safety or efficacy to an advisory committee, typically a panel that includes clinicians, patient representatives,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product. If the FDA concludes a REMS is needed, the sponsor of the application must submit a proposed REMS; the FDA will not approve the NDA or BLA without a REMS, if required.</w:t>
      </w:r>
    </w:p>
    <w:p>
      <w:pPr>
        <w:spacing w:after="0" w:line="2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Before approving an NDA or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To assure cGMP and GCP compliance, an applicant must incur significant expenditure of time, money and effort in the areas of training, record keeping, production and quality control. Additionally, before approving an NDA or BLA, the FDA will typically inspect one or more clinical sites to assure that the clinical trials were conducted in compliance with the protocol and following GCP.</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Under the Pediatric Research Equity Act ("PREA") an NDA, BLA or supplement to either for a novel product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new active ingredient, new indication, etc.)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After the FDA evaluates an NDA or BLA and conducts inspections of manufacturing facilities where the drug substance and/or drug product for commercial supply will be produced, the FDA may issue an approval letter or a Complete Response Letter. An approval letter authorizes commercial marketing of the product with specific prescribing information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for specific indications. A Complete Response Letter will describe all of the deficiencies that the FDA has identified in the application,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application in condition for approval, including requests for additional information or clarification. The FDA may delay or refuse approval of an NDA or BLA if applicable regulatory criteria are not satisfied, require additional testing or information and/or require post-marketing testing and surveillance to monitor safety or efficacy of a product.</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including to subpopulations of patients, which could restrict the commercial value of the product. Further, the FDA may require that certain contraindications, warnings, precautions or interactions be included in the product labeling. The FDA may impose restrictions and conditions on product distribution, prescribing, or dispensing in the form of a REMS, or otherwise limit the scope of any approval.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trials.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Under section 526 of the FD&amp;C Act, the FDA may grant orphan designation to a drug or biological product intended to treat a rare disease or condition, which is defined as a disease or condition that affects fewer than 200,000 individuals in the United States, or 200,000 or more individuals in the United States and for which there is no reasonable expectation that the cost of developing and making available in the United States a drug or biological product for such disease or condition will be recovered from sales of the product in the United States of such drug. Orphan product designation must be requested before submitting a marketing application for the orphan indication.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qualified clinical testing expenses and a waiver of the NDA or BLA application user fee.</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the approved indication for a use is broader than the indication for which it received orphan designation.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Orphan drug designation may also entitle a party to additional financial incentives such as opportunities for grant funding towards clinical trial costs.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or fulfill an unmet medical need. To be eligible for fast track designation, new drugs and biological product candidates must be intended to treat a serious or life-threatening disease or condition and demonstrate the potential to address unmet medical needs for that disease or condition. Fast track designation applies to the combination of the product and the specific indication for which</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However, the review of the marketing application (NDA or BLA) does not formally start until the full application has been received by the FDA.</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defined as those that measure an effect on irreversible morbidity or mortality or on symptoms that represent serious consequences of the disease. Breakthrough therapy designation comes with all of the benefits of fast 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product candidate is eligible for priority review if when approved, it would provide a significant improvement in the safety or effectiveness of the treatment, diagnosis or prevention of a serious disease or condition. The FDA will attempt to direct additional resources to the evaluation of an application for a new drug or biological product designated for priority review in an effort to facilitate the review. Under priority review, the FDA’s goal is to review an application in six months once it is filed, compared to ten months for a standard review. Priority review designation does not change the scientific/medical standard for approval or the quality of evidence necessary to support approval.</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Additionally, drug or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Under the Food and Drug Omnibus Reform Act of 2022 ("FDORA") the FDA is now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the FDA currently requires sponsors, unless otherwise informed by the agency, to request pre-approval of promotional materials for products receiving accelerated approval,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Rigorous and extensive FDA regulation of drugs and biological products continues after approval, particularly with respect to cGMP requirements, as well as requirements relating to record-keeping, reporting of adverse experiences, periodic reporting, product sampling and distribution, and advertising and promotion of the product. We currently rely, and may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drugs and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Manufacturers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Failure to comply with the applicable United States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product detentions or refusal to permit the import or export of the product, restrictions on the marketing or manufacturing of the product, injunctions, fines, refusals of government contracts, mandated corrective advertising or communications with physicians or other stakeholders, debarment, restitution, disgorgement of profits, or civil or criminal penalties. Any agency or judicial enforcement action could have a material adverse effect on us.</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Drug and biological product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including applicable tracking and tracing requirements.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agency in ways that may significantly affect the manner in which pharmaceutical products are regulated and marketed.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Exclusivity</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United States patents may be eligible for limited patent term extension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marketing application (NDA/BLA) plus the time between the submission date of an NDA or BLA and the approval of that application. Only one patent applicable to an approved product is eligible for the extension and the application for the extension must be submitted prior to the expiration of the patent. In addition, a patent can only be extended once and only for a single product. The United States Patent and Trademark Office (the "USPTO")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trials and other factors involved in the filing of the relevant NDA or BLA.</w:t>
      </w:r>
    </w:p>
    <w:p>
      <w:pPr>
        <w:spacing w:after="0" w:line="2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our product candidates are regulated as biologics. The Patient Protection and Affordable Care Act, as amended by the Health Care and Education Reconciliation Act (collectively, the "ACA") includes a subtitle called the Biologics Price Competition and Innovation Act of 2009 ("BPCIA"), which created an abbreviated approval pathway for biological products shown to be biosimilar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biologic may be switched after one has been previously administered without increasing safety risks or risks of diminished efficacy relative to exclusive use of the reference biologic.</w:t>
      </w:r>
    </w:p>
    <w:p>
      <w:pPr>
        <w:spacing w:after="0" w:line="1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FDA will not accept an application for a biosimilar or interchangeable product based on the reference biological product until four years after the date of first licensure of the reference product, and the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 year reference product exclusivity period. Other aspects of the BPCIA, some of which may impact the BPCIA exclusivity provisions, have also been the subject of litigation. As a result, the ultimate implementation and impact of the BPCIA is subject to significant uncertainty.</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new drug or biological product can also obtain pediatric market exclusivity in the United States. Pediatric exclusivity, if granted, adds six months to existing exclusivity for all formulations, dosage forms, and indications of the most active moiety and, for drugs, patent terms. This six-month exclusivity, which runs from the end of other exclusivity protection, and, for drugs, patent term, may be granted based on the voluntary completion of a pediatric trial in accordance with an FDA-issued “Written Request” for such a trial, provided that at the time pediatric exclusivity is granted there is not less than nine months of term remaining.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Regulation</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Regulation Outside of the United States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products. Because biologically sourced raw materials are subject to unique contamination risks, their use may be restricted in some countries.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April 2014, the EU adopted the Clinical Trials Regulation (EU) No 536/2014, which replaced the current Clinical Trials Directive 2001/20/EC on January 31, 2022. The Regulation, which is directly applicable in all EU Member States (meaning that no national implementing legislation in each EU Member State is required), aims at simplifying and streamlining the approval of clinical trials in the EU. The main characteristics of the Regulation include: a streamlined application procedure via a single-entry point through the Clinical Trials Information System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(Member States concerned) of a draft report prepared by a Reference Member State. Part II is assessed separately by each Member State concerned. Strict deadlines have also been established for the assessment of clinical trial applications.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Union Drug Review and Approval</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European Union, medicinal products, including biological medicinal products, are subject to extensive pre- and post-market regulation by regulatory authorities at both the European Union and national levels.</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To obtain regulatory approval of a new medicinal product under the European Union regulatory system, we must submit a marketing authorization application ("MAA") either under a centralized procedure administered by the EMA or one of the procedures administered by competent authorities in the European Union: the decentralized procedure, national procedure, or mutual recognition procedure. A marketing authorization may be granted only to an applicant established in the European Economic Area (comprising the EU Member States plus Norway, Iceland and Liechtenstein) ("EEA").</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throughout the entire territory of the EU and the additional Member States of the EEA. Pursuant to Regulation (EC) No. 726/2004, the centralized procedure is compulsory for specific products, including for medicines produced by certain biotechnological processes, products designated as orphan medicinal products, advanced-therapy medicinal products (gene-therapy, somatic-cell therapy and tissue-engineered medicines) and products with a new active substance indicated for the treatment of certain diseases, including products for the treatment of viral diseases, autoimmune and other immune dysfunctions and cancer. For those products for which the use of the centralized procedure is not mandatory, applicants may elect to use the centralized procedure where the product contains a new active substance not yet authorized in the European Union, and where the applicant can show that the product constitutes a significant therapeutic, scientific or technical innovation or for which a centralized process is in the interest of public health at a European Union level.</w:t>
      </w:r>
    </w:p>
    <w:p>
      <w:pPr>
        <w:spacing w:after="0" w:line="20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Under the centralized procedure, the Committee for Medicinal Products for Human Use (the "CHMP"), established at the EMA is responsible for conducting an initial assessment of whether a product meets the required quality, safety and efficacy requirements, and whether a product has a positive benefit-risk profile. The maximum timeframe for the evaluation of an MAA is 210 days from receipt of a valid MAA, excluding clock stops when additional information or written or oral explanation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evaluation may be granted by the CHMP in exceptional cases, when a medicinal product is of major interest from the point of view of public health and, in particular, from the viewpoint of therapeutic innovation. If the CHMP accepts such a request, the timeframe of 210 days for assessment will be reduced to 150 days (excluding clock stops), but it is possible that the CHMP may revert to the standard time limit for the centralized procedure if it determines that the application is no longer appropriate to conduct an accelerated assessment.</w:t>
      </w:r>
    </w:p>
    <w:p>
      <w:pPr>
        <w:spacing w:after="0" w:line="21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For products not falling within the mandatory scope of the centralized procedure, national marketing authorizations may be obtained, which are issued by the competent authorities of the European Union Member States and only cover their respective territory. Where a product has already been authorized for marketing in an European Union Member State, this national marketing authorization can be recognized in another European Union Member State through the mutual recognition procedure. If the product has not received a national marketing authorization in any European Union Member State at the time of application, it can be approved simultaneously in various European Union Member States through the decentralized procedure. As with the centralized procedure, the competent authorities of the European Union Member States assess the risk-benefit balance of the product on the basis of scientific criteria concerning its quality, safety and efficacy before granting the marketing authorization.</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marketing application (BLA/NDA) submitted in the United States is similar to that required in the European Union, with certain exceptions. Directive 2001/83/EC and the laws in the European Union Member States transposing this Directive into national law set out the requirements for an MAA. An MAA for a biological medicinal product must contain certain additional requirements to compared applications for other medicinal products, such as a description of the origin and history of the starting materials used for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Marketing Exclusivity</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Upon receiving marketing authorization in the European Union, innovative medicinal products (reference products), approved on the basis of a complete and independent package of data, generally receive eight years of data exclusivity and an additional two years of market exclusivity. Data exclusivity prevents generic or biosimilar applicants from referencing the innovator’s preclinical/nonclinical and clinical trial data contained in the dossier of the reference product when applying for a generic or biosimilar marketing authorization in the European Union for a period of eight years from the date on which the reference product was first authorized in the European Union. During the additional two-year period of market exclusivity, a generic or biosimilar marketing authorization can be submitted, and the innovator’s data may be referenced, but no generic or biosimilar product can be marketed in the European Union until the expiration of the market exclusivity period.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currently approved therapies. Even if an innovative medicinal product gains the prescribed period of data exclusivity, another company could nevertheless also market another version of the product if such company obtained a marketing authorization based on an MAA with a complete and independent data package of pharmaceutical tests, nonclinical tests and clinical trials.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Designation and Exclusivity</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Products with an orphan designation in the European Union can receive ten years of market exclusivity, during which time “no similar medicinal product” for the same indication may be placed on the market. A “similar medicinal product” is defined as a medicinal product containing a similar active substance or substances as contained in an authorized orphan medicinal product, and which is intended for the same therapeutic indication. An orphan medicinal product can also obtain an additional two years of market exclusivity where an agreed pediatric investigation plan for pediatric trials has been complied with. No extension to any supplementary protection certificate ("SPC") can be granted on the basis of pediatric trials for orphan indications.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European Union are similar in principle to those in the United States. In the European Union under Article 3 of Regulation (EC) 141/2000, a medicinal product may be designated as an orphan medicinal product if it meets the following criteria: (i) it is intended for the diagnosis, prevention or treatment of a life-threatening or chronically debilitating condition; (ii) either (a) the prevalence of such condition must not be more than five in 10,000 persons in the European Union when the application is made, or (b) without the benefits derived from orphan status, it must be unlikely that the marketing of the medicine would generate sufficient return in the European Union to justify the investment needed for its development; and (iii) there exists no satisfactory method of diagnosis, prevention or treatment of such condition, or if such a method exists, the product would be of significant benefit to those affected by the condition, as defined in Regulation (EC) 847/2000. Orphan medicinal products are eligible for financial incentives such as reduction of fees or fee waivers made available by the European Union and its Member States to support research into, and the development and availability of, orphan medicinal products. The application for orphan designation must be submitted before the MAA. The applicant will receive a fee reduction for the MAA if the orphan drug designation has been granted, but not if the designation is still pending at the time the MAA is submitted. Orphan designation does not convey any advantage in, or shorten the duration of, the regulatory review and approval process.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marketing authorization may be granted to a similar medicinal product to an authorized orphan product during the period of market exclusivity only in very select cases, specifically:</w:t>
      </w:r>
    </w:p>
    <w:p>
      <w:pPr>
        <w:spacing w:after="0" w:line="19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established that a similar medicinal product is safer, more effective or otherwise clinically superior to the authorized orphan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consent from the marketing authorization holder for the authorized orphan product; or</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authorization holder for the authorized orphan product cannot supply enough orphan medicinal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European Union, companies developing a new medicinal product must agree upon a pediatric investigation plan ("PIP"), with the EMA’s Pediatric Committee ("PDCO") and must conduct pediatric clinical trials in accordance with that PIP, unless a waiver applies, (e.g., because the relevant disease or condition occurs only in adults). The PIP sets out the timing and measures proposed to generate data to support a pediatric indication of the product for which marketing authorization is being sought. The PDCO can grant a deferral of the obligation to implement some or all of the measures of the PIP until there are sufficient data to demonstrate the efficacy and safety of the product in adults, in which case the pediatric clinical trials must be completed at a later date. Further, the obligation to provide pediatric clinical trial data can be waived by the PDCO when this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Products that are granted a marketing authorization with the results of pediatric clinical trials conducted in accordance with the PIP are eligible for a six-month extension of the protection under a SPC, provided an application for such extension is made at the same time as filing the SPC application for the product or at any point up to 2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Designation</w:t>
      </w:r>
    </w:p>
    <w:p>
      <w:pPr>
        <w:spacing w:after="0" w:line="52" w:lineRule="exact"/>
        <w:rPr>
          <w:sz w:val="20"/>
          <w:szCs w:val="20"/>
          <w:color w:val="auto"/>
        </w:rPr>
      </w:pPr>
    </w:p>
    <w:p>
      <w:pPr>
        <w:jc w:val="both"/>
        <w:spacing w:after="0" w:line="204" w:lineRule="exact"/>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often rare, for which few or no therapies currently exist. The PRIME scheme is intended to encourage product development in areas of unmet medical need (where there is no satisfactory method of diagnosis, prevention or treatment in the European Union or, if there is, the new medicine will bring a major therapeutic advantage) and provides accelerated assessment of products representing substantial innovation. The PRIME scheme is open to medicines under development and for which the applicant intends to apply for an initial MAA through under the centralized procedure.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products from small- and medium-sized enterprises may qualify for earlier entry into the PRIME scheme than larger companies, if compelling non-clinical data in a relevant model provide early evidence of promising activity, and first in human trials indicate adequate exposure for the desired pharmacotherapeutic effects and tolerability.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EMA contact and rapporteur from the CHMP or Committee for Advanced Therapies are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 VTP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500, under development for the prevention of MERS caused by the MERS coronavirus, was accepted onto the PRIME scheme by the EMA in December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Controls</w:t>
      </w:r>
    </w:p>
    <w:p>
      <w:pPr>
        <w:spacing w:after="0" w:line="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These include the following:</w:t>
      </w:r>
    </w:p>
    <w:p>
      <w:pPr>
        <w:spacing w:after="0" w:line="203" w:lineRule="exact"/>
        <w:rPr>
          <w:sz w:val="20"/>
          <w:szCs w:val="20"/>
          <w:color w:val="auto"/>
        </w:rPr>
      </w:pPr>
    </w:p>
    <w:p>
      <w:pPr>
        <w:jc w:val="both"/>
        <w:ind w:left="500" w:right="20" w:hanging="330"/>
        <w:spacing w:after="0" w:line="242" w:lineRule="auto"/>
        <w:tabs>
          <w:tab w:leader="none" w:pos="4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1" w:lineRule="exact"/>
        <w:rPr>
          <w:rFonts w:ascii="Times New Roman" w:cs="Times New Roman" w:eastAsia="Times New Roman" w:hAnsi="Times New Roman"/>
          <w:sz w:val="18"/>
          <w:szCs w:val="18"/>
          <w:color w:val="auto"/>
        </w:rPr>
      </w:pPr>
    </w:p>
    <w:p>
      <w:pPr>
        <w:jc w:val="both"/>
        <w:ind w:left="500" w:hanging="330"/>
        <w:spacing w:after="0" w:line="234" w:lineRule="auto"/>
        <w:tabs>
          <w:tab w:leader="none" w:pos="4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MAAs must include a risk management plan ("RMP") describing the risk management system that the company will put in place to prevent or minimize the risks associated with the product. The regulatory authorities may also impose specific obligations as a condition of the marketing authorization. Such risk-minimization measures or post- authorization obligations may include additional safety monitoring, more frequent submission of PSURs, or the conduct of additional clinical trials or post-authorization safety trials. RMPs and PSURs are routinely available to third parties requesting access, subject to limited redactions.</w:t>
      </w:r>
    </w:p>
    <w:p>
      <w:pPr>
        <w:spacing w:after="0" w:line="3" w:lineRule="exact"/>
        <w:rPr>
          <w:rFonts w:ascii="Times New Roman" w:cs="Times New Roman" w:eastAsia="Times New Roman" w:hAnsi="Times New Roman"/>
          <w:sz w:val="18"/>
          <w:szCs w:val="18"/>
          <w:color w:val="auto"/>
        </w:rPr>
      </w:pPr>
    </w:p>
    <w:p>
      <w:pPr>
        <w:jc w:val="both"/>
        <w:ind w:left="500" w:hanging="330"/>
        <w:spacing w:after="0" w:line="234" w:lineRule="auto"/>
        <w:tabs>
          <w:tab w:leader="none" w:pos="4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advertising and promotional activities for the product must be consistent with the approved SmPC and therefore all off-label promotion is prohibited. Direct-to-consumer advertising of prescription medicines is also prohibited in the European Union. Although general requirements for advertising and promotion of medicinal products are established under European Union directives, the details are governed by regulations in each European Union Member State and can differ from one country to another.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aforementioned EU rules are generally applicable in the EEA.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U.K. formally left the EU on January 31, 2020. As a result of the Northern Ireland protocol, following Brexit, the EMA remained responsible for approving novel medicines for supply in Northern Ireland under the EU centralized procedure, and a separate authorization was required to supply the same medicine in Great Britain (England, Wales and Scotland). On February 27, 2023, the U.K. government and the European Commission announced a political agreement in principle to replace the Northern Ireland Protocol with a new set of arrangements, known as the “Windsor Framework”. The Windsor Framework was approved by the EU-UK Joint Committee on March 24, 2023, and the medicines aspects of the Windsor Framework have applied since January 1, 2025. This new framework fundamentally changes the previous system under the Northern Ireland Protocol, including with respect to the regulation of medicinal products in the U.K. In particular, the MHRA is now responsible for approving all medicinal products destined for the U.K. market (i.e., Great Britain and Northern Ireland), and the EMA no longer has any role in approving medicinal products destined for Northern Ireland under the EU centralized procedure. A single U.K.-wide marketing authorization will be granted by the MHRA for all novel medicinal products to be sold in the U.K., enabling products to be sold in a single pack and under a single authorization throughout the U.K. In addition, the new arrangements require all medicines placed on the U.K. market to be labelled “U.K. only”, indicating they are not for sale in the EU. However, although a separate authorization is now required to market medicinal products in the U.K., under an international recognition procedure which was put in place by the MHRA on January 1, 2024, the MHRA may take into account decisions on the approval of a marketing authorization from the EMA (and certain other regulators) when considering an application for a U.K. marketing authorization. There is now no pre-marketing authorization orphan designation in the U.K. Instead, the MHRA reviews applications for orphan designation in parallel to the corresponding MAA. The criteria are essentially the same, but have been tailored for the U.K. market, i.e., the prevalence of the condition in U.K. (rather than the EU) must not be more than five in 10,000. Should an orphan designation be granted, the period of market exclusivity will be set from the date of first approval of the product in the U.K.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may seek regulatory approval. Sales of any product, if approved, depend, in part, on the extent to which such product will be covered by third-party payors, such as federal, state, and foreign government healthcare programs, commercial insurers, and managed healthcare organizations.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Moreover, product candidates may not be considered medically necessary or cost-effective. A decision by a third-party payor not to cover any product candidates we may develop could reduce physician utilization of such product candidates once approved and have a material adverse effect on our sales, results of operations, and financial condition. Third-party payors often rely upon Medicare coverage policy and payment limitations in setting their own reimbursement rates, but also have their own methods and approval process apart from Medicare determinations. As a result, the coverage determination process is often a time- consuming and costly process that will require us to provide scientific and clinical support for the use of our product candidates to each payor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of the product.</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addition, the United States government and state legislatures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of pharmaceutical or biological products; reviewing the cost-effectiveness of such products; and questioning the safety and efficacy of such products. Adoption of new price controls and cost-containment measures, or adoption of more restrictive policies in jurisdictions with existing controls and measures, could further limit sales of any product that receives approval.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of manufacturers to sell products profitably. Decreases in third-party reimbursement for any product or a decision by a third party not to cover a product could reduce physician usage and patient demand for such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 and Compliance Requirements</w:t>
      </w:r>
    </w:p>
    <w:p>
      <w:pPr>
        <w:spacing w:after="0" w:line="2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United States federal Anti-Kickback Statute ("AKS"); the civil False Claims Act ("FCA"); the federal Health Insurance Portability and Accountability Act of 1996 ("HIPAA"); and similar foreign, federal, and state fraud and abuse, transparency, and privacy laws.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AKS prohibits, among other things, persons and entities from knowingly and willfully soliciting, receiving, offering, or paying remuneration to induce, or in return for, either the referral of an individual, or the purchase, lease, ordering, or arranging for or recommending the purchase, lease, or ordering, of any item or service for which payment may be made under any federal healthcare program. The term remuneration has been interpreted broadly to include anything of value, whether given directly or indirectly, in cash or in kind. The AKS has been interpreted to apply to arrangements between pharmaceutical manufacturers on one hand and prescribers, third-party payors, patients, and others on the other hand. There are a number of statutory exceptions and regulatory safe harbors protecting some common activities from prosecution, but they are drawn narrowly, and practices that involve remuneration, such as consulting agreements, that may be alleged to be intended to induce prescribing, purchasing, or recommending may be subject to scrutiny if they do not qualify for an exception or safe harbor. Failure to meet all of the requirements of an applicable statutory exception or regulatory safe harbor does not make the conduct per se illegal under the AKS.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submitted to a federal healthcare program that includes items or services resulting from a violation of the AKS constitutes a false or fraudulent claim that may result in civil liability under the FCA.</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Civil and criminal false claims laws, and civil monetary penalty laws, including the FCA, which can be enforced through civil whistleblower or qui tam actions, prohibit, among other things, individuals or entities from knowingly presenting, or causing to be presented, claims for payment to the federal government, including federal healthcare programs, that are false or fraudulent. For example, the FCA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United States government. Several pharmaceutical companies have been prosecuted under these laws for allegedly providing free product to customers with the expectation that the customers would bill federal healthcare programs for the product, or for subsidizing copays for patients, including indirectly through charitable patient assistance programs, as an inducement for patients to utilize their products.</w:t>
      </w:r>
    </w:p>
    <w:p>
      <w:pPr>
        <w:spacing w:after="0" w:line="2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HIPAA created additional federal civil and criminal liability for, among other things, knowingly and willfully executing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AKS, a person or entity can be found guilty of violating HIPAA’s fraud and abuse provisions without actual knowledge of the statute or specific intent to violate it.</w:t>
      </w:r>
    </w:p>
    <w:p>
      <w:pPr>
        <w:spacing w:after="0" w:line="2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HIPAA, as amended by the Health Information Technology for Economic and Clinical Health Act of 2009 ("HITECH") and their respective implementing regulations, impose certain requirements on HIPAA covered entities, which include certain healthcare providers, healthcare clearinghouses, and health plans, and individuals and entities that provide services on their behalf that involve individually identifiable health information, known as business associates, relating to the privacy, security, and transmission of individually identifiable health information. In particular, regulations promulgated pursuant to HIPAA establish privacy and security standards that limit the use and disclosure of protected health information and require the implementation of administrative, physical and technological safeguards to protect the privacy of protected health information and ensure the confidentiality, integrity and availability of electronic protected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health information. Determining whether protected health information has been handled in compliance with applicable privacy standards and our contractual obligations can require complex factual and statistical analyses, and may be complicated by the fact that the applicable rules are subject to changing interpretation. HIPAA mandates the reporting of certain breaches of health information to the United States Department of Health and Human Services ("HHS") affected individuals, and if the breach is large enough, the media. In addition to reputational harm,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civil actions.</w:t>
      </w:r>
    </w:p>
    <w:p>
      <w:pPr>
        <w:spacing w:after="0" w:line="21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U.S. federal Physician Payments Sunshine Act ("Sunshine Act") requires certain manufacturers of drugs, devices, biologics, and medical supplies for which payment is available under Medicare, Medicaid, or the Children’s Health Insurance Program, with specific exceptions, to annually report to the CMSs, information related to payments or other transfers of value made to physicians (currently defined to include doctors of medicine or osteopathy, dentists, optometrists, podiatrists, and chiropractors), other licensed non-physician health care practitioners, and teaching hospitals, as well as ownership and investment interests held by physicians and their immediate family members. Additionally, we may be subject to federal government price reporting laws, which require us to calculate and report complex pricing metrics in an accurate and timely manner to government programs and federal consumer protection and unfair competition laws, which broadly regulate marketplace activities and activities that potentially harm consumers.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are also subject to additional similar U.S. state and foreign equivalents of each of the above federal laws, such as anti-kickback and false claims laws which may apply to sales or marketing arrangements and claims involving healthcare items or services reimbursed by non-governmental third-party payors, including private insurers, or that apply regardless of payor; state laws which require pharmaceutical companies to comply with the pharmaceutical industry’s voluntary compliance guidelines and the relevant compliance guidance promulgated by the federal government; state and local laws which require pharmaceutical companies to report information related to payments and other transfers of value to physicians and other healthcare providers or marketing expenditures; state laws which require the reporting of information related to drug pricing; state and local laws requiring the registration of pharmaceutical sales representatives; and state and foreign laws governing the privacy and security of health information which, in some cases, differ from each other in significant ways, and may not have the same effect, thus complicating compliance efforts. If our operations are found to be in violation of any of such laws or any other governmental regulations that apply, we or our officers, directors, employees, contractors, or agents may be subject to penalties, including, without limitation, significant civil, criminal, and administrative penalties; damages; fines; exclusion from government-funded healthcare programs, such as Medicare and Medicaid or similar programs in other countries or jurisdictions; entry into a corporate integrity agreement or similar reporting obligations to resolve allegations of non-compliance; disgorgement; imprisonment; contractual damages; reputational harm; diminished profits; and the curtailment or restructuring of our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Cybersecurity Laws</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may also be subject to data privacy and cybersecurity laws in the U.S. and various jurisdictions around the world in which we operate or process personally identifiable information (“personal information” or “personal data”). In addition to HIPAA U.S. federal enforcement agencies, such as the Federal Trade Commission (the "FTC") require businesses to take appropriate steps to keep consumers’ personal information secure, subject to Section 5(a) of the Federal Trade Commission Act (the "FTCA") 15 U.S.C. § 45(a). In addition, numerous U.S. states have enacted laws that govern the privacy and security of health information and other personal information, some of which may be more stringent than HIPAA and which differ from each other in significant ways thus complicating compliance efforts. For example, the California Consumer Privacy Act (the "CCPA") establishes certain requirements for data use, sharing and transparency, and provides California residents the ability to limit the sharing of their personal information. Similarly comprehensive laws have passed in a number of states. Certain states have passed or proposed more targeted privacy laws that focus on the privacy of health and medical information, such as Washington state’s My Health My Data Act, which has a private right of action that may increase potential damages for noncompliance. Such laws are continuously evolving and are likely to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Failure to comply with these laws, where applicable, can result in the imposition of significant civil and/or criminal penalties and private litigation as well as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Outside of the United States, we also face stringent privacy and data protection requirements. For example, in Europe, the collection, use, storage, disclosure, transfer, or other processing of personal data, including personal health data in the EEA and the U.K. is subject to the EU General Data Protection Regulation ("EU GDPR") (with regards to the EEA) and the U.K. General Data Protection Regulation ("U.K. GDPR") (with regards to the U.K.), as well as applicable data protection laws in effect in the Member States of the EEA and in the U.K. (including the U.K. Data Protection Act 2018). In this Annual Report, “GDPR” refers to both the EU GDPR and the U.K. GDPR, unless specified otherwise. The GDPR is wide-ranging in scope and imposes numerous requirements on companies that process personal data, including requirements relating to processing special categories of personal data (such as health) to individuals regarding data processing activities, implementing safeguards to protect the security and confidentiality of personal data, providing notification of data breaches, conducting data protection impact assessments for high risk processing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(£17.5 million for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Data protection authorities from the different EU member states may interpret the GDPR and national laws differently and impose additional requirements, which add to the complexity of processing personal data in the EU.</w:t>
      </w:r>
    </w:p>
    <w:p>
      <w:pPr>
        <w:spacing w:after="0" w:line="21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addition, various jurisdictions around the world continue to propose new laws that regulate the privacy and/or security of certain types of personal data. Complying with these laws, if enacted, would require significant resources and leave us vulnerable to possible fines, penalties, litigation, and reputational harm if we are unable to comply.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 and Legislative Changes</w:t>
      </w:r>
    </w:p>
    <w:p>
      <w:pPr>
        <w:spacing w:after="0" w:line="2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biological products, especially under government-funded healthcare programs, and increased governmental control of drug pricing.</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and expanding enrollment in commercial health plans through new Health Insurance Marketplaces operated by the federal and state governments;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Congress has considered legislation that would repeal, or repeal and replace, all or part of the ACA. While Congress has not passed comprehensive repeal legislation, it has enacted laws that modify certain provisions of the ACA such as removing penalties, which started on January 1, 2019, for not complying with the ACA’s individual mandate to carry health insurance, delaying the implementation of certain ACA-mandated fees, and increasing the point-of-sale discount that is owed by pharmaceutical manufacturers who participate in Medicare Part D.</w:t>
      </w:r>
    </w:p>
    <w:p>
      <w:pPr>
        <w:spacing w:after="0" w:line="2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June 17, 2021, the U.S. Supreme Court dismissed the most recent judicial challenge to the ACA brought by several states without specifically ruling on the constitutionality of the ACA. In addition, President Biden has issued multiple executive orders that have sought to reduce prescription drug costs. It is unclear how other healthcare reform measures of the Biden administration or other efforts, if any, to challenge, repeal or replace the ACA will impact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United States since the ACA was enacted.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w:t>
      </w:r>
    </w:p>
    <w:p>
      <w:pPr>
        <w:spacing w:after="0" w:line="16" w:lineRule="exact"/>
        <w:rPr>
          <w:sz w:val="20"/>
          <w:szCs w:val="20"/>
          <w:color w:val="auto"/>
        </w:rPr>
      </w:pPr>
    </w:p>
    <w:p>
      <w:pPr>
        <w:jc w:val="both"/>
        <w:ind w:left="660" w:hanging="328"/>
        <w:spacing w:after="0" w:line="23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2031, absent further legislative action.</w:t>
      </w:r>
    </w:p>
    <w:p>
      <w:pPr>
        <w:spacing w:after="0" w:line="2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Taxpayer Relief Act of 2012 further reduced Medicare payments to several types of providers.</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Inflation Reduction Act of 2022, or IRA, includes several provisions that will impact our business to varying degrees, including provisions that require Medicare Part D plans to cover with $0 in cost sharing the cost of adult vaccines recommended by the U.S. Advisory Committee on Immunization Practices, or ACIP. The IRA also includes provisions that reduce the out-of-pocket cap for Medicare Part D beneficiaries to $2,000 starting in 2025; impose new manufacturer financial liability on certain drugs in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will not qualify for the orphan drug exemption. The effects of the IRA on our business and the healthcare industry in general are not yet known.</w:t>
      </w:r>
    </w:p>
    <w:p>
      <w:pPr>
        <w:spacing w:after="0" w:line="2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there have been several judicial challenges to the 340B drug pricing program, which imposes ceilings on prices that drug manufacturers can charge for medications sold to certain health care facilities. These include challenges to the government’s reimbursement formula on specified covered outpatient drugs and disputes over potential product diversion through the use of “contract pharmacies,” among other issues. It is unclear how these challenges could affect covered hospitals who might purchase our future products and affect the rates we may charge such facilities for our approved products in the future, if any.</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Although a number of these and other proposed measures may require additional authorization to become effective, Congress and President Trump have indicated that they will continue to seek new measures to control drug costs including through the increased use of executive orders by the Trump administration. Additional state and federal healthcare reform measures may be adopted in the future. At the state level, legislatures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December 31, 2024, we had 105 full-time and part-time employees, of which 74 were located in the United Kingdom, 30 located in the United States and 1 located in Switzerland. As of December 31, 2024, 61% of our workforce and 53% of our leadership (at Director level and above) were female. In addition, 21% of our workforce were racially or ethnically diverse. Of our full and part-time employees, 27 have Ph.D. or M.D. degrees, and 68 are engaged in research and clinical development activities.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breakdown of the employment statistics as of December 31, 2024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5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Male</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26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16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160" w:type="dxa"/>
            <w:vAlign w:val="bottom"/>
          </w:tcPr>
          <w:p>
            <w:pPr>
              <w:spacing w:after="0"/>
              <w:rPr>
                <w:sz w:val="21"/>
                <w:szCs w:val="21"/>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140" w:type="dxa"/>
            <w:vAlign w:val="bottom"/>
          </w:tcPr>
          <w:p>
            <w:pPr>
              <w:spacing w:after="0"/>
              <w:rPr>
                <w:sz w:val="21"/>
                <w:szCs w:val="21"/>
                <w:color w:val="auto"/>
              </w:rPr>
            </w:pPr>
          </w:p>
        </w:tc>
      </w:tr>
      <w:tr>
        <w:trPr>
          <w:trHeight w:val="250"/>
        </w:trPr>
        <w:tc>
          <w:tcPr>
            <w:tcW w:w="1160" w:type="dxa"/>
            <w:vAlign w:val="bottom"/>
          </w:tcPr>
          <w:p>
            <w:pPr>
              <w:spacing w:after="0"/>
              <w:rPr>
                <w:sz w:val="21"/>
                <w:szCs w:val="21"/>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Director/Vice President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140" w:type="dxa"/>
            <w:vAlign w:val="bottom"/>
          </w:tcPr>
          <w:p>
            <w:pPr>
              <w:spacing w:after="0"/>
              <w:rPr>
                <w:sz w:val="21"/>
                <w:szCs w:val="21"/>
                <w:color w:val="auto"/>
              </w:rPr>
            </w:pPr>
          </w:p>
        </w:tc>
      </w:tr>
      <w:tr>
        <w:trPr>
          <w:trHeight w:val="263"/>
        </w:trPr>
        <w:tc>
          <w:tcPr>
            <w:tcW w:w="1160" w:type="dxa"/>
            <w:vAlign w:val="bottom"/>
          </w:tcPr>
          <w:p>
            <w:pPr>
              <w:spacing w:after="0"/>
              <w:rPr>
                <w:sz w:val="22"/>
                <w:szCs w:val="22"/>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Managers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140" w:type="dxa"/>
            <w:vAlign w:val="bottom"/>
          </w:tcPr>
          <w:p>
            <w:pPr>
              <w:spacing w:after="0"/>
              <w:rPr>
                <w:sz w:val="22"/>
                <w:szCs w:val="22"/>
                <w:color w:val="auto"/>
              </w:rPr>
            </w:pPr>
          </w:p>
        </w:tc>
      </w:tr>
      <w:tr>
        <w:trPr>
          <w:trHeight w:val="250"/>
        </w:trPr>
        <w:tc>
          <w:tcPr>
            <w:tcW w:w="1160" w:type="dxa"/>
            <w:vAlign w:val="bottom"/>
          </w:tcPr>
          <w:p>
            <w:pPr>
              <w:spacing w:after="0"/>
              <w:rPr>
                <w:sz w:val="21"/>
                <w:szCs w:val="21"/>
                <w:color w:val="auto"/>
              </w:rPr>
            </w:pPr>
          </w:p>
        </w:tc>
        <w:tc>
          <w:tcPr>
            <w:tcW w:w="4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Scientists and Support Functions</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140" w:type="dxa"/>
            <w:vAlign w:val="bottom"/>
          </w:tcPr>
          <w:p>
            <w:pPr>
              <w:spacing w:after="0"/>
              <w:rPr>
                <w:sz w:val="21"/>
                <w:szCs w:val="21"/>
                <w:color w:val="auto"/>
              </w:rPr>
            </w:pPr>
          </w:p>
        </w:tc>
      </w:tr>
      <w:tr>
        <w:trPr>
          <w:trHeight w:val="281"/>
        </w:trPr>
        <w:tc>
          <w:tcPr>
            <w:tcW w:w="1160" w:type="dxa"/>
            <w:vAlign w:val="bottom"/>
          </w:tcPr>
          <w:p>
            <w:pPr>
              <w:spacing w:after="0"/>
              <w:rPr>
                <w:sz w:val="24"/>
                <w:szCs w:val="24"/>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41</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64</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105</w:t>
            </w:r>
          </w:p>
        </w:tc>
        <w:tc>
          <w:tcPr>
            <w:tcW w:w="11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865"/>
        </w:trPr>
        <w:tc>
          <w:tcPr>
            <w:tcW w:w="11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ind w:right="1173"/>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Demographic</w:t>
            </w:r>
          </w:p>
        </w:tc>
        <w:tc>
          <w:tcPr>
            <w:tcW w:w="15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Male</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4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Asian</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5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 Caribbean, or African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63"/>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Mixed, other or multiple ethnic groups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50"/>
        </w:trPr>
        <w:tc>
          <w:tcPr>
            <w:tcW w:w="4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White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81"/>
        </w:trPr>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41</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64</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restructuring announced in January 2025, we are undertaking a reduction in headcount of approximately 65%, that impacts sites in the U.S. and the U.K. The workforce reduction in the U.K. was subject to consultation and the outcome was confirmed in February 2025. A significant amount of the reduction in workforce will occur in the first half of 2025.</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We engage with our employees in multiple ways including through company-wide events, social events and team events. We also have a bonus scheme and equity incentive plan in which all employees are entitled to participate. The principal purposes of our equity incentive plans are to attract, retain and reward personnel through the grant of equity-based compensation awards. We believe that attracting and retaining talent increases shareholder value and furthers the success of our company by motivating our employees to perform to the best of their abilities and achieve our objectives.</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employ individuals based on their experience and ability. We focus on hiring and retaining qualified candidates by promoting a supportive and inclusive working environment for all. We believe that fostering a workforce with a wide range of experiences and backgrounds is a key element to discovering, developing, and bringing transformative therapies to patients.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safety of our workforce, including consultants and visitors to our office/laboratory, has and remains of paramount importance to us. We have a Health and Safety Committee that focuses on implementing policies and training programs to enhance workplace safety.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Carbon emissions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calculated the emissions for the year ended December 31, 2024 and 2023 in tons of carbon dioxide equivalent (“tCO2e”). The carbon emissions for our company for the years ended December 31, 2024 and 2023 are as follows:</w:t>
      </w:r>
    </w:p>
    <w:p>
      <w:pPr>
        <w:spacing w:after="0" w:line="210" w:lineRule="exact"/>
        <w:rPr>
          <w:sz w:val="20"/>
          <w:szCs w:val="20"/>
          <w:color w:val="auto"/>
        </w:rPr>
      </w:pPr>
    </w:p>
    <w:tbl>
      <w:tblPr>
        <w:tblLayout w:type="fixed"/>
        <w:tblInd w:w="96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0" w:type="dxa"/>
            <w:vAlign w:val="bottom"/>
          </w:tcPr>
          <w:p>
            <w:pPr>
              <w:spacing w:after="0"/>
              <w:rPr>
                <w:sz w:val="16"/>
                <w:szCs w:val="16"/>
                <w:color w:val="auto"/>
              </w:rPr>
            </w:pPr>
          </w:p>
        </w:tc>
        <w:tc>
          <w:tcPr>
            <w:tcW w:w="2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Scope</w:t>
            </w: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60" w:type="dxa"/>
            <w:vAlign w:val="bottom"/>
            <w:gridSpan w:val="2"/>
            <w:vMerge w:val="continue"/>
          </w:tcPr>
          <w:p>
            <w:pPr>
              <w:spacing w:after="0"/>
              <w:rPr>
                <w:sz w:val="16"/>
                <w:szCs w:val="16"/>
                <w:color w:val="auto"/>
              </w:rPr>
            </w:pPr>
          </w:p>
        </w:tc>
        <w:tc>
          <w:tcPr>
            <w:tcW w:w="1000" w:type="dxa"/>
            <w:vAlign w:val="bottom"/>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tCO2e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Total emissions</w:t>
            </w:r>
          </w:p>
        </w:tc>
        <w:tc>
          <w:tcPr>
            <w:tcW w:w="1000" w:type="dxa"/>
            <w:vAlign w:val="bottom"/>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tCO2e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Total emissions</w:t>
            </w:r>
          </w:p>
        </w:tc>
        <w:tc>
          <w:tcPr>
            <w:tcW w:w="0" w:type="dxa"/>
            <w:vAlign w:val="bottom"/>
          </w:tcPr>
          <w:p>
            <w:pPr>
              <w:spacing w:after="0"/>
              <w:rPr>
                <w:sz w:val="1"/>
                <w:szCs w:val="1"/>
                <w:color w:val="auto"/>
              </w:rPr>
            </w:pPr>
          </w:p>
        </w:tc>
      </w:tr>
      <w:tr>
        <w:trPr>
          <w:trHeight w:val="23"/>
        </w:trPr>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Scope 1</w:t>
            </w:r>
          </w:p>
        </w:tc>
        <w:tc>
          <w:tcPr>
            <w:tcW w:w="10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6.23</w:t>
            </w:r>
          </w:p>
        </w:tc>
        <w:tc>
          <w:tcPr>
            <w:tcW w:w="2240" w:type="dxa"/>
            <w:vAlign w:val="bottom"/>
            <w:gridSpan w:val="3"/>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color w:val="auto"/>
                <w:w w:val="91"/>
              </w:rPr>
              <w:t>2%</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6.54</w:t>
            </w:r>
          </w:p>
        </w:tc>
        <w:tc>
          <w:tcPr>
            <w:tcW w:w="2240" w:type="dxa"/>
            <w:vAlign w:val="bottom"/>
            <w:gridSpan w:val="3"/>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Scope 2</w:t>
            </w:r>
          </w:p>
        </w:tc>
        <w:tc>
          <w:tcPr>
            <w:tcW w:w="100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color w:val="auto"/>
              </w:rPr>
              <w:t>391.91</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8"/>
                <w:szCs w:val="18"/>
                <w:color w:val="auto"/>
              </w:rPr>
              <w:t>360.00</w:t>
            </w: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7"/>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b w:val="1"/>
                <w:bCs w:val="1"/>
                <w:color w:val="auto"/>
              </w:rPr>
              <w:t>398.14</w:t>
            </w:r>
          </w:p>
        </w:tc>
        <w:tc>
          <w:tcPr>
            <w:tcW w:w="2240" w:type="dxa"/>
            <w:vAlign w:val="bottom"/>
            <w:gridSpan w:val="3"/>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b w:val="1"/>
                <w:bCs w:val="1"/>
                <w:color w:val="auto"/>
              </w:rPr>
              <w:t>366.54</w:t>
            </w:r>
          </w:p>
        </w:tc>
        <w:tc>
          <w:tcPr>
            <w:tcW w:w="2240" w:type="dxa"/>
            <w:vAlign w:val="bottom"/>
            <w:gridSpan w:val="3"/>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For clarity, scope 1 emissions are direct emissions produced from activities owned or controlled by us. Scope 2 emissions are indirect emissions related to the generation of the electricity consumed and purchased by us. We have used the most recent evidence or estimates provided by our energy supply partners to generate our disclosure of emissions for the period. Standard emissions factors from the “U.K. Government GHG Conversion Factors for Company Reporting (2023)” guidance were applied to estimate emissions. Electricity, heating and cooling usage at our leased facilities in the United States and the United Kingdom are responsible for a significant amount of our greenhouse gas emissions, with the remainder due to operations conducted within our laboratory. The increase in emissions is primarily attributable to our U.K. laboratory and office facilities which is 31,000 square feet.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elected not to include the voluntary disclosure for Scope 3 emissions.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the split of emissions by geography is as follows:</w:t>
      </w:r>
    </w:p>
    <w:p>
      <w:pPr>
        <w:spacing w:after="0" w:line="25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Total</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Scope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tCO2e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emissions</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0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Scope 1</w:t>
            </w:r>
          </w:p>
        </w:tc>
        <w:tc>
          <w:tcPr>
            <w:tcW w:w="15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U.K.</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17"/>
        </w:trPr>
        <w:tc>
          <w:tcPr>
            <w:tcW w:w="6020" w:type="dxa"/>
            <w:vAlign w:val="bottom"/>
            <w:gridSpan w:val="2"/>
            <w:vMerge w:val="continue"/>
            <w:shd w:val="clear" w:color="auto" w:fill="CCEEFF"/>
          </w:tcPr>
          <w:p>
            <w:pPr>
              <w:spacing w:after="0"/>
              <w:rPr>
                <w:sz w:val="10"/>
                <w:szCs w:val="10"/>
                <w:color w:val="auto"/>
              </w:rPr>
            </w:pPr>
          </w:p>
        </w:tc>
        <w:tc>
          <w:tcPr>
            <w:tcW w:w="1560" w:type="dxa"/>
            <w:vAlign w:val="bottom"/>
            <w:gridSpan w:val="2"/>
            <w:vMerge w:val="continue"/>
            <w:shd w:val="clear" w:color="auto" w:fill="CCEEFF"/>
          </w:tcPr>
          <w:p>
            <w:pPr>
              <w:spacing w:after="0"/>
              <w:rPr>
                <w:sz w:val="10"/>
                <w:szCs w:val="10"/>
                <w:color w:val="auto"/>
              </w:rPr>
            </w:pPr>
          </w:p>
        </w:tc>
        <w:tc>
          <w:tcPr>
            <w:tcW w:w="14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U.S.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Scope 2</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U.K.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130.53</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U.S.</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261.38</w:t>
            </w: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66%</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398.14</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left="160" w:hanging="152"/>
        <w:spacing w:after="0"/>
        <w:tabs>
          <w:tab w:leader="none" w:pos="16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amount less than one percent.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consider the intensity ratio of tons of carbon dioxide per full-time employee, as a suitable metric for its operations for the years ended December 31, 2024, and 2023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gridSpan w:val="4"/>
          </w:tcPr>
          <w:p>
            <w:pPr>
              <w:ind w:left="1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8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7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0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tCO2e /employee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employees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tCO2e /employee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employees</w:t>
            </w:r>
          </w:p>
        </w:tc>
        <w:tc>
          <w:tcPr>
            <w:tcW w:w="0" w:type="dxa"/>
            <w:vAlign w:val="bottom"/>
          </w:tcPr>
          <w:p>
            <w:pPr>
              <w:spacing w:after="0"/>
              <w:rPr>
                <w:sz w:val="1"/>
                <w:szCs w:val="1"/>
                <w:color w:val="auto"/>
              </w:rPr>
            </w:pPr>
          </w:p>
        </w:tc>
      </w:tr>
      <w:tr>
        <w:trPr>
          <w:trHeight w:val="23"/>
        </w:trPr>
        <w:tc>
          <w:tcPr>
            <w:tcW w:w="4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Intensity ratio</w:t>
            </w:r>
          </w:p>
        </w:tc>
        <w:tc>
          <w:tcPr>
            <w:tcW w:w="168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tons of carbon dioxide per employee has increased year on year, primarily as a result of our leased facilities in the United Kingdom and 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more employees have been able to work from the office and therefore produced more greenhouse gas emissions than in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have established that the Nominations and Corporate Governance Committee are to have oversight of the assessment and strategy on how to reduce our energy consumption and thereby reducing our carbon footprint.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maintain an internet website at https://www.barinthusbio.com/ and make available free of charge through our website our Annual Reports on Form 10-K, Quarterly Reports on Form 10-Q, Current Reports on Form 8-K, including exhibits and amendments to those reports filed or furnished pursuant to Sections 13(a) and 15(d) of the Exchange Act of 1934, or the Exchange Act. We make these reports available through our website as soon as reasonably practicable after we electronically file such reports with, or furnish such reports to, the SEC.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regularly use our website to post information regarding our business, product development programs and governance, and we encourage investors to use our website, particularly the information in the section entitled “Investors,” as a source of information about 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on our website is not incorporated by reference into this Annual Report and should not be considered to be a part of this Annual Report.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website address is included in this Annual Report as an inactive technical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in our American Depositary Shares ("ADSs") involves a high degree of risk. You should carefully consider the following risks and uncertainties,</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together with all other information in this report, including our consolidated financial statements and related notes and “Management’s Discussion and Analysis of Financial Condition and Results of Operations,” as well as our other filings with the Securities and Exchange Commission. Our business, results of operations, financial condition, and prospects could also be harmed by risks and uncertainties not currently known to us or that we currently do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i w:val="1"/>
          <w:iCs w:val="1"/>
          <w:color w:val="auto"/>
        </w:rPr>
        <w:t>not believe to be material. If any of the risks actually occur, our business, results of operations, financial condition, and prospects could be harmed. In that event, the market price of our ADSs could decline, and you could lose part or all of your investment.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Capital Needs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We have incurred significant losses since inception. We expect to incur losses for at least the next several years and may never achieve or maintain profitability.</w:t>
      </w:r>
    </w:p>
    <w:p>
      <w:pPr>
        <w:spacing w:after="0" w:line="1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and we are in the early stages of our product development efforts. Investment in biopharmaceutical product development is highly speculative because it entails substantial upfront capital expenditures and significant risk that any potential product candidate will fail to demonstrate adequate efficacy or an acceptable safety profile, obtain marketing authorization and become commercially viable. Currently, we have no products approved for commercial sale and are not generating any revenue from product sales. To date, we have devoted substantially all of our resources to organizing and staffing our company, business planning, raising capital, undertaking preclinical studies and clinical trials of our product candidates, securing related intellectual property rights and conducting discovery, research and development activities for our programs. We have incurred net losses each year since inception through to December 31, 2021. For the year ended December 31, 2022, we generated net income of $5.3 million, primarily as a result of revenues (royalties/milestone payments) arising from AstraZeneca sales of Vaxzevria and our agreement with OUI. For the years ending December 31, 2024 and 2023, we incurred net losses of $61.2 million and $73.4 million, respectively. As of December 31, 2024 and 2023, we had an accumulated deficit of $237.7 million and $176.6 million, respectively, and we do not currently expect profits or positive cash flows from operations in the foreseeable future. We anticipate that our expenses will increase substantially if, and as we:</w:t>
      </w:r>
    </w:p>
    <w:p>
      <w:pPr>
        <w:spacing w:after="0" w:line="18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clinical and preclinical development of our current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our technologies to advance additional product candidates into preclinical and clinical development;</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authorizations for product candidates that successfully complete clinical trials, if any;</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clinical, regulatory, quality control and other personnel;</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and future product candidates based on our proprietary biologic and synthetic platforms, including the Chimpanzee Adenovirus Oxford ("ChAdOx") and Modified vaccinia Ankara ("MVA"), vectors, SNAP-TI, SNAP-CI and our other technologies;</w:t>
      </w:r>
    </w:p>
    <w:p>
      <w:pPr>
        <w:spacing w:after="0" w:line="19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manufacturing capabilities through third parties or by ourselves and scale-up manufacturing to provide adequate supply for clinical trials and commercialization;</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protect and enforce our intellectual property portfolio;</w:t>
      </w:r>
    </w:p>
    <w:p>
      <w:pPr>
        <w:spacing w:after="0" w:line="21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products for which we may obtain marketing approval and intend to commercialize on our own or through a selected partner;</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for development and commercialization; and</w:t>
      </w:r>
    </w:p>
    <w:p>
      <w:pPr>
        <w:spacing w:after="0" w:line="21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our business, including the additional costs associated with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costs and other expenditures to develop and market additional product candidates and we may never generate revenue that is significant or large enough to achieve profitability. We may also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unless and until such losses are eliminated by revenue.</w:t>
      </w:r>
    </w:p>
    <w:p>
      <w:pPr>
        <w:spacing w:after="0" w:line="16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we do achieve profitability, we may not be able to sustain or increase profitability on a quarterly or annual basis. Accordingly, our failure to become and remain profitable would decrease the value of our company and could impair our ability to raise capital, maintain our research and development efforts,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expand our business or continue our operations. A decline in the value of our company also could cause you to lose all or part of your investment.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yet generated any material revenue from our current product candidates.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We do not expect to generate significant revenue from our current or future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product candidates unless or until we successfully complete clinical development and obtain marketing authorization for, and then successfully commercialize, at least one of our product candidates.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product candidates are in the preclinical stages of development and will require additional preclinical studies, and all of our product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candidates will require additional clinical development, regulatory review and approval, substantial investment, access to sufficient commercial manufacturing capacity and significant marketing efforts before we can generate any revenue from product sales. We have not yet administered certain of our product candidates to humans and, as such, we face significant translational risk as our product candidates advance into and through the clinical stage,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as promising results in preclinical studies may not be replicated in subsequent clinical trials, and testing on animals may not accurately predict human experience. Our ability to generate revenue depends on a number of factors, including, but not limited to:</w:t>
      </w:r>
    </w:p>
    <w:p>
      <w:pPr>
        <w:spacing w:after="0" w:line="157" w:lineRule="exact"/>
        <w:rPr>
          <w:sz w:val="20"/>
          <w:szCs w:val="20"/>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our manufacturing, preclinical studies and clinical trials, which may be significantly slower or cost more than we currently anticipate and will depend substantially upon the performance of third-party contractors;</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out of our control, such as participant willingness to enroll in our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INDs, enabling trials and successfully submit INDs or comparable applications, for our product candidates;</w:t>
      </w:r>
    </w:p>
    <w:p>
      <w:pPr>
        <w:spacing w:after="0" w:line="19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the EMA, or the MHRA or similar foreign regulatory authorities, to conduct additional clinical trials or other studies beyond those planned to support the approval and commercialization of our product candidates or any future product candidates;</w:t>
      </w:r>
    </w:p>
    <w:p>
      <w:pPr>
        <w:spacing w:after="0" w:line="158" w:lineRule="exact"/>
        <w:rPr>
          <w:rFonts w:ascii="Times New Roman" w:cs="Times New Roman" w:eastAsia="Times New Roman" w:hAnsi="Times New Roman"/>
          <w:sz w:val="18"/>
          <w:szCs w:val="18"/>
          <w:color w:val="auto"/>
        </w:rPr>
      </w:pPr>
    </w:p>
    <w:p>
      <w:pPr>
        <w:jc w:val="both"/>
        <w:ind w:left="660" w:right="20" w:hanging="328"/>
        <w:spacing w:after="0" w:line="23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and similar foreign regulatory authorities the safety, potency, purity, efficacy and acceptable risk to benefit profile of our product candidates or any future product candidates and such regulatory authorities’ acceptance of our development strategy;</w:t>
      </w:r>
    </w:p>
    <w:p>
      <w:pPr>
        <w:spacing w:after="0" w:line="15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product candidates or future product candidates, if any;</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similar foreign regulatory authorities;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operators of clinics and patients to utilize or adopt any of our product candidates or future product candidates over alternative or more conventional approaches, including antivirals, immune modulators, monoclonal antibodies, siRNA, CRISPR editing, capsid inhibitors, novel entry inhibitors, or other small molecules, RNA, DNA, nanoparticle, VLP, peptide, protein, whole-killed or other vaccine technologies;</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2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availability, cost, risk profile and side effects and efficacy of our product candidates, if approved, relative to existing and future alternative immunotherapies, therapeutic and prophylactic vaccines and competitive product candidates and technologies; 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demand for our product candidates and any future product candidates, if approved;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maintain, protect and enforce intellectual property rights in and to our product candidates or any future product candidates;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licensees and collaborators to develop and commercialize our products effectively;</w:t>
      </w:r>
    </w:p>
    <w:p>
      <w:pPr>
        <w:spacing w:after="0" w:line="184"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some or all of the patients that receive the AstraZeneca product Vaxzevria develop neutralizing antibodies against ChAdOx, which could limit the immunological response from subsequent dosing with one of our viral vector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immunogenicity of our viral vectors or immune tolerance with SNAP-TI may not translate into clinical benefit;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costs and complexities associated with manufacturing; and</w:t>
      </w:r>
    </w:p>
    <w:p>
      <w:pPr>
        <w:spacing w:after="0" w:line="23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for the development of product candidates contributed by third parties, such as CRUK, CEPI and CanSino, whether spent directly by them or by grant or other funding into our company.</w:t>
      </w:r>
    </w:p>
    <w:p>
      <w:pPr>
        <w:spacing w:after="0" w:line="200" w:lineRule="exact"/>
        <w:rPr>
          <w:sz w:val="20"/>
          <w:szCs w:val="20"/>
          <w:color w:val="auto"/>
        </w:rPr>
      </w:pPr>
    </w:p>
    <w:p>
      <w:pPr>
        <w:spacing w:after="0" w:line="21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Many of the factors listed above are beyond our control and could cause us to experience significant delays or prevent us from obtaining marketing authorizations for, or commercializing, our product candidates. Even if we are able to commercialize our product candidates, we may not achieve profitability soon after generating product sales, if ever. If we are unable to generate sufficient revenue through the sale of our product candidates or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product candidates, we may be unable to continue operations without continued funding.</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or future strategic partnerships, this may increase our capital requirements, dilute our shareholders, cause us to incur debt or assume contingent liabilities, and subject us to other risks.</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may evaluate acquisitions and strategic partnerships in the future, including licensing or acquiring complementary product candidates, intellectual property rights, technologies or businesses. Any acquisition or strategic partnership may entail numerous risks, including:</w:t>
      </w:r>
    </w:p>
    <w:p>
      <w:pPr>
        <w:spacing w:after="0" w:line="15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or contingent liabilities;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 which would result in dilution to our existing shareholders;</w:t>
      </w:r>
    </w:p>
    <w:p>
      <w:pPr>
        <w:spacing w:after="0" w:line="184"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products and product candidates of an acquired company, including difficulties associated with integrating new personnel;</w:t>
      </w:r>
    </w:p>
    <w:p>
      <w:pPr>
        <w:spacing w:after="0" w:line="171"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an acquisition or strategic partnership;</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9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to achieve marketing authorizations; and</w:t>
      </w:r>
    </w:p>
    <w:p>
      <w:pPr>
        <w:spacing w:after="0" w:line="15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generate revenue from acquired intellectual property, technology and/or products sufficient to meet our objectives or even to offset the associated transaction and maintenance costs.</w:t>
      </w:r>
    </w:p>
    <w:p>
      <w:pPr>
        <w:spacing w:after="0" w:line="1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we may assume or incur debt obligations, incur large one-time expenses and/or acquire intangible assets that could result in significant future amortization expense.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are a clinical-stage biopharmaceutical company with no approved products and a limited operating history. Our operations to date have been limited to organizing and staffing our company, business planning, raising capital, filing patent applications, identifying potential product candidates, undertaking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preclinical studies, in-licensing product candidates for development, and establishing arrangements with third parties for the manufacture of initial quantities of our product candidates and component materials, as well as sponsoring and conducting clinical trials up to Phase 2b. We have not yet demonstrated our ability to successfully complete clinical trials beyond Phase 2b, obtain marketing approvals,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be if we had a longer operating history.</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We will need to transition at some point from a company with a research and development focus to a company capable of supporting additional commercial activities. We may not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 in such a transition.</w:t>
      </w:r>
    </w:p>
    <w:p>
      <w:pPr>
        <w:spacing w:after="0" w:line="16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are currently advancing current and future product candidates based on our proprietary biologic and synthetic platforms, including the ChAdOx and MVA vectors, SNAP-TI, and our other technologies through clinical development. Developing and commercializing products for therapeutic indications is expensive, and we do not expect to generate meaningful product revenues in the foreseeable future.</w:t>
      </w:r>
    </w:p>
    <w:p>
      <w:pPr>
        <w:spacing w:after="0" w:line="17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As of December 31, 2024, our cash, cash equivalents and restricted cash were $112.4 million. Based on our current business plan, our management believes that we have sufficient cash and other financial resources to support our operations into the start of 2027, without additional financing. Our fundraising efforts to raise additional capital may divert our management from their day-to-day activities, which may adversely affect our ability to develop our</w:t>
      </w:r>
    </w:p>
    <w:p>
      <w:pPr>
        <w:jc w:val="both"/>
        <w:spacing w:after="0" w:line="208" w:lineRule="auto"/>
        <w:rPr>
          <w:sz w:val="20"/>
          <w:szCs w:val="20"/>
          <w:color w:val="auto"/>
        </w:rPr>
      </w:pPr>
      <w:r>
        <w:rPr>
          <w:rFonts w:ascii="Times New Roman" w:cs="Times New Roman" w:eastAsia="Times New Roman" w:hAnsi="Times New Roman"/>
          <w:sz w:val="18"/>
          <w:szCs w:val="18"/>
          <w:color w:val="auto"/>
        </w:rPr>
        <w:t>platforms. In addition, we cannot guarantee that financing will be available in sufficient amounts or on terms acceptable to us, if at all. Moreover, the terms of any financing may adversely affect the holdings or the rights of our existing shareholders and the issuance of additional securities, whether equity or debt, by us, or the possibility of such issuance, may cause the market price of our shares to decline. The sale of additional equity or convertible securities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would dilute our existing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revise our current business plan and strategy, which may result in us significantly curtailing, delaying or discontinuing one or more of our clinical trials, decreasing headcount or may result in our being unable to expand our operations or otherwise capitalize on our business opportunities. As a result, our business, financial condition and results of operations could be materially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affected.</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 In addition, we may seek additional capital due to favorable market conditions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 considerations, even if we believe that we have sufficient funds for our current or future operating plans.</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ordinary shares, convertible securities or other equity securities, your ownership interest may be diluted, and the terms of these securities could include liquidation or other preferences and anti-dilution protections that could adversely affect your rights as a common shareholder. In addition, debt financing, if available, may result in fixed payment obligations and may involve agreements that include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restrictive covenants that limit our ability to take specific actions, such as incurring additional debt, making capital expenditures, creating liens, redeeming shares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adversely affect our management’s ability to oversee the development of our product candidates.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raise additional funds when needed, we would be required to delay, limit, reduce or terminate our product development or future commercialization efforts or grant rights to third parties to develop and market our product candidates that we would otherwise prefer to develop and market ourselves.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funding in the future. If we are unable to raise capital when needed, we would be compelled to delay, reduce or eliminate our product development programs or commercialization efforts.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Since our inception, we have invested a significant portion of our efforts and financial resources in research and development activities for our platforms and our product candidates developed using our platforms. Preclinical studies, clinical trials and additional research and development activities will require substantial funds to complete. We expect the research and development expenses for our programs to increase in parallel with the ongoing activities,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particularly as we continue our preclinical and clinical development activities to identify new product candidates and conduct clinical trials of, and seek marketing approval for, our product candidates. In addition, if we obtain marketing approval for any of our product candidates, we expect to incur significant commercialization expenses related to product launch, product sales, marketing, manufacturing and distribution. Furthermore, we expect to</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incur significant additional costs associated with operating as a public company. Accordingly, we will need to obtain substantial additional funding in connection with our continuing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we have estimated our current additional funding needs based on assumptions that may prove to be wrong. Additionally, changing circumstances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may cause us to consume capital significantly faster than we currently anticipate, and we may need to spend more money than currently expected because of circumstances beyond our control. We cannot be certain that additional funding will be available on acceptable terms, or at all. Until such time, if ever, as we can generate substantial product revenue, we expect to finance our operations through a combination of public or private equity offerings, debt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financings, governmental funding, collaborations, strategic partnerships and alliances or marketing, distribution or licensing arrangements with third parties. If we are unable to raise capital or generate revenue when needed or on attractive terms, we would be forced to delay, reduce or eliminate our discovery and preclinical development programs or any future commercialization efforts.</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had cash, cash equivalents and restricted cash of $112.4 million as of December 31, 2024. Our future capital requirements will depend on many factors, including:</w:t>
      </w:r>
    </w:p>
    <w:p>
      <w:pPr>
        <w:spacing w:after="0" w:line="158" w:lineRule="exact"/>
        <w:rPr>
          <w:sz w:val="20"/>
          <w:szCs w:val="20"/>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current and future product candidates and programs, and of conducting preclinical studies and clinical trials;</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 and of other indications for our current product candidates that we may pursue;</w:t>
      </w:r>
    </w:p>
    <w:p>
      <w:pPr>
        <w:spacing w:after="0" w:line="171"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scale and yield of future manufacturing processes as we scale-up production and formulation of our product candidates either internally or externally for later stages of development and commercialization;</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p>
      <w:pPr>
        <w:spacing w:after="0" w:line="15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CEPI, Oxford University/OUI, Arbutus, CanSino, CRUK and the Ludwig Institute and any future collaboration partners;</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strategic licensing or other arrangements and the financial terms of such agreements;</w:t>
      </w:r>
    </w:p>
    <w:p>
      <w:pPr>
        <w:spacing w:after="0" w:line="18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including product launch, product sales, marketing, manufacturing and distribution, for any of our current and future product candidates for which we receive marketing approval;</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commercial sales revenues, milestones or royalties or other income from, our future products, should any of our product candidates receive marketing approval;</w:t>
      </w:r>
    </w:p>
    <w:p>
      <w:pPr>
        <w:spacing w:after="0" w:line="15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enforcing and protecting our intellectual property rights and defending intellectual property-related claims including litigation costs and any damages awarded in such litigation; and</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success or otherwise of competing autoimmune or infectious disease therapies and other market developments.</w:t>
      </w:r>
    </w:p>
    <w:p>
      <w:pPr>
        <w:spacing w:after="0" w:line="23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Identifying potential product candidates, manufacturing them and conducting preclinical testing and clinical trials is a time-consuming, expensive and uncertain process that takes years to complete, and we may never generate the necessary data or results required to obtain marketing approval and achieve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Recent volatility in capital markets and lower market prices for many securities may affect our ability to access new capital through sales of shares of our ordinary shares or issuance of indebtedness, which may harm our liquidity, limit our ability to grow our business, pursue acquisitions or improve</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infrastructure and restrict our ability to compete in our markets.</w:t>
      </w:r>
    </w:p>
    <w:p>
      <w:pPr>
        <w:spacing w:after="0" w:line="165"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Our operations consume substantial amounts of cash, and we intend to continue to make significant investments to support our business growth, respond to business challenges or opportunities, develop new product candidates, maintain optimal levels of personnel, enhance our operating infrastructure, and</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potentially acquire complementary businesses and technologies. Our future capital requirements may be significantly different from our current estimates and will depend on many factors, including the need to:</w:t>
      </w:r>
    </w:p>
    <w:p>
      <w:pPr>
        <w:spacing w:after="0" w:line="157" w:lineRule="exact"/>
        <w:rPr>
          <w:sz w:val="20"/>
          <w:szCs w:val="20"/>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98"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technological infrastructure and our existing solutions;</w:t>
      </w:r>
    </w:p>
    <w:p>
      <w:pPr>
        <w:spacing w:after="0" w:line="18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or other strategic relationships; and</w:t>
      </w:r>
    </w:p>
    <w:p>
      <w:pPr>
        <w:spacing w:after="0" w:line="18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superior to those of holders of our ordinary shares.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 significant limitations on our ability to invest in our operations and otherwise suffer harm to our business.</w:t>
      </w:r>
    </w:p>
    <w:p>
      <w:pPr>
        <w:spacing w:after="0" w:line="16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and results of operations.</w:t>
      </w:r>
    </w:p>
    <w:p>
      <w:pPr>
        <w:spacing w:after="0" w:line="165"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Actual national and international events involving limited liquidity, defaults, non-performance or other adverse developments that affect financial institutions, transactional counterparties or other companies in the financial services industry or the financial services industry generally, or concerns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rumors about any events of these kinds or other similar risks, have in the past and may in the future lead to market-wide liquidity problems.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financial institutions with which we have financial arrangements directly, or the financial services industry or the global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about the prospects for companies in the financial services industry or the life sciences industry. These factors could involve financial institutions or financial services industry companies with which we have financial or business relationships, but could also include factors involving financial markets or the financial services industry or life sciences industry generally.</w:t>
      </w:r>
    </w:p>
    <w:p>
      <w:pPr>
        <w:spacing w:after="0" w:line="17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5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84"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inability or reductions in our ability to refund, roll over or extend the maturity of, or enter into new credit facilities or other working capital resources;</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of credit or other credit support arrangements; 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cash management arrangements and/or delays in accessing or actual loss of funds subject to cash management arrangements.</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or life sciences industry could lead to losses or defaults by our third-party manufacturers or suppliers, which in turn, could have a material adverse effect on our current and/or projected business operations and results of operations and financial condition. For example, a third-party manufacturer or supplier may default under their agreements with us, become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insolvent or declare bankruptcy, or determine that they will no longer deal with us as a customer. In addition, a third-party manufacturer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failed financial institution. Any third-party manufacturer or supplier bankruptcy or insolvency, or any breach or default by a third-party manufacturer or supplier, or the loss of any significant third-party manufacturer or supplier relationships, could result in material losses to us and may have a material adverse impact on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 and Risks Related to Clinical Development</w:t>
      </w:r>
    </w:p>
    <w:p>
      <w:pPr>
        <w:spacing w:after="0" w:line="185"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advance our current or future product candidates into and through clinical trials, obtain marketing approval or reimbursement and ultimately commercialize any product candidates we develop, or experience significant delays in doing so, our business will be materially harmed.</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All of our product candidates are in early stages of development, including our lead product candidate VTP-1000, and as such will require extensive preclinical and clinical testing, as applicable. Product candidates may not meet targeted clinical or safety endpoints during clinical trials such as the MVA-based influenza vaccine candidate, VTP-100, which did not meet defined primary clinical endpoints in two concurrent Phase 2b trials and we subsequently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discontinued further development of this program. Our ability to generate product revenues, which we do not expect to occur for several years, if ever, will depend heavily on the successful development and eventual commercialization or out-license of the product candidates we develop, which may never occur. Before we are able to generate any revenues from product sales, our current product candidates, and any future product candidates we develop, will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 additional preclinical and clinical development, management of preclinical, clinical, and manufacturing activities, marketing approval in the United States and other markets, the demonstration of effectiveness to pricing and reimbursement authorities, the obtaining of sufficient manufacturing supply of product for both clinical development and commercial sales, the building of a commercial organization, and substantial investment in significant marketing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efforts for product launch. The success of our current and future product candidates will depend on several factors, including the following:</w:t>
      </w:r>
    </w:p>
    <w:p>
      <w:pPr>
        <w:spacing w:after="0" w:line="16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with sufficient safety and efficacy profiles, of preclinical studies and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 or equivalent clinical trial authorizations in other regions for our planned clinical trials or future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our ongoing and future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data from our clinical program that support an acceptable risk-benefit profile of our product candidates in the intended populations;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marketing authorizations from applicable regulatory authorities;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scale-up of our manufacturing processes and formulation of our product candidates for later stages of development and commercialization;</w:t>
      </w:r>
    </w:p>
    <w:p>
      <w:pPr>
        <w:spacing w:after="0" w:line="184"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our own manufacturing capabilities or agreements with third-party manufacturers for clinical supply for our clinical trials and commercial manufacturing, if our product candidate is approved;</w:t>
      </w:r>
    </w:p>
    <w:p>
      <w:pPr>
        <w:spacing w:after="0" w:line="171"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product candidate designs and formulations that provide sufficient genetic and thermal stability for long term storage and shipment to meet market requirements;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where needed, to further the development of our product candidates;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our product candidates, if and when approved to generate product sales;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candidate’s benefits and uses, if and when approved, by patients, the medical community and third-party payors;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our product candidates;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benefit/risk profile of the product candidates following authorization;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including new therapies that may be developed and approved;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maintaining, enforcing, and defending intellectual property rights and claims;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foreign regulatory authorities may not authorize our clinical trial protocols and other clinical trial documentation, including manufacturing documentation, even when previously authorized by the FDA, EMA or MHRA, which could lead to a delay in starting such clinical trials. For example, our HBV002 clinical trial conducted in South Korea experienced delays due to additional regulatory review of our clinical protocol. We have limited experience obtaining such approvals in foreign jurisdictions and therefore may need more time to navigate the regulatory process as a result.</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commercialize the product candidates we develop, which would materially harm our business. We have no control over third-party use of ChAdOx and MVA technologies outside of our exclusively licensed field under license from OUI, and such third-party use could have a negative impact on our ability to partner or develop current and future product candidates, which would materially harm our business.</w:t>
      </w:r>
    </w:p>
    <w:p>
      <w:pPr>
        <w:spacing w:after="0" w:line="16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Clinical development involves a lengthy and expensive process with uncertain outcomes, and results of earlier preclinical studies and clinical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marketing authorization of any of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product candidates, we may incur additional costs or experience delays in completing, or ultimately be unable to complete, the development of such product candidate.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experience delays in obtaining the FDA’s or other regulatory agencies authorization to initiate clinical trials under future INDs, completing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ongoing preclinical studies of our other product candidates, and initiating our planned preclinical studies and clinical trials. Additionally, we cannot be certain that preclinical studies or clinical trials for our product candidates will begin on time, not require redesign, enroll an adequate number of participants on time, or be completed on schedule, if at all. We may experience numerous adverse or unforeseen events during, or as a result of, preclinical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studies and clinical trials that could delay or prevent our ability to receive marketing authorization or commercialize our product candidates, including:</w:t>
      </w:r>
    </w:p>
    <w:p>
      <w:pPr>
        <w:spacing w:after="0" w:line="16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of our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treatments may become standard of care during the process of completing a clinical trial, which may impact the initial clinical trial design or future patient care pathways;</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relevant regulatory requirements may cause a delay in the start of a clinical trial, due to additional requirements needing to be met;</w:t>
      </w:r>
    </w:p>
    <w:p>
      <w:pPr>
        <w:spacing w:after="0" w:line="171"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our research efforts for our other product candidates;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not produce differentiated or clinically significant results across the disease areas that we focus on;</w:t>
      </w:r>
    </w:p>
    <w:p>
      <w:pPr>
        <w:spacing w:after="0" w:line="184"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participants required for clinical trials of our product candidates may be larger than we anticipate, enrollment in these clinical trials may be slower than we anticipate or participants may drop out of our clinical trials at a higher rate than we anticipate;</w:t>
      </w:r>
    </w:p>
    <w:p>
      <w:pPr>
        <w:spacing w:after="0" w:line="149"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or be unable to provide us with sufficient or timely product supply to conduct and complete preclinical studies or clinical trials of our product candidates in a timely manner, or at all;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left="660" w:hanging="328"/>
        <w:spacing w:after="0" w:line="23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for example, if we experience delays or challenges in identifying participants with the eligibility criteria required for our clinical trials, we may have to reimburse sites for the cost of testing of additional participants in order to encourage enrollment of additional participants;</w:t>
      </w:r>
    </w:p>
    <w:p>
      <w:pPr>
        <w:spacing w:after="0" w:line="15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product candidates or other materials necessary to conduct preclinical studies or clinical trials of our product candidates may be insufficient or inadequate, and any transfer of manufacturing activities may require unforeseen manufacturing or formulation changes;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collaborators may conduct clinical trials in ways they view as advantageous to them but that are suboptimal for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ChAdOx vectors are currently being evaluated in clinical trials outside of our licensed fields conducted by Oxford and other third parties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which OUI has granted licenses. We have no control over these other clinical trials and any adverse results in these clinical trials could impact public perception and regulatory approval of our product candidates. Even after any of our product candidates obtain regulatory marketing authorization, the announcement of adverse events observed in individuals who receive these products may impact public perception and may result in increased regulatory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scrutiny across our platform. For example, in March 2021, several countries announced plans to either temporarily suspend the use of a particular batch of Vaxzevria or the use of Vaxzevria altogether following reports of very rare thromboembolic events in people following vaccination. While the EMA subsequently issued an update confirming the overall risk-benefit profile of Vaxzevria remains positive, and Vaxzevria later received full marketing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authorization in the EU in November 2022, these types of announcements may affect public perception of the safety of Vaxzevria, which may extend to product candidates we are developing. Other very rare events have been reported in people who have received Vaxzevria, including thrombocytopenia (low platelet numbers in the blood), capillary leak syndrome, and neurological syndromes such as Guillain Barre Syndrome and transverse myelitis. Perception</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about the efficacy of Vaxzevria, such as its effectiveness against emerging COVID-19 variants, may also impact perception of our other product candidates. Additionally, these announcements may lead to additional inquiries or scrutiny from regulators on whether similar safety or efficacy signals have been observed with our other candidates. If we are required to conduct additional clinical trials or other testing of our product candidates beyond those that we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or ethics committees of the institutions in which such clinical trials are being conducted, or by the FDA or other regulatory authorities, or suspended or terminated based on recommendations by the Data Safety Monitoring Board or equivalent for such clinical trial.</w:t>
      </w:r>
    </w:p>
    <w:p>
      <w:pPr>
        <w:spacing w:after="0" w:line="17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changes in governmental regulations or administrative actions or lack of adequate funding to continue the clinical trial. In addition, any disclosure of negative data of clinical trials being conducted by our collaborators could have an adverse impact on our business.</w:t>
      </w:r>
    </w:p>
    <w:p>
      <w:pPr>
        <w:spacing w:after="0" w:line="1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comparable foreign regulatory authorities. The FDA or comparable foreign regulatory authority may conclude that a financial relationship between us and a principal investigator has created a conflict of interest or otherwise affected interpretation of the clinical trial. The FDA or comparable foreign regulatory authority may therefore question the integrity of the data generated at the applicable clinical trial site and the utility of the clinical trial itself may be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experience delays in the completion of any preclinical study or clinical trial of our product candidates, or our preclinical studies or clinical trials 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terminated, the commercial prospects of our product candidates may be harmed, and our ability to generate revenues from any of these product candidates will be delayed or not realized at all. In addition, any delays in completing our preclinical studies or clinical trials may increase our costs, slow down our product candidate development and authorization procedure and jeopardize our ability to commence product sales and generate revenues. Any of these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occurrences may significantly harm our business, financial condition and prospects. In addition, many of the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factors that cause, or lead to, a delay in the commencement or completion of clinical trials may also ultimately lead to the denial of marketing authorization for our product candidates. If one or more of our product candidates generally prove to be ineffective, unsafe or commercially unviable, this would have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and adverse effect on our business, financial condition, results of operations and prospects.</w:t>
      </w:r>
    </w:p>
    <w:p>
      <w:pPr>
        <w:spacing w:after="0" w:line="16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participant data becomes available and are subject to audit and verification procedures that could result in material changes in the final data.</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more complete data related to the particular study or trial. We also make assumptions, estimations, calculations and conclusions as part of our analyses of</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data, and we may not have received or had the opportunity to fully and carefully evaluate all data. As a result, the topline or preliminary results that we report may differ from future results of the same studies or clinical trials, or different conclusions or considerations may qualify such results, once additional data have been received and fully evaluated. Topline data also remain subject to audit and verification procedures that may result in the final data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being materially different from the preliminary data we previously published. As a result, topline data should be viewed with caution until the final data is available. From time to time, we may also disclose interim data from our clinical trials. Interim data from clinical trials that we may complete are subject to the risk that one or more of the clinical outcomes may materially change as participant enrollment continues and more participant data become available 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as participants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ADSs.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the ChAdOx vectors are currently being evaluated in clinical trials conducted by Oxford University/OUI and other third parties to which Oxford University/OUI has granted licenses. We have no control over these other clinical trials and any adverse results in these clinical trials could impact public perception and regulatory approval of our product candidates. The information these third parties choose to publicly disclose regarding a particular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study or clinical trial is based on what is typically extensive information, and shareholders may not agree with what these third parties determine is material or otherwise appropriate information to include in their disclosure. Further, others, including regulatory authorities, may not accept or agree with our assumptions, estimates, calculations, conclusions or analyses or may interpret or weigh the importance of data differently, which could impact the value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shareholders may not agree with what we determine is material or otherwise appropriate information to include in our disclosure.</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16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a novel approach to the treatment of infectious disease and autoimmunity, which makes it difficult to predict the time and cost of product candidate development.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concentrated our research and development efforts on components of our proprietary platforms to develop product candidates that either stimulate</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powerful, targeted immune responses against pathogens or promote immune tolerance for suppressing unwanted inflammation, which are novel approaches. Our future success depends on the successful development of these platforms. There can be no assurance that any development problems we experience in the future will not cause significant delays or unanticipated costs, or that such development problems can be solved. Should we encounter development problems, including unfavorable preclinical or clinical trial results, the FDA or foreign regulatory authorities may refuse to approve our</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product candidates, or may require additional information, tests, or trials, which could significantly delay product development and significantly increase our development costs. Moreover, even if we are able to provide the requested information or trials to the FDA, there would be no guarantee that the FDA would accept them or approve our product candidates. We may also experience delays in developing a sustainable, reproducible and scalable manufacturing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process, or developing other testing and manufacturing methods, which may prevent us from completing our clinical trials or commercializing our product candidates on a timely or profitable basis, if at all.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clinical trial requirements of the FDA and comparable foreign regulatory authorities and the criteria these regulators use to determine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safety and efficacy of a product candidate vary substantially according to the type, complexity, novelty and intended use and market of the potential products. The FDA and comparable foreign regulatory authorities have limited experience with the approval of novel immunotherapies. Any novel immunotherapies that are approved may be subject to extensive post- approval regulatory requirements, including requirements pertaining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distribution and promotion. We may need to devote significant time and resources to compliance with these requirements.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Difficulty in enrolling participants could delay or prevent clinical trials of our product candidates and prevent us from realizing the full commercial potential of any products we may develop.</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Identifying and qualifying participants to participate in clinical trials of our product candidates is critical to our success. The timing of completion of our clinical trials depends in part on the speed at which we can recruit participants to participate in testing our product candidates, and we may experience delays in our clinical trials if we encounter difficulties in enrollment. We may not be able to initiate or continue clinical trials for our product candidates if</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we are unable to locate and enroll a sufficient number of eligible participants to participate in these trials as required by the FDA, the EMA or other foreign regulatory authorities. We cannot anticipate the next pandemic or how that may or may not impact future clinical trial enrollment. In addition, some of our competitors have ongoing clinical trials for product candidates that treat the same indications as our product candidates, and participants who would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be eligible for our clinical trials may instead enroll in clinical trials of our competitors’ product candidates.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enrollment of patients and participants further depends on many factors, including:</w:t>
      </w:r>
    </w:p>
    <w:p>
      <w:pPr>
        <w:spacing w:after="0" w:line="18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clinical testing;</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participants to clinical trial sites;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inconvenience to patients by participating in a clinical trial, such as increased doctor visits, missed work, travel costs and time;</w:t>
      </w:r>
    </w:p>
    <w:p>
      <w:pPr>
        <w:spacing w:after="0" w:line="18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including the number of site visits, whether the clinical trial includes a placebo arm and invasive assessments required;</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participant consents;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w:t>
      </w:r>
    </w:p>
    <w:p>
      <w:pPr>
        <w:spacing w:after="0" w:line="184"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some or all of the patients that receive Vaxzevria develop neutralizing antibodies against ChAdOx, which could limit the immunogenicity from subsequent dosing with one of our product candidates that utilize ChAdOx;</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participants enrolled in clinical trials will drop out of the clinical trials before clinical trial completion; and</w:t>
      </w:r>
    </w:p>
    <w:p>
      <w:pPr>
        <w:spacing w:after="0" w:line="184"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potential pandemics that may limit participants, principal investigators or staff or clinical site availability.</w:t>
      </w:r>
    </w:p>
    <w:p>
      <w:pPr>
        <w:spacing w:after="0" w:line="172"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17"/>
          <w:szCs w:val="17"/>
          <w:color w:val="auto"/>
        </w:rPr>
        <w:t>Since the number of qualified clinical investigators is limited, we expect to conduct some of our clinical trials at the same clinical trial sites that some of our competitors use, which will reduce the number of participants who are available for our clinical trials at such clinical trial sites. Moreover, because certain of our product candidates represent a departure from more commonly used methods for treatment of disease, and because certain of our product</w:t>
      </w:r>
    </w:p>
    <w:p>
      <w:pPr>
        <w:ind w:right="140"/>
        <w:spacing w:after="0" w:line="226" w:lineRule="auto"/>
        <w:rPr>
          <w:sz w:val="20"/>
          <w:szCs w:val="20"/>
          <w:color w:val="auto"/>
        </w:rPr>
      </w:pPr>
      <w:r>
        <w:rPr>
          <w:rFonts w:ascii="Times New Roman" w:cs="Times New Roman" w:eastAsia="Times New Roman" w:hAnsi="Times New Roman"/>
          <w:sz w:val="18"/>
          <w:szCs w:val="18"/>
          <w:color w:val="auto"/>
        </w:rPr>
        <w:t>candidates have not been tested in humans before, potential participants and their doctors may be inclined to use conventional therapies, rather than enroll participants in a future clinical trial.</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experience delays in the completion or termination of any clinical trial of our product candidates, the commercial prospects of our product candidates will be harmed, and our ability to generate product revenue from any of these product candidates could be delayed or prevented.</w:t>
      </w:r>
    </w:p>
    <w:p>
      <w:pPr>
        <w:spacing w:after="0" w:line="14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serious adverse events, serious side effects or have other properties that could halt their clinical development, prevent their marketing authorization, require expansion of the trial size, limit their commercial potential or result in significant negative</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Serious side effects caused by our product candidates could cause us or regulatory authorities, including IRBs and ethics committees, to interrupt, delay or halt clinical trials and could result in a more restrictive label or the delay or denial of marketing authorization by the FDA, the EMA or other comparable foreign regulatory authorities. Further, clinical trials by their nature utilize a sample of the potential patient population. Because of our dose escalation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design for our clinical trials, undesirable side effects in initial cohorts could also result in the need to expand the size of our clinical trials, increasing the expected costs and timeline of our clinical trials. Additionally, because certain of our product candidates, including Vaxzevria, have been administered to substantial numbers of participants on a more rapid basis than is standard in clinical trials, undesirable side effects could result in a negative impact across 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larger participant population. Results of our clinical trials could reveal a high and unacceptable severity and prevalence of side effects or unexpected characteristics. If we do observe serious side effects in our clinical trials, our ongoing clinical trials may be halted or put on clinical hold prior to completion if there is an unacceptable safety risk for participants.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unacceptable toxicities arise in the development of our product candidates, we could suspend or terminate our trials or the FDA, the EMA or other comparable foreign regulatory authorities, or local regulatory authorities such as IRBs or ethics committees, could order us to cease clinical trials.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Competent national health authorities, such as the FDA, could also deny approval of our product candidates for any or all targeted indications and if an approval is granted for an indication, the regulatory authority may require us to include a warning in the patient information leaflet. Even if the side effects presented do not preclude the product from obtaining or maintaining marketing authorization, treatment-related side effects could also affect participant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recruitment for a clinical trial, or the ability of enrolled participants to complete their participation in a clinical trial or result in potential product liability claims, particularly if they have not been described in the patient information leaflet. In addition, these side effects may not be appropriately recognized or managed by the treating medical staff.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develop certain of our product candidates in combination with other therapies, which exposes us to additional risks.</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intend to develop certain of our product candidates in combination with one or more other approved therapies, such as anti-PD-1 antibodies and other checkpoint inhibitors to treat certain cancers and infectious diseases. Even if any product candidate we develop were to receive marketing authorization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be commercialized for use in combination with other existing therapies, we would continue to be subject to the risks that the FDA, the EMA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are replaced as the standard of care for the indications we choose for any of our product candidates, the FDA, the EMA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also may choose to evaluate our current product candidates and any other future product candidates in combination with one or more therapies that have not yet been approved for marketing by the FDA, the EMA or comparable foreign regulatory authorities. We will not be able to market and sell our current product candidates or any product candidate we develop in combination with any unapproved therapies for a combination indication if that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If the FDA, the EMA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Approach</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certain of our product candidates may be relatively small as it may be limited to those patients who are ineligible for or have failed prior treatments and our estimates of the prevalence of our target patient populations may be inaccurate.</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Immunotherapies for treating patients with autoimmune and other inflammatory diseases are sometimes staged based on disease severity or may be characterized by line of therapy (first line, second line, third line, fourth line, etc.), and the regulatory authorities, including the FDA, often approve new therapies initially only for a particular line or lines of use. Our product candidates based on SNAP-TI are at early stages of development and there is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currently uncertainty as to how the may fit into existing treatment paradigms. We expect to seek approval of VTP-1000 as a first line therapy but for our other SNAP-TI product candidates we may need to seek approval for use as a second or later line of therapy or in patients who do not respond to more conservative management.</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Similarly, cancer therapies are sometimes characterized by line of therapy (first line, second line, third line, fourth line, etc.), and the regulatory authorities, including the FDA, often approve new therapies initially only for a particular line or lines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advance VTP-600 as a component of first line therapy but we expect to advance our other oncology product candidates initially as second or third line therapy, for use in patients with relapsed or refractory metastatic cancer. Subsequently, for those product candidates that prove to be sufficiently safe and beneficial as third line or second line therapies, if any, we would expect to advance as earlier line therapies, but there is no guarantee that our product candidates, even if approved as a second or third line of therapy, would be approved for an earlier line of therapy, and, prior to any such approvals, we may have to conduct additional clinical trials.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disease that we are targeting, as well as the subset of people with these conditions in a position to receive a particular line of therapy and who have the potential to benefit from treatment with our product candidates, are based on our beliefs and estimates. These estimates have been derived from a variety of sources, including scientific literature, commissioned reports, surveys of clinics, patient foundations or market research, and may prove to be incorrect. Further, new therapies may change the estimated incidence or prevalence of these conditions. The number of patients may turn out to be lower than expected. Additionally, the potentially addressable patient population for our product candidates may be limited or may not be amenable to treatment with our product candidates. Even if we obtain significant market share for our product candidates within our addressable patient population, because the potential target populations are small, we may never achieve profitability without obtaining marketing authorization for additional indications, including use as first or second line therapy.</w:t>
      </w:r>
    </w:p>
    <w:p>
      <w:pPr>
        <w:spacing w:after="0" w:line="20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Negative developments in the field of immunotherapeutics could damage public perception of any of our product candidates and negatively affect our business.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commercial success of our product candidates will depend in part on public acceptance of the use of immunotherapies and viral vector-based antigen-delivery platforms. Adverse events in clinical trials of VTP-1000, or in clinical trials of similar products developed by others and the resulting publicity, as well as any other negative developments in the field of immunotherapeutics that may occur in the future, including in connection with competitor therapies, could result in a decrease in demand for any product candidates that we may develop. These events could also result in the suspension, discontinuation, or clinical hold of or modification to our clinical trials. If public perception is influenced by claims that the use of immunotherapies is unsafe, whether related to our therapies or those of our competitors, our product candidates may not be accepted by the general public or the medical community and potential clinical trial participants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marketing authorization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of our product candidates utilize SNAP-TI to induce immune tolerance. Adverse developments in clinical trials of other immunotherapy products that promote antigen-specific immune tolerance, may result in a disproportionately negative effect for our platform, as compared to other products within the I&amp;I field that do not rely on antigen-specific immune tolerance.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of our product candidates consist of modified viruses. Adverse developments in clinical trials of other immunotherapy products based on viruses, may result in a disproportionately negative effect for our platform as compared to other products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and successfully commercialize additional product candidates.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 of our strategy involves researching and developing novel product candidates. We have developed a pipeline of product candidates and intend to pursue clinical development of additional product candidates. The process by which we identify product candidates may fail to yield product candidates for clinical development for a number of reasons, including those discussed in these risk factors and also:</w:t>
      </w:r>
    </w:p>
    <w:p>
      <w:pPr>
        <w:spacing w:after="0" w:line="189"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assemble sufficient resources to acquire or discover additional product candidates;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potential product candidates obsolete or less attractive;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we develop may nevertheless be covered by third parties’ patents or other exclusive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line="23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toxicities or other characteristics that indicate that they are unlikely to be products that will receive marketing approval and achieve market acceptance;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not be effective in treating their targeted diseases or symptoms;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potential product candidate may change so that the continued development of that product candidate is no longer reasonable;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product candidate may not be capable of being produced in commercial quantities at an acceptable cost, or at all; or</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for a potential product candidate is highly complex and difficult to navigate successfully or economically.</w:t>
      </w:r>
    </w:p>
    <w:p>
      <w:pPr>
        <w:spacing w:after="0" w:line="18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Developing, obtaining marketing authorization for and commercializing additional product candidates will require substantial additional funding and is prone to the risks of failure inherent in all medicinal product development. We cannot provide you any assurance that we will be able to successfully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any of these additional product candidates through the development process, which is a risk that applies to all medicinal product development.</w:t>
      </w:r>
    </w:p>
    <w:p>
      <w:pPr>
        <w:spacing w:after="0" w:line="16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may choose to focus our efforts on and allocate resources to a potential product candidate that ultimately proves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have greater commercial potential, or relinquish valuable rights to such product candidates through collaboration, licensing or other royalty arrangements in cases in which it would have been advantageous for us to retain sole development and commercialization rights. Our spending on current and future research and development programs and product candidates for specific indications may not yield any commercially viable products because of the risks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inherent in conducting clinical trials. If we are unable to evaluate the commercial potential or target market for a particular product candidate, identify and successfully commercialize additional suitable product candidates, this would adversely impact our business strategy and our financial position.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Sales, Marketing and Competition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an environment of rapid technological change, which may result in others discovering, developing, obtaining</w:t>
      </w:r>
    </w:p>
    <w:p>
      <w:pPr>
        <w:jc w:val="both"/>
        <w:ind w:right="2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marketing authorization approval or commercializing products before or more successfully than we do, which may adversely affect our financial condition and our ability to successfully market or commercialize our product candidates.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potential competition from many different sources, including major pharmaceuticals, specialty pharmaceuticals and biotechnology companies, academic institutions and government agencies, as well as public and private research institutes that conduct research, development, manufacturing and commercialization. Many of our competitors have significantly greater financial resources and expertise in research and development, manufacturing, preclinical testing, marketing authorizations and product marketing than we do. In addition, many of these competitors are active in seeking patent protection and licensing arrangements in anticipation of collecting milestone payments and royalties for use of technology that they have developed. Our competitors may compete with us in recruiting and retaining qualified scientific and management personnel and establishing clinical trial sites and participant registration for clinical trials, as well as in acquiring technologies complementary to, or necessary for, our programs. As a result, our competitors may discover, develop, license or commercialize products before or more successfully than we do.</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candidates that we successfully develop and commercialize will compete with existing therapies and new therapies that may become available in the future. Specifically, we expect that our product candidates based on SNAP-TI will compete against alternative or more conventional approaches, including anti-inflammatory compounds, monoclonal antibodies against cytokines or other pathways, immune cell depletion regimens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antibodies, CAR-T cells and T cell engagers) immunomodulatory small molecules, transgenic T cells, genetic therapies and other antigen-specific immune tolerance therapies based on proteins, DNA, RNA and peptides or other technologies. We expect that our product candidates based on our viral vector platforms will compete against alternative or more conventional approaches, including antivirals, immune modulators, antisense oligonucleotides, siRNA, CRISPR editing, capsid inhibitors, novel entry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inhibitors, or other small molecules, RNA, DNA, nanoparticle, VLP, peptide, protein, whole-killed vaccines or other technologies.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product candidates are approved for the indications for which we are currently conducting or planning clinical trials, they will likely compete with the competitor products mentioned above and with other products that are currently in development. Key product features that would affect our ability to effectively compete with other therapeutics include the safety, efficacy, formulation, stability,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marketing authorizations from the FDA or other regulatory authorities for their products more rapidly than we may obtain approval for ours, which could result in our competitors establishing a strong market position before we are able to enter the market.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Development of Our Product Candidates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adequately the safety, potency, purity, and efficacy of any of our product candidates, which would prevent or delay development, marketing authorization and commercialization. Furthermore, success in preclinical studies or clinical trials may not be indicative of results in future clinical trials for the same or other product candidates.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Before obtaining marketing authorization for the commercial sale of our product candidates, we must demonstrate the safety, purity and potency of our investigational biologics and drugs for use in each target indication through lengthy, complex and expensive preclinical studies and clinical trials. Preclinical and clinical testing is expensive and can take many years to complete, and its outcome is inherently uncertain. Failure can occur at any time during the preclinical study and clinical trial processes, and, because our product candidates are in an early stage of development, there is a high risk of failure and we may never succeed in developing marketable products.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may not be predictive of the results of later-stage clinical trials. Although product candidates may demonstrate promising results in preclinical studies and early clinical trials, they may not prove to be effective in subsequent clinical trials. For example, testing on animals occurs under different conditions than testing in humans and therefore, the results of animal studies may not accurately predict human experience. There is typically an extremely high rate of attrition from the failure of product candidates proceeding through preclinical studies and clinical trials.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candidates in later stages of clinical trials may fail to show the desired risk-benefit profile despite having progressed through preclinical studies and initial clinical trials. Likewise, early, smaller-scale clinical trials may not be predictive of eventual safety or effectiveness in large-scale pivotal clinical trials. For example, VTP-100 demonstrated tolerability and immunogenicity during small Phase 1 clinical trials but did not demonstrate sufficient clinical activity during adequately powered Phase 2b clinical trials to warrant continued development of this product candidate. A number of companies in the biopharmaceutical industry have suffered significant setbacks in later phase clinical trials due to lack of potency or efficacy, insufficient durability of potency or efficacy or unacceptable safety issues, notwithstanding promising results in earlier trials. The vast majority of product candidates that commence preclinical studies and early phase clinical trials are never approved as products.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preclinical studies or clinical trials that we may conduct may not demonstrate the safety, potency, purity and efficacy necessary to obtain regulatory authorization to market our product candidates. If the results of our ongoing or future preclinical studies and clinical trials are inconclusive with respect to the safety, potency, purity, and efficacy of our product candidates, if we do not meet the clinical endpoints with statistical and clinically meaningful significance, or if there are safety concerns associated with our product candidates, we may be prevented or delayed in obtaining marketing authorization for certain of our product candidates. In some instances, there can be significant variability in safety, potency, purity,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is the case with all investigational biologics and drugs, including novel immunotherapeutics such as those based on our viral vector and SNAP-TI platforms, it is likely that there may be side effects associated with their use. Results of our trials could reveal a high and unacceptable severity and prevalence of these side effects. In such an event, our trials could be suspended or terminated and the FDA or comparable foreign regulatory authorities could order us to cease further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development of or deny authorization of certain of our product candidates for any or all targeted indications. Treatment-related side effects could also affect participant recruitment or the ability of enrolled participants to complete the trial or result in potential product liability claims. Any of these occurrences may harm our business, financial condition and prospects significantly.</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some of the clinical trials we conduct may be open-label in trial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authorization for our product candidates, the products may not gain market acceptance among physicians, patients, hospitals, cancer treatment centers and others in the medical community.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use of novel immunotherapeutics, such as our SNAP-TI and viral-vector based product candidates to target the treatment and prevention of autoimmune diseases, infectious disease and cancer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193"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licensed;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and patients considering our product candidates as a safe and effective treatment;</w:t>
      </w:r>
    </w:p>
    <w:p>
      <w:pPr>
        <w:spacing w:after="0" w:line="19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 including the adoption of our treatment as the standard of care;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advantages of our product candidates over other medicines;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for other immunotherapeutics and public perception of other immunotherapeutics;</w:t>
      </w:r>
    </w:p>
    <w:p>
      <w:pPr>
        <w:spacing w:after="0" w:line="18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for other viral-vector based antigen-delivery platforms and public perception of other viral-vector based antigen-delivery platforms;</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for other nanoparticle-based therapeutics and public perception of other nanoparticle-based therapeutics;</w:t>
      </w:r>
    </w:p>
    <w:p>
      <w:pPr>
        <w:spacing w:after="0" w:line="18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for other antigen-specific immune tolerance therapies or those utilizing rapamycin and public perception of other antigen-specific immune tolerance therapies and those utilizing rapamycin;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approved labeling;</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as well as competitive products;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reimbursement and pricing by third-party payors and government authorities;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by third-party payors and government authorities;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our product candidates are licensed but fail to achieve market acceptance among physicians, patients, hospitals or others in the medical community, we will not be able to generate significant revenue.</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although our product candidates differ in certain ways from other immunotherapeutic based approaches, serious adverse events or deaths in other clinical trials involving immunotherapeutic based product candidates, even if not ultimately attributable to our product or product candidates, could result in increased government regulation, unfavorable public perception and publicity, potential regulatory delays in the testing or licensing of our product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stricter labeling requirements for those product candidates that are licensed, and a decrease in demand for any such product candidates.</w:t>
      </w:r>
    </w:p>
    <w:p>
      <w:pPr>
        <w:spacing w:after="0" w:line="16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6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There are risks involved with both</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establishing our own sales and marketing capabilities and entering into arrangements with third parties to perform these services. For example, recruiting and training a sales force is expensive and time-consuming and could delay any product launch.</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unable or decide not to establish internal sales, marketing and distribution capabilities, we will pursue arrangements with third-party sales,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policies are expensive and protect us only from some business risks, which leaves us exposed to significant uninsured liabilities.</w:t>
      </w:r>
    </w:p>
    <w:p>
      <w:pPr>
        <w:spacing w:after="0" w:line="20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employment practices liability, property, umbrella, and directors’ and officers’ insurance.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coverage is becoming increasingly expensive and in the future we may not be able to maintain insurance coverage at a reasonable cost or in</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sufficient amounts to protect us against losses due to liability.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marketing authorizations could be suspended.</w:t>
      </w:r>
    </w:p>
    <w:p>
      <w:pPr>
        <w:spacing w:after="0" w:line="17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do not know if we will be able to maintain existing insurance with adequate levels of coverage. Any significant uninsured liability may require us to pay substantial amounts, which would adversely affect our cash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Reliance on Third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certain of our preclinical studies and clinical trials. If these third parties do not</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properly and successfully carry out their contractual duties or meet expected deadlines, we may not be able to obtain marketing authorizations for, or commercialize, our product candidates and our business could be substantially harmed.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utilize and depend, and expect to continue to utilize and depend, upon independent investigators and collaborators, such as medical institutions,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contract research organizations ("CROs"), contract manufacturing organizations ("CMOs"), and strategic partners to conduct and support certain of our preclinical studies and clinical trials under agreements with 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have to continue to negotiate budgets and contracts with CROs, trial sites and CMOs and we may not be able to do so on favorable terms,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case if we were relying entirely upon our own staff. Nevertheless, we are responsible for ensuring that each of our preclinical studies and clinical trials is conducted in accordance with applicable protocol, legal and regulatory requirements and scientific standards, and our reliance on third parties does not relieve us of our regulatory responsibilities. We and these third parties are required to comply with GCP, which are regulations and guidelines enforced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and comparable foreign regulatory authorities for product candidates in clinical development.</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Regulatory authorities enforce GCP through periodic inspections of trial sponsors, principal investigators and trial sites. If we, or any of these third parties fail to comply with applicable GCP regulations, the clinical data generated in our clinical trials may be deemed unreliable and the FDA or comparable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foreign regulatory authorities may require us to perform additional clinical trials before approving our MMAs.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participants. Our failure or any failure by these third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parties to comply with these regulations or to recruit a sufficient number of participants may require us to repeat clinical trials, which would delay the marketing authorization process. Moreover, our business may be implicated if any of these third parties performing services or otherwise acting on our behalf violates federal or state fraud and abuse or false claims laws and regulations or healthcare privacy and security laws.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preclinical product candidates. These third parties may also have relationships with other commercial entities, including our competitors, for whom they may also be conducting clinical</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delayed or terminated and we may not be able to complete development of, obtain marketing authorization for, or successfully commercialize, our product candidates. As a result, our financial results and the commercial prospects for our product candidates would be harmed, our costs could increase and our ability to generate revenue could be delayed.</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form or seek additional collaborations or strategic alliances or enter into additional licensing arrangements in the future, and we may not realize the benefits of such collaborations, alliances or licensing arrangements.</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may form or seek additional strategic alliances, create joint ventures or collaborations, or enter into additional licensing arrangements with third parties that we believe will complement or augment our development and commercialization efforts with respect to our product candidates and any future product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candidates that we may develop. Any of these relationships may require us to incur non-recurring and other charges, increase our near and long-term expenditures, issue securities that dilute our existing shareholders or disrupt our management and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potency, purity, and efficacy and obtain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collaborations involving our product candidates are subject to numerous risks, which may include the following:</w:t>
      </w:r>
    </w:p>
    <w:p>
      <w:pPr>
        <w:spacing w:after="0" w:line="18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71"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5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agreements, collaborators may develop our product candidates to standards that only meet their local regulatory requirements and therefore clinical data cannot be applied in support regulatory submissions in other jurisdictions;</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in certain countries may require joint ventures to manufacture and commercialize products in their territory, which may increase costs, increase dilution to shareholders, and offer lack of clarity on revenue and intellectual property sharing;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184"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71"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15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and grant funding agreements may be terminated and, if terminated, may result in a need for additional capital to pursue further development or commercialization of the applicable product candidates; and</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As a result, if we enter into additional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6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third parties to manufacture our product candidates, if approved. Our business could be harmed if we are unable to use third-party manufacturing suites or if the third party manufacturers fail to provide us with sufficient quantities of our product candidates or fail to do so at acceptable quality levels or prices.</w:t>
      </w:r>
    </w:p>
    <w:p>
      <w:pPr>
        <w:spacing w:after="0" w:line="17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clinical-scale manufacturing and processing facility and must currently rely on outside vendors to manufacture our product candidates. We will need to negotiate and maintain contractual arrangements with these outside vendors for the supply of our product candidates and we may not be able to do so on favorable terms. We have not yet manufactured our product candidates on a commercial scale and may not be able to do so for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Manufacturing of biologic and synthetic products is complex and requires significant expertise and capital investment, including the development of advanced manufacturing techniques and process controls. Manufacturers of biologic products often encounter difficulties in production, particularly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scaling up, validating the production process and assuring high reliability of the manufacturing process, including the absence of contamination. These problems include logistics and shipping, difficulties with production costs and yields, quality control, including lot consistency, stability of the product, product testing, operator error and availability of qualified personnel, as well as compliance with strictly enforced federal, state and foreign regulations.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Furthermore, if contaminants are discovered in our supply of our product candidates or in the manufacturing facilities, such manufacturing facilities may need to be closed for an extended period of time to investigate and remedy the contamination. We cannot assure you that any stability failures or other issues relating to the manufacture of our product candidates will not occur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anticipated reliance on a limited number of third-party manufacturers exposes us to a number of risks, including the following:</w:t>
      </w:r>
    </w:p>
    <w:p>
      <w:pPr>
        <w:spacing w:after="0" w:line="185" w:lineRule="exact"/>
        <w:rPr>
          <w:sz w:val="20"/>
          <w:szCs w:val="20"/>
          <w:color w:val="auto"/>
        </w:rPr>
      </w:pPr>
    </w:p>
    <w:p>
      <w:pPr>
        <w:jc w:val="both"/>
        <w:ind w:left="660" w:hanging="328"/>
        <w:spacing w:after="0" w:line="23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process for our product candidates is complex and requires specific know-how that only a limited number of CMOs can provide, as a result, we compete with other companies in the field for the scarce capacities of these organizations and may not be able to secure sufficient manufacturing capacity when needed;</w:t>
      </w:r>
    </w:p>
    <w:p>
      <w:pPr>
        <w:spacing w:after="0" w:line="15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or other regulatory authorities may inspect any manufacturers for current cGMP compliance as part of our marketing application;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manufacturer would have to be educated in, or develop substantially equivalent processes for, the production of our product candidates;</w:t>
      </w:r>
    </w:p>
    <w:p>
      <w:pPr>
        <w:spacing w:after="0" w:line="184"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manufacture our product candidates or produce the quantity and quality required to meet our clinical and commercial needs,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and other logistical support requirements appropriately;</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15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prioritize another customer’s needs in front of ours, especially in the event of a global pandemic;</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and components used in the manufacturing process, particularly those for which we have no other source or supplier, may not be available or may not be suitable or acceptable for use due to material or component defects, may be in short supply, and may significantly increase in price;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and critical suppliers may be subject to inclement weather, pandemics, as well as natural or man- made disasters; and</w:t>
      </w:r>
    </w:p>
    <w:p>
      <w:pPr>
        <w:spacing w:after="0" w:line="198"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15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Regional or single-source dependencies may in some cases accentuate these risks. For example, the pharmaceutical industry generally, and in some instances we, our collaborators or other third parties on which we rely, depend on China-based suppliers or service providers for certain raw materials,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or if the previously proposed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legislation known as the BIOSECURE Act or a similar law were to be enacted.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in the case of the CMOs that supply our product candidates, changes in manufacturers often involve changes in manufacturing procedures and processes, which could require that we conduct bridging or comparability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20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Each of these risks could delay or prevent the completion of our clinical trials or the approval of any of our product candidates by the FDA, EMA or other appropriate regulatory authorities and result in higher costs or adversely impact commercialization of our product candidates. In addition, we will rely 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third parties to perform certain specification tests on our product candidates prior to delivery to patients. If these tests are not appropriately done and test data are not reliable, patients could be put at risk of serious harm and the FDA, or other regulatory authorities could place significant restrictions on our company until deficiencies are remedied.</w:t>
      </w:r>
    </w:p>
    <w:p>
      <w:pPr>
        <w:spacing w:after="0" w:line="16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and comparable foreign regulatory authority regulations relating to the quality and reliability of such processes. Any failure to comply with relevant regulations could result in delays in or termination of our clinical programs and suspension or withdrawal of any marketing authorizations.</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and similar requirements from comparable foreign regulatory authorities. We may encounter difficulties in achieving quality control and quality assurance and may experience shortages in qualified personnel. We are subject to inspections by the FDA and comparable foreign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regulatory authorities to confirm compliance with applicable regulatory requirements. Any failure to follow cGMP or other regulatory requirements or delay, interruption or other issues that arise in the manufacture, fill-finish, packaging, or storage of our biologic products as a result of a failure of our facilities or the facilities or operations of third parties to comply with regulatory requirements or pass any regulatory authority inspection could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significantly impair our ability to develop and commercialize our product candidates, including leading to significant delays in the availability of our biological products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16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biological materials, by our third-party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manufacturers. Our manufacturers are subject to national, state, and local laws and regulations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materials. As a result of any such contamination or injury, we may incur liability or local, city, state or national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impair our research, development and production efforts, which could harm our business, prospects,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Government Regulation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marketing authorization processes of the FDA, the EMA, MHRA and other comparable foreign regulatory authorities are lengthy, time-</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consuming, and inherently unpredictable, and if we are ultimately unable to obtain marketing authorizations for our product candidates, or the marketing authorization is for a narrower indication than we seek, our business will be substantially harmed.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time required to obtain marketing approval from the FDA, the EMA, MHRA and other comparable foreign regulatory authorities is unpredictable but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yet obtained a marketing authorization for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 and it is possible that none of our current or future product candidates will ever obtain marketing authorizations.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and future product candidates could fail to receive marketing authorizations for many reasons, including the following:</w:t>
      </w:r>
    </w:p>
    <w:p>
      <w:pPr>
        <w:spacing w:after="0" w:line="18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planned clinical trials;</w:t>
      </w:r>
    </w:p>
    <w:p>
      <w:pPr>
        <w:spacing w:after="0" w:line="19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MHRA or other comparable foreign regulatory authorities may disagree with the design or implementation of our clinical trials;</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or NDA to the FDA, or an MAA to the EMA or other comparable submission to regulatory authorities in other regions, to obtain authorization in the United States, the European Union, or elsewhere;</w:t>
      </w:r>
    </w:p>
    <w:p>
      <w:pPr>
        <w:spacing w:after="0" w:line="15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MHRA or regulatory authorities in other regions that a product candidate has an overall suitable benefit/risk profile for its proposed indication;</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MHRA or other comparable foreign regulatory authorities may find deficiencies with or fail to approve the manufacturing processes or facilities of third-party manufacturers with which we contract for clinical and commercial supplies;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2"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MHRA or other comparable foreign regulatory authorities may significantly change in a manner rendering our clinical data insufficient for approval; and</w:t>
      </w:r>
    </w:p>
    <w:p>
      <w:pPr>
        <w:jc w:val="both"/>
        <w:ind w:left="660" w:hanging="328"/>
        <w:spacing w:after="0" w:line="215"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foreign regulatory authorities may not authorize our clinical trial protocols and other clinical trial documentation, including manufacturing documentation, even when previously authorized by the FDA, EMA or MHRA, which could lead to a delay in starting such clinical trials. For example, the conduct of our HBV002 clinical trial in South Korea experienced delays due to additional regulatory review of our clinical protocol. We have limited experience obtaining such approvals in foreign jurisdictions and therefore may need more time to navigate the regulatory process as a result.</w:t>
      </w:r>
    </w:p>
    <w:p>
      <w:pPr>
        <w:spacing w:after="0" w:line="17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unpredictability of clinical trial results may result in our failing to obtain marketing authorizations for any product candidate we develop, which would significantly harm our business, results of operations and prospects. The lengthy approval process in many regions may cause delays in market access, particularly if regulatory authorities have a large number of objections to the initial applications for marketing authorization which need to be addressed.</w:t>
      </w:r>
    </w:p>
    <w:p>
      <w:pPr>
        <w:spacing w:after="0" w:line="17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We have conducted, and intend to conduct, clinical trials of certain of our product candidates outside the United States. Although the FDA may accept data from clinical trials conducted outside the United States, acceptance of these data are subject to certain conditions imposed by the FDA, including compliance with all applicable U.S. laws and regulations. For example, the clinical trial must be well designed and conducted and performed by qualified investigators in accordance with GCP, including review and approval by an independent ethics committee and informed consent from participants. The trial</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population must also adequately represent the U.S. population, and the data must be applicable to the U.S. population and U.S. medical practice in ways that the FDA deems clinically meaningful. In general, the participant population for any clinical trial conducted outside of the United States must be representative of the population for whom we intend to label the product in the United States. There can be no assurance the FDA will accept data from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trials conducted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FDA, the EMA and other comparable foreign regulatory authorities have substantial discretion in the approval process, and determining when or whether marketing authorization will be obtained for any product candidate that we develop. For example, even if we believe the data collected from future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clinical trials of our product candidates are promising, such data may not be sufficient to support approval by the FDA, the EMA, MHRA or any other comparable foreign regulatory authorities. In addition, U.S. Supreme Court’s July 2024 decision to overturn prior established case law giving deference to regulatory agencies’ interpretations of ambiguous statutory language has introduced uncertainty regarding the extent to which FDA’s regulations, policies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decisions may become subject to increasing legal challenges, delays, and/or changes.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Even if we were to obtain a marketing authorization, regulatory authorities may approve any of our product candidates for fewer or more limited indications than we request, may not approve the price we intend to charge for our products, may grant approval conditional on the performance of costly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6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drug candidates we develop, and we may be unsuccessful or may be unable to maintain the benefits associated with Orphan Drug Designation, including the potential for market exclusivity. In addition, even if we obtain orphan drug exclusivity for any of our product candidates, such exclusivity may not protect us from competition.</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tax advantages and user-fee waivers.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Similarly, in the EU, the European Commission grants designation after receiving the opinion of the Committee for Orphan Medicinal Products on a designation application. Orphan Drug Designation is intended to promote the development of drugs that are intended for the diagnosis, prevention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ten years in the EU. The EU exclusivity period can be reduced to six years if a drug no longer meets the criteria for Orphan Drug Designation or if the drug is sufficiently profitable such that market exclusivity is no longer justified.</w:t>
      </w:r>
    </w:p>
    <w:p>
      <w:pPr>
        <w:spacing w:after="0" w:line="1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a second drug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candidate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later determines that the request for designation was materially defective or if the manufacturer is unable to assure manufacture of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The FDA may further reevaluate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While we may seek Orphan Drug Designation for applicable indications for our current and any future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drug candidates, we may never receive such designations. Even if we do receive such designations, there is no guarantee that we will enjoy the benefits of those designations.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may seek Breakthrough Therapy designation for certain of our current and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significant endpoints, defined as those that measure an effect on irreversible morbidity or mortality or on symptoms that represent serious consequences of the disease.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regimens. Drugs and biologics designated as breakthrough therapies by the FDA may also be eligible for other expedited approval programs, including accelerated approval.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In addition, even if one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 more of our product candidates qualify as breakthrough therapies, the FDA may later decide that the product no longer meets the conditions for qualification. Thus, even though we intend to seek Breakthrough Therapy designation for certain of our current and future product candidates for the treatment and prevention of infectious diseases and cancer, there can be no assurance that we will receive breakthrough therapy designation.</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even if granted for certain of our current or future product candidates, may not lead to a faster development or regulatory review or approval process, and does not increase the likelihood that our product candidates will receive marketing approval.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drug or biologic is intended for the treatment of a serious or life-threatening condition and the product demonstrates the potential to address unmet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medical needs for this condition, the product sponsor may apply for FDA Fast Track designation for a particular indication. We may seek Fast Track designation for certain of our current or future product candidates, but there is no assurance that the FDA will grant this status to any of our proposed product candidates. Marketing applications filed by sponsors of products in Fast Track development may qualify for priority review under the policies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seek approval of certain of our current or future product candidates using the FDA’s accelerated approval pathway. A product may be eligible for</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and the FDA is permitted to require, as appropriate, that such studies be underway prior to approval or within a specified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sponsors, unless otherwise informed by the agency, to request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regulated as biologics may face competition from biosimilars approved through an abbreviated regulatory pathway.</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ACA, includes a subtitle called the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safety, purity, and potency of the other company’s product. The law is complex and is still being interpreted and implemented by the FDA. As a result, its ultimate impact, implementation, and meaning are subject to uncertainty.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any of our product candidates approved as a biologic product under a BLA should qualify for the 12 year period of exclusivity. However,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there is a risk that this exclusivity could be shortened due to congressional action or otherwise, or that the FDA will not consider our investigational medicines to be reference products for competing products, potentially creating the opportunity for biosimilar competition sooner than anticipated. Moreover, the extent to which a biosimilar, once licensed, will be substituted for any one of our reference products in a way that is similar to traditional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generic substitution for non-biologic products is not yet clear, and will depend on a number of marketplace and regulatory factors that are still developing.</w:t>
      </w:r>
    </w:p>
    <w:p>
      <w:pPr>
        <w:spacing w:after="0" w:line="16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6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European Commission or MHRA approval for our current or future product candidates that we may identify and pursue in the United States, the European Union or the United Kingdom, we may never obtain approval to commercialize any such product candidates outside of those jurisdictions, including in Asian markets wherein we intend to commercialize VTP-300, which would limit our ability to realize their full market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Obtaining and maintaining marketing authorization for our product candidates in one jurisdiction does not guarantee that we will be able to obtain or maintain marketing authorizations in any other jurisdiction, while a failure or delay in obtaining marketing authorization in one jurisdiction may have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negative effect on the approval process in others. In order to market any products outside of the United States, we must establish and comply with numerous and varying regulatory requirements of other countries regarding safety and effectiveness. Approval processes vary among countries and can involve additional product testing and validation and additional or different administrative review periods from those in the United States, including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Seeking foreign marketing authorization could result in difficulties and costs and require additional preclinical studies or clinical trials which could be costly and time-consuming. Regulatory requirements can vary widely from country to country and could delay or prevent the introduction of our current or future product candidates in those countries. The foreign marketing authorization process may include all of the risks associated with obtaining FDA,</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European Commission or MHRA approval, in addition to country-specific risks and challenges. For example, we are looking to partner the further development of VTP-300 for chronic hepatitis B, which is a condition most prevalent in China and other countries in Asia. We have limited development experience in this market and we may need to rely on a local, third-party partner to help us navigate the applicable regulatory requirements. Additionally, governments in this target market may deem the eradication of HBV infections to be a national priority which could impact the framework for available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reimbursement or our ability to achieve a standard commercial return based on the value of our product, if approved. We do not have any product candidates approved for sale in any jurisdiction, including international markets, and we do not have experience in obtaining marketing authorizations in international markets for our current or future product candidates. If we fail to comply with regulatory requirements in international markets or to obtain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maintain required approvals, or if marketing authorization in international markets is delayed, our target market will be reduced and our ability to realize the full market potential of our current or future product candidates will be harmed.</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financial condition and results of operations, and reduce net returns to our shareholders.</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conduct business globally and file tax returns in multiple jurisdictions. The tax treatment of the Company or any of the group companies could be materially adversely affected by several factors, including: changing tax laws, regulations and treaties, or the interpretation thereof; tax policy initiatives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reforms under consideration (such as those related to the Organization for Economic Co-Operation and Development’s Base Erosion and Profit Shifting Project, the European Commission’s state aid investigations and other initiatives); the practices of tax authorities in jurisdictions in which we operate; the resolution of issues arising from tax audits or examinations and any related interest or penalties. Such changes (which may be retroactive) may</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include (but are not limited to) the taxation of operating income, investment income, dividends received or (in the specific context of withholding tax) dividends paid.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affect our financial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or may apply existing rules in an unforeseen manner, resulting in unanticipated costs, taxes or non-realization of expected benefits.</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operate in a number of countries throughout the world. Consequently, we are subject to tax laws, treaties, and regulations in the countries in which we operate, and these laws and treaties are subject to interpretation. We have taken, and will continue to take, tax positions based on our interpretation of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tax laws. A tax authority may disagree with tax positions that we have taken, which could result in increased tax liabilities. For example HMRC, the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There can be no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assurance that a taxing authority will not have a different interpretation of applicable law and assess us with additional taxes.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tax authority may take the position that material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Contesting such an assessment may be lengthy and costly and if we were unsuccessful in disputing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assessment, the implications could increase our anticipated effective tax rate, where applicable, or result in other liabilities. If we are assessed with additional taxes, this may result in a material adverse effect on our results of operations and/or financial condition.</w:t>
      </w:r>
    </w:p>
    <w:p>
      <w:pPr>
        <w:spacing w:after="0" w:line="15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use net operating loss and tax credit carryforwards and certain built-in losses or tax credits to reduce future tax payments or to benefit from favorable U.K. tax legislation.</w:t>
      </w:r>
    </w:p>
    <w:p>
      <w:pPr>
        <w:spacing w:after="0" w:line="7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U.K. incorporated and tax resident entities are subject to U.K. corporation tax. Due to the nature of our business, we have generated losses since inception and therefore have not paid any U.K. corporation tax. As of December 31, 2024, we had cumulative carryforward tax losses of approximately $101.7 million (December 31, 2023: $92.7 million). Subject to any relevant criteria and restrictions (including those that limit the percentage of profits that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can be reduced by carried forward losses and those that can restrict the use of carried forward losses where there is a change of ownership of more than half of our ordinary shares and a major change in the nature, conduct or scale of the trade), we expect these to be eligible for carry forward and utilization against future operating profits, if any. The use of loss carryforwards in relation to U.K. profits incurred on or after April 1, 2017 is generally limited each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£5.0 million plus an incremental 50% of U.K. taxable profits.</w:t>
      </w:r>
    </w:p>
    <w:p>
      <w:pPr>
        <w:spacing w:after="0" w:line="97"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As a company that carries out extensive research and development activities, we seek to benefit from the U.K. research and development tax relief programs, being the Small and Medium-sized Enterprises R&amp;D tax relief program, or SME Program, and, to the extent that our projects are grant funded or relate to work subcontracted to us by third parties, the Research and Development Expenditure Credit program. Under the SME Program, where available, we may be able to surrender some of our trading losses that arise from our qualifying research and development activities for cash or carry forward such</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losses for potential offset against future profits (subject to relevant restrictions). The majority of our research, clinical trials management and manufacturing development activities are eligible for inclusion within these tax credit cash rebate claims. Our eligibility to claim payable research and development tax credits may be limited or eliminated because we may no longer qualify as a small or medium-sized company. In addition, the SME Program has been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amended by the Finance Act 2021 which came into force in April 2021. This legislation introduced a cap on claims under the SME Program to a multiple of payroll taxes (broadly, to a maximum payable credit equal to £20,000 plus three times the total PAYE and NICs liability of the company) subject to an exception which prevents the cap from applying. That exception requires the company to be creating, taking steps to create or managing intellectual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property, as well as having qualifying research and development expenditure in respect of connected parties which does not exceed 15% of the total claimed. If such exception does not apply, this could restrict the amount of payable credit that we claim. There was no tax loss restriction applied to the R&amp;D tax credits in the U.K. for the years ending December 31, 2024 and 2023.</w:t>
      </w:r>
    </w:p>
    <w:p>
      <w:pPr>
        <w:spacing w:after="0" w:line="19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Changes to the U.K. R&amp;D tax relief legislation that have been recently enacted, and which took effect from April 2023, reduce the R&amp;D cash rebate rate under the SME Program. For expenditure incurred on or after April 1, 2024, there are restrictions on relief that may be claimed for expenditure on sub-contracted R&amp;D activity, broadly requiring either that workers carrying on such activity are subject to U.K. PAYE or, where work is undertaken outside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U.K., that this must be due to geographical, environmental, social or other conditions that: (i) are not present in the U.K.; and (ii) it would be wholly unreasonable to replicate in the U.K. These rate reductions and restrictions impact the quantum of R&amp;D relief that we are able to claim. In addition, this legislation also saw the introduction of a higher rate of relief for loss-making R&amp;D-intensive small and medium enterprises, the SME Intensive Scheme.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Companies claiming under the existing SME Intensive Scheme tax relief will be eligible for a higher payable credit rate if they meet the definition for R&amp;D intensity. From the analysis performed, we have not and do not currently expect to claim under the loss-making R&amp;D Intensive Scheme for SMEs primarily due to the proportion of total relevant expenditure occurring outside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may benefit in the future from the U.K.’s “patent box” regime, which allows certain profits attributable to revenue from patented products (and other qualifying income) to be taxed at an effective rate of 10% by giving an additional tax deduction. When taken in combination with the enhanced relief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available on our research and development expenditures, we expect a long-term effective rate of corporation tax lower than the statutory rate to apply to us. If, however, there are unexpected adverse changes to the U.K. R&amp;D tax credit regime or the “patent box” regime, or for any reason we are unable to qualify for such advantageous tax legislation, or we are unable to use net operating loss and tax credit carryforwards and certain built-in losses to reduce future tax</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payments then our business, results of operations and financial condition may be adversely affected. This may impact our ongoing requirement for investment and the timeframes within which additional investment is required.</w:t>
      </w:r>
    </w:p>
    <w:p>
      <w:pPr>
        <w:spacing w:after="0" w:line="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completeness, it should be noted that the U.K. tax authority, His Majesty's Revenue and Customs ("HMRC"), currently has an increased focus on claims for R&amp;D tax credits and so the Company may be subject to increased scrutiny in respect of any claims it makes. In addition, the legislation on the U.K. R&amp;D tax credits regime is updated and changed frequently, so there can be no guarantee of our ability of to make use of such credits as we might currently expect to in future.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Ongoing Regulatory Obligations</w:t>
      </w:r>
    </w:p>
    <w:p>
      <w:pPr>
        <w:spacing w:after="0" w:line="11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authorization for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marketing authorizations that we receive for our product candidates will require surveillance to monitor the safety and efficacy of the product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candidate. The FDA may also require a REMS and the EMA may also require additional rapid microbiological method approvals or educational materials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compliance with cGMPs, good laboratory practice regulations and GCPs, for any clinical trials that we conduct post-approval, and compliance with applicable product tracking and tracing requirements. Later discovery of previously unknown problems with our product candidates, including adverse events of unanticipated severity or frequency, or with our third-party manufacturers or manufacturing processes, or failure to comply with regulatory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may result in, among other things:</w:t>
      </w:r>
    </w:p>
    <w:p>
      <w:pPr>
        <w:spacing w:after="0" w:line="165" w:lineRule="exact"/>
        <w:rPr>
          <w:sz w:val="20"/>
          <w:szCs w:val="20"/>
          <w:color w:val="auto"/>
        </w:rPr>
      </w:pPr>
    </w:p>
    <w:p>
      <w:pPr>
        <w:ind w:left="660" w:hanging="328"/>
        <w:spacing w:after="0" w:line="237"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84"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criminal, or administrative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under FDORA, sponsors of approved drugs and biologics must provide 6 months’ notice to the FDA of any changes in marketing status,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the withdrawal of a drug, and failure to do so could result in the FDA placing the product on a list of discontinued products, which would revoke the product’s ability to be marketed. The FDA’s and other regulatory authorities’ policies may change and additional government regulations may be enacted that could prevent, limit or delay marketing authorization of our product candidates. We cannot predict the likelihood, nature or extent of government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authorities actively enforce the laws and regulations prohibiting the promotion of off-label uses.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significant liability. The FDA and other regulatory authorities strictly regulate the promotional claims that may be made about prescription products, if approved. In particular, while the FDA permits the dissemination of truthful and non- misleading information about an approved product, a manufacturer may not promote a product for uses that are not approved by the FDA or such other regulatory authorities as reflected in the product’s approved labeling. If</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20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drugs vary widely from country to country. In the United States, no uniform policy of coverage and reimbursement for products exists among third-party payors and, recently enacted legislation may significantly change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develop obtain marketing approval. See section entitled “Business – Government Regulation – Coverage and Reimbursement.”</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medicines are typically made by CMS, an agency within the HHS, as CMS decides whether and to what extent a new medicine will be covered and reimbursed under Medicare. Private payors tend to follow CMS to a substantial degree. It is difficult to predict what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CMS will decide with respect to reimbursement for fundamentally novel products such as ours.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7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profits.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payment for our product candidates.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Net prices for drugs may be reduced by mandatory discounts or rebates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required by government healthcare programs or private payors and by any future relaxation of laws that presently restrict imports of drugs from countries where they may be sold at lower prices than in the United States. We expect to experience pricing pressures in connection with the sale of any of our product candidates, due to the trend toward managed healthcare, the increasing influence of health maintenance organizations and additional legislative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changes. The downward pressure on healthcare costs in general, particularly prescription drugs and surgical procedures and other treatments, has become very intense.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reduced by mandatory discounts or rebates required by government healthcare programs. As a result, increasingly high barriers are being erected to the entry of new products.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material adverse effect on our business and results of operations.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applicable laws, rules, and regulations or the interpretation of</w:t>
      </w:r>
    </w:p>
    <w:p>
      <w:pPr>
        <w:spacing w:after="0" w:line="204" w:lineRule="auto"/>
        <w:rPr>
          <w:sz w:val="20"/>
          <w:szCs w:val="20"/>
          <w:color w:val="auto"/>
        </w:rPr>
      </w:pPr>
      <w:r>
        <w:rPr>
          <w:rFonts w:ascii="Times New Roman" w:cs="Times New Roman" w:eastAsia="Times New Roman" w:hAnsi="Times New Roman"/>
          <w:sz w:val="18"/>
          <w:szCs w:val="18"/>
          <w:color w:val="auto"/>
        </w:rPr>
        <w:t>existing laws, rules, and regulations could impact our business in the future by requiring, for example: (i) changes to our manufacturing arrangements;</w:t>
      </w:r>
    </w:p>
    <w:p>
      <w:pPr>
        <w:spacing w:after="0" w:line="1" w:lineRule="exact"/>
        <w:rPr>
          <w:sz w:val="20"/>
          <w:szCs w:val="20"/>
          <w:color w:val="auto"/>
        </w:rPr>
      </w:pPr>
    </w:p>
    <w:p>
      <w:pPr>
        <w:jc w:val="both"/>
        <w:ind w:right="20" w:firstLine="8"/>
        <w:spacing w:after="0" w:line="223" w:lineRule="auto"/>
        <w:tabs>
          <w:tab w:leader="none" w:pos="2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modifications to product labeling; (iii) the recall or discontinuation of our products; or (iv) additional record-keeping requirements. If any such changes were to be imposed, they could adversely affect the operation of our business. See the section entitled “Business – Government Regulation – Healthcare Reform and Legislative Changes.”</w:t>
      </w:r>
    </w:p>
    <w:p>
      <w:pPr>
        <w:spacing w:after="0" w:line="15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product candidate. Any reduction in reimbursement from Medicare or other government programs may result in a similar reduction in payments from private payors. We cannot predict the reform initiatives that may be adopted in the future or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whether initiatives that have been adopted will be modified or invalidated. The implementation of cost containment measures or other healthcare reforms may prevent us from being able to generate revenue, attain profitability, or commercialize our drugs, and could have a material adverse effect on our business, financial condition, and results of operations.</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will be subject to the Foreign Corrupt Practices Act ("FCPA"), and similar anti-bribery and anti- corruption laws in other jurisdictions.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engage in and expand our business activities outside of the United States, including our clinical trial efforts, we will be subject to the FCPA and</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similar anti-bribery or anti-corruption laws, regulations or rules of other countries in which we operate. The FCPA generally prohibits offering, promising, giving, or authorizing others to give anything of value, either directly or indirectly, to a non- United States government official in order to influence official action, or otherwise obtain or retain business. The FCPA also requires public companies to make and keep books and records that accurately and fairly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government entities; therefore, our dealings with these prescribers and purchasers will be subject to regulation under the FCPA. Recently the Securities and Exchange Commission, or the SEC, and Department of Justice have increased their FCPA enforcement activities with respect to biotechnology and pharmaceutical companies. There is no certainty that all of our employees, agents, suppliers, manufacturers, contractors, or collaborators, or those of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will comply with all applicable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attract and retain employees, and our business, prospects, operating results, and financial condition.</w:t>
      </w:r>
    </w:p>
    <w:p>
      <w:pPr>
        <w:spacing w:after="0" w:line="10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w:t>
      </w: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developed or commercialized in a timely manner or otherwise prevent those agencies from performing normal business functions on which the operation of our business may rely, which could negatively impact our business.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federal agencies in the U.S. are operating under a continuing resolution that is set to expire on September 30, 2025. Without appropriation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additional funding to federal agencies, our business operations related to our product development activities for the U.S. market could be impacted. 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 which is inherently fluid and unpredictable.</w:t>
      </w:r>
    </w:p>
    <w:p>
      <w:pPr>
        <w:spacing w:after="0" w:line="11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and certain regulatory authorities, such as the FDA and the SEC, have had to furlough critical FDA, SEC and other government employees and stop critical activities. If a prolonged government shutdown occurs, it could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1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principal investigators, healthcare providers, including physicians, consultants, third-party payors and customers may be subject, directly or indirectly, to U.S. federal and state, as well as foreign, healthcare fraud and abuse laws, false claims laws, health information privacy and cybersecurity laws, and other healthcare laws and regulations. If we are unable to comply, or have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 fully complied, with such laws, we could face substantial penalties.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principal investigators, consultants, customers and third-party payors subject us to various U.S. federal and state fraud and abuse laws and other healthcare laws, including, without limitation, the AKS, the federal civil and criminal false claims laws, and the law commonly referred to as the Sunshine Act, along with regulations promulgated under such laws. These laws impact, among other things, our clinical research activities, proposed sales, marketing and</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educational programs, and other arrangements and relationships with third-party payors, healthcare professionals, and other parties through which we market, sell and distribute our product candidates for which we obtain marketing approval. In addition, we may be subject to patient data privacy and security regulation by both the U.S. federal government and the states in which we conduct our business, along with foreign regulators (including European data protection authorities). See section entitled “Business – Government Regulation – Other Healthcare Laws and Compliance Requirements.”</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Even if precautions are taken, it is possible that governmental authorities will conclude that our business practices may not comply with current or future statutes, regulations or case law involving applicable fraud and abuse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individual imprisonment, exclusion from participating in federal and state funded healthcare programs, such as Medicare and Medicaid,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If any of the physicians or other healthcare providers or entities with whom we expect to do business is found not to be in compliance with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applicable laws, that person may be subject to significant criminal, civil or administrative sanctions, including exclusions from government funded healthcare programs. Prohibitions or restrictions on sales or withdrawal of future marketed products could materially affect business in an adverse way.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applicable regulatory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authorities or the courts, and their provisions are open to a variety of interpretations. Efforts to ensure that our business arrangements with third parties will comply with applicable healthcare laws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5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CROs or CMOs, principal investigators, suppliers and vendors may engage in fraudulent conduct or other illegal activity. Misconduct by these parties could include intentional, reckless and negligent conduct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that fails to: comply with the regulations of the FDA and other comparable foreign regulatory bodies, provide true, complete and accurate information to the FDA and other comparable foreign regulatory bodies, comply with manufacturing standards we have established, comply with healthcare fraud and abuse laws in the United States and similar foreign fraudulent misconduct laws or report financial information or data accurately or to disclose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unauthorized activities to us. If we obtain FDA approval of any of our product candidates and begin commercializing those products in the United States, our potential exposure under such laws and regulations will increase significantly, and our costs associated with compliance with such laws and regulations are also likely to increase. In particular, the promotion, sales and marketing of healthcare items and services, as well as certain business arrangements in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Misconduct by persons acting on our behalf could also involve the improper use of individually identifiable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information, including, without limitation, information obtained in the course of clinical trials, which could result in regulatory sanctions and serious harm to our reputation.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adopted a code of business conduct and ethics, but it is not always possible to identify and deter employee misconduct, and the precautions we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take to detect and prevent inappropriate 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curtailment or restructuring of our operations.</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and our collaborators and third-party providers are subject to national, supranational, federal or state laws and regulations, regulatory guidance and industry standards relating to data protection, privacy and information security. With respect to Europe, the collection and processing of personal data</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regarding (i) individuals in the EEA and U.K., and/or (ii) carried out in the context of the activities of our establishments in the EEA or U.K., is subject to the GDPR, as well as other national data protection legislation in force in relevant EEA member states and the U.K., (including the U.K. Data Protection Act 2018).</w:t>
      </w:r>
    </w:p>
    <w:p>
      <w:pPr>
        <w:spacing w:after="0" w:line="2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GDPR is wide-ranging in scope and impose numerous obligations on companies that process personal data, including imposing special requirements in respect of the processing of special categories of personal data (such as health data), requiring that consent of individuals to whom the personal data relates is obtained in certain circumstances, requiring additional disclosures to individuals regarding data processing activities, requiring that safeguards are implemented to protect the security and confidentiality of personal data, creating mandatory data breach notification requirements in certain circumstances, requiring data protection impact assessments for high risk processing and requiring that certain measures (including contractual requirements) are put in place when engaging third-party processors. The GDPR also provides individuals with various rights in respect of their personal data, including rights of access, erasure, portability, rectification, restriction and objection. The GDPR defines personal data to include pseudonymized or coded data and require different informed consent practices and more detailed notices for clinical trial participants and investigators than applies to clinical trials conducted in the United States. We are required to apply GDPR standards to any clinical trials that our EEA and U.K. established businesses carry out anywhere in the world.</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GDPR imposes strict rules on the transfer of personal data to countries outside the EEA and U.K., including the United States in certain circumstances, unless a derogation exists or we incorporate a GDPR transfer mechanism (such as the European Commission approved standard contractual clauses (“SCCs”) or the U.K. International Data Transfer Addendum (“IDTA”)) into our agreements with third parties to govern such transfers of personal data and carry out transfer impact assessments to assess whether the data importer can ensure sufficient guarantees for safeguarding the personal information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under the GDPR, including an analysis of the laws in the recipient’s country. Carrying out such restricted transfers, therefore, comes with a significant compliance burden, requiring significant effort and expense to overcome. Failure to implement valid mechanisms for personal data transfers from Europe may result in increased exposure to regulatory actions, substantial fines, and injunctions against processing personal data from Europe. If we are unable to export personal data, this may also restrict our activities outside of Europe and require us to increase processing capabilities within Europe at significant expense or otherwise segregate our systems and operations. Switzerland has adopted similar transfer restrictions as under the GDPR. Although the U.K. is regarded as a third country under the EU GDPR, the European Commission issued a decision recognizing the U.K. as providing adequate protection under the EU GDPR and, therefore, transfers of personal data originating in the EEA to the U.K. remain unrestricted. Personal data transfers from the U.K. to the EEA remain free flowing by virtue of a U.K. government adequacy decision.</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GDPR may increase our responsibility and liability in relation to personal data that we process where such processing is subject to the GDPR. While we have taken steps to comply with the GDPR, and implementing legislation in applicable EEA member states and the U.K., including by seeking to establish appropriate lawful bases for the various processing activities we carry out as a controller or joint controller, reviewing our security procedures and those of our vendors and collaborators, and entering into data processing agreements with relevant vendors and collaborators, we cannot be certain that our efforts to achieve and remain in compliance have been, and/or will continue to be, fully successful. Given the breadth and depth of the applicable obligations, complying with the GDPR and similar data protection laws’ requirements are rigorous and time intensive and require significant resources and a review of our technologies, systems and practices, as well as those of any third-party collaborators, service providers, contractors or consultants that process or transfer personal data.</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U.K.’s data protection regime is independent from but aligned to the EU’s data protection regime. However following the U.K.'s departure from the European Union ("Brexit"), there will be increasing scope for divergence in application, interpretation and enforcement of the data protection laws between these territories. For example, the U.K. has recently introduced a new Data (Use and Access) Bill (“U.K. Bill”) into parliament. If passed, the final version of the U.K. Bill may have the effect of further altering the similarities between the U.K. and EEA data protection regime and threaten the U.K.’s adequacy decision from the EC. This lack of clarity on future U.K. laws and regulations and their interaction with those of the EU could add legal risk, uncertainty, complexity, and cost to our handling of European personal data and our privacy and security compliance programs; and any resulting divergence in laws could increase our risk profile and may require us to implement different compliance measures for the U.K. and EEA.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U.S., numerous federal and state laws and regulations, including federal health information privacy laws, state data breach notification laws, state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health information privacy laws and federal and state consumer protection laws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Section 5 of the FTC Act), that govern the collection, use, disclosure and protection of health-related and other personal information could apply to our operations or the operations of our collaborators and third-party providers. For example, the CCPA gives California residents expanded rights to access and delete their personal information, opt out of certain personal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information sharing and receive detailed information about how their personal information is used. The CCPA was recently amended to apply to certain sensitive personal information and created a new state agency vested with authority to implement and enforce the CCPA. The CCPA provides for civil penalties for violations, as well as a private right of action for data breaches that may lead to increased litigation. U.S. states are constantly amending</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existing laws, requiring attention to frequently changing regulatory requirements, which may require us to modify our data collection or processing practices and policies and to incur substantial costs and expenses in an effort to comply with them. We are conducting a clinical trial in California and therefore through our contract research organisation (CRO), we collect personal data on residents of California, therefore we are subject to the CCPA, and the CCPA imposes privacy compliance obligations on our business and will raise new risks for potential fines and class actions.</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Numerous other U.S. state privacy laws have been enacted that are substantially similar in scope and contain many of the same requirements and exceptions as the CCPA, including a general exemption for clinical trial data and information governed by HIPAA. Any of these laws may broaden their scope in the future, and similar laws have been proposed on both a federal level and in more than half of the states in the United States. While such state</w:t>
      </w:r>
    </w:p>
    <w:p>
      <w:pPr>
        <w:spacing w:after="0" w:line="1"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laws incorporate many similar concepts of the CCPA, there are also several key differences in the scope, application, and enforcement of the laws that will change the operational practices of regulated businesses. The new laws will, among other things, impact how regulated businesses collect and process personal sensitive data, conduct data protection assessments, transfer personal data to affiliates, and respond to consumer rights requests.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to general privacy and data protection requirements, many jurisdictions around the world have adopted legislation that regulates how businesses operate online and enforces information security, including measures relating to privacy, cybersecurity, data security and data breaches. Many of these laws require businesses to notify cybersecurity incidents and data breaches to applicable regulators and/or data subjects. These laws are not consistent,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in the event of a widespread data breach is costly and burdensome.</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many jurisdictions, enforcement actions and consequences for non-compliance with protection, privacy and information security laws and regulations are rising. In the EU and the U.K., data protection authorities may impose large penalties for violations of the data protection laws, including potential fines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up to €20 million (£17.5 million in the U.K.) or 4% of</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annual global revenue, whichever is greater. The authorities have shown a willingness to impose significant fines and issue orders preventing the processing of personal data on non-compliant businesses. Data subjects also have a private right of action, as do consumer associations, to lodge complaints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with supervisory authorities, seek judicial remedies, and obtain compensation for damages resulting from violations of applicable data protection laws. In the United States, possible consequences for non-compliance include enforcement actions in response to rules and regulations promulgated under the authority of federal agencies and state attorneys general and legislatures and consumer protection agencies.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the interpretation and enforcement of them is not entirely clear.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Compliance with data protection laws and regulations could require us to take on more onerous obligations in our contracts, restrict our ability to collect, use and disclose data, or in some cases, impact our ability to operate in certain jurisdictions. It could also require us to change our business practices and put in place additional compliance mechanisms, may interrupt or delay our development, regulatory and commercialization activities and increase our cost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doing business. Failure by us or our collaborators and third-party providers to comply with data protection laws and regulations could result in government enforcement actions (which could include civil or criminal penalties and orders preventing us from processing personal data), private litigation and result in significant fines and penalties against us. Moreover, clinical trial participants about whom we or our potential collaborators obtain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results of operations and prospects.</w:t>
      </w:r>
    </w:p>
    <w:p>
      <w:pPr>
        <w:spacing w:after="0" w:line="17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Congress, the Trump administration, or any new administration may make substantial changes to fiscal, tax, and other federal policies that may adversely affect our business.</w:t>
      </w:r>
    </w:p>
    <w:p>
      <w:pPr>
        <w:spacing w:after="0" w:line="18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In 2017, the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With the transition to the Biden administration in early 2021, changes to U.S. policy occurred and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any products we develop and for our technology, or if the scope of the patent protection</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product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candidates. We seek to protect our proprietary position by in-licensing intellectual property relating to our platform technology and filing patent applications relating to our technologies that are important to our business. If we or our licensors are unable to obtain or maintain patent protection with respect to our product candidates, our competitive position, business, financial conditions, results of operations, and prospects could be materially harmed.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We do not own any issued patents with respect to our product candidates and rely primarily on in-licensed patents and patent applications. We can provide no assurance that any of our current or future patent applications will result in issued patents or that any issued patents will provide us with any competitive advantage. Failure to obtain issued patents could have a material adverse effect on our ability to develop and commercialize our product candidates.</w:t>
      </w:r>
    </w:p>
    <w:p>
      <w:pPr>
        <w:spacing w:after="0" w:line="17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In addition, it is uncertain whether the World Trade Organization ("WTO") will waive certain intellectual property protections now or in the future on certain technologies. It is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unknown if such a waiver would be limited to patents, or would include other forms of intellectual property including trade secrets and confidential know-how. We cannot be certain that any of our current or future product candidates or technologies would not be subject to an intellectual property waiver by the</w:t>
      </w:r>
    </w:p>
    <w:p>
      <w:pPr>
        <w:jc w:val="both"/>
        <w:spacing w:after="0" w:line="208" w:lineRule="auto"/>
        <w:rPr>
          <w:sz w:val="20"/>
          <w:szCs w:val="20"/>
          <w:color w:val="auto"/>
        </w:rPr>
      </w:pPr>
      <w:r>
        <w:rPr>
          <w:rFonts w:ascii="Times New Roman" w:cs="Times New Roman" w:eastAsia="Times New Roman" w:hAnsi="Times New Roman"/>
          <w:sz w:val="18"/>
          <w:szCs w:val="18"/>
          <w:color w:val="auto"/>
        </w:rPr>
        <w:t>WTO. We also cannot be certain that any of our current or future intellectual property rights, whether patents, trade secrets, or confidential know-how would be eliminated, narrowed, or weakened by such a waiver. Given the uncertain future actions by the WTO and other countries and jurisdictions around the world, including the United States, it is unpredictable how our current or future intellectual property rights or how our current or future business would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be impacted. With respect to both our in-licensed and owned intellectual property, we cannot predict whether the patent applications that we and our licensors are currently pursuing or that we may pursue in the future will issue as patents in any particular jurisdiction or whether the claims of any issued patents will provide sufficient protection from competitors.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and our licensors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publications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technology or product candidates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effectively prevent others from commercializing competitive technologies and product candidates.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We or our licensors may become subject to a third party pre-issuance submission of prior art to the USPTO,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and other similar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w:t>
      </w:r>
    </w:p>
    <w:p>
      <w:pPr>
        <w:spacing w:after="0" w:line="165"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6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technology and product candidates are subject, in part, to the terms and conditions of licenses granted to us by others and if we fail to comply with our current or future obligations in any agreements under which we license intellectual property rights from third parties or otherwise experience disruptions to our business relationships with our licensors, we could lose license rights that are important to our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are heavily reliant upon licenses to certain patent rights and proprietary technology from third parties that are important or necessary to the development of our product candidates. These and other future agreements impose, and may continue to impose, numerous obligations, such 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development, diligence, payment, commercialization, funding, milestone, royalty, sublicensing, insurance, patent prosecution and enforcement obligations on us and may require us to meet development timelines, or to exercise commercially reasonable efforts to develop and commercialize licensed products, in order to maintain the licenses. In spite of our best efforts, our current and future licensors might conclude that we have materially breached our license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agreements and might therefore terminate the license agreements, thereby removing or limiting our ability to develop and commercialize products and technologies covered by these license agreements.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may not have the right to control the preparation, filing, prosecution, maintenance, enforcement, and defense of patents and patent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applications covering the technology that we license from third parties. For example, we do not control the preparation, filing, prosecution or maintenance of patents in-licensed from OUI. Therefore, we cannot be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applications, the rights we have licensed may be reduced or eliminated, and our right to develop and commercialize any of our products that are the subject of such licensed rights could be adversely affected.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termination of these licenses, or any failure of the underlying patents to provide the intended exclusivity, could result in the loss of significant rights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could harm our ability to commercialize our product candidates, and competitors or other third parties would have the freedom to seek marketing authorization for, and to market, products identical to ours and we may be required to cease our development and commercialization of certain of our product candidates. Any of the foregoing could have a material adverse effect on our competitive position, business, financial conditions, results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arise between us and our current and future licensors regarding intellectual property subject to a license agreement, including:</w:t>
      </w:r>
    </w:p>
    <w:p>
      <w:pPr>
        <w:spacing w:after="0" w:line="18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98"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are not subject to the licensing agreement;</w:t>
      </w:r>
    </w:p>
    <w:p>
      <w:pPr>
        <w:spacing w:after="0" w:line="15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 and the amount of fees payable as a result of sublicensing arrangements;</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84"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and/or us and/or our partners.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acceptable terms, we may be unable to successfully develop and commercialize the affected product candidates, which could have a material adverse effect on our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conditions, results of operations and prospects.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that is not patentable, processes for which patents are difficult to enforce and other elements of our product discovery and development processes.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collaborators and suppliers. We cannot be certain that we have or will obtain these agreements in all circumstances and we cannot guarantee that we have entered into such agreements with each party that may have or has had access to our trade secrets or proprietary information.</w:t>
      </w:r>
    </w:p>
    <w:p>
      <w:pPr>
        <w:spacing w:after="0" w:line="1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and other third parties may otherwise gain access to our trade secrets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independently develop substantially equivalent information and techniques.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 Furthermore, the laws of some foreign countries do not protect proprietary rights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consume our time and other resources even if we are successful and could have a material adverse effect on our business, financial conditions, results of operations and prospects.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intellectual property landscape around immunotherapeutic, nanoparticle and viral vector-based products is crowded and dynamic, and third</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parties may initiate legal proceedings alleging that we are infringing, misappropriating or otherwise violating their intellectual property rights and such claims may be costly and time-consuming and may prevent or delay our product discovery and development efforts.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intellectual property landscape around immunotherapeutic, nanoparticle and viral vector-based products is crowded and dynamic, and third parties may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proceedings before the USPTO or oppositions and other comparable proceedings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foreign jurisdictions. We or any of our licensors or strategic partners may be party to, exposed to, or threatened with,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product candidates and other technologies that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we have developed, are developing or may develop in the future do not or will not infringe, misappropriate or otherwise violate existing or future patents or other intellectual property rights owned by third parties. Numerous U.S. and foreign issued patents and pending patent applications, which are owned by third parties, including our competitors, exist in the fields in which we are developing our product candidates. As the biotechnology and pharmaceutical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industries expand and more patents are issued, the risk increases that our product candidates may give rise to claims of infringement of the patent rights of others. Moreover, it is not always clear to industry participants, including us, which patents cover various types of viral vectors and vaccines or their methods of use or manufacture. Thus, because of the large number of patents issued and patent applications filed in our fields, there may be a risk that third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parties may allege they have patent rights encompassing our product candidates, technologies or methods. For example, we are aware of third-party patents in the United States and Europe with claims which may be relevant to our VTP-300 and VTP-850 product candidates. In the event that these patents were asserted against us in an infringement action, we may have to argue that the manufacture, use, sale or importation of our VTP-300 or VTP-850 product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candidates in the United States and Europe do not infringe any valid claim of the asserted patents. There is no assurance that a court would find in our favor on questions of infringement or validity.</w:t>
      </w:r>
    </w:p>
    <w:p>
      <w:pPr>
        <w:spacing w:after="0" w:line="15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If a third party (including any third party that controls the above referenced patents) claims that we infringe, misappropriate or otherwise violate its intellectual property rights (including the above referenced patents), we may face a number of risks, including, but not limited to:</w:t>
      </w:r>
    </w:p>
    <w:p>
      <w:pPr>
        <w:spacing w:after="0" w:line="149" w:lineRule="exact"/>
        <w:rPr>
          <w:sz w:val="20"/>
          <w:szCs w:val="20"/>
          <w:color w:val="auto"/>
        </w:rPr>
      </w:pPr>
    </w:p>
    <w:p>
      <w:pPr>
        <w:ind w:left="660" w:right="20" w:hanging="328"/>
        <w:spacing w:after="0" w:line="237"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 consuming to litigate and may divert our management’s attention from our core business and may impact our reputation;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15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 party licenses its product rights to us, which it is not required to do, on commercially reasonable terms, or at all;</w:t>
      </w:r>
    </w:p>
    <w:p>
      <w:pPr>
        <w:spacing w:after="0" w:line="149"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158"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misappropriate or violate third party intellectual property rights, which may not be possible or may require substantial monetary expenditures and time; and</w:t>
      </w:r>
    </w:p>
    <w:p>
      <w:pPr>
        <w:spacing w:after="0" w:line="171"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our share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7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18"/>
          <w:szCs w:val="18"/>
          <w:i w:val="1"/>
          <w:iCs w:val="1"/>
          <w:color w:val="auto"/>
        </w:rPr>
        <w:t>ex-parte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European Patent Office ("EPO") or other foreign patent office. The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United States by law enjoy a presumption of validity that can be rebutted only with evidence that is “clear and convincing,” a heightened standard of proof. There may be issued third-party patents of which we are currently unaware with claims to compositions of matter, methods of manufacture or methods for treatment related to our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product candidates, their manufacture or use.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 filed patent applications covering our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 exclusive basis. There may be currently pending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patent applications which may later result in issued patents that our product candidates may infringe. It is also possible that patents owned by third parties of which we are aware, but which we do not believe are relevant to our product candidates or other technologies, could be found to be infringed by our product candidates or other technologies. In addition, third parties may obtain patents in the future and claim that use of our technologies infringes upon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product candidates, molecules used in or formed during the manufacturing process, or any final product itself, the holders of any such patents may be able to block our ability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product candidates, process for their manufacture or methods of use, including combination therapies or participant selection methods, the holders of any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 applications or any patents we in-license or may own in the future is threatened, it could dissuade companies from collaborating with us to license, develop or commercialize current or future product candidates.</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misappropriation or other violation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absence of litigation, we may need or may choose to obtain licenses from third parties to advance our research or allow commercialization of our product candidates. We may fail to obtain any of these licenses at a reasonable cost or on reasonable terms, if at all. Even if we were able to obtain a license, it could be non-exclusive, thereby giving our competitors and other third parties access to the same technologies licensed to us, and it could require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us to make substantial licensing and royalty payments. We also could be forced, including by court order, to cease developing, manufacturing, and commercializing the infringing technology or product candidates. In that event, we would be unable to further develop and commercialize our product candidates, which could harm our business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currently have rights to intellectual property, through licenses from third parties, to develop and commercialize our product candidates. Many pharmaceutical companies, biotechnology companies, and academic institutions are competing with us in the fields of infectious disease, I&amp;I and oncology and filing patent applications potentially relevant to our business. Because our current and future product candidates may require the use of proprietary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held by third parties, the growth of our business will likely depend in part on our ability to acquire, in-license or use these proprietary rights.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product candidates may also require particular vector components or gene sequences encoding antigenic peptides to work effectively and efficiently and these rights may be held by others. Similarly, efficient production, delivery or use of our product candidates may also require specific compositions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methods, and the rights to these may be owned by third parties.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We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may be required to expend significant time and resources to develop or license replacement technology. Moreover, the molecules that will be used with our product candidates may be covered by the intellectual property rights of others.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program and allowing third parties to compete with us. If we are unable to successfully obtain rights to required third-party intellectual property or to maintain the existing intellectual property rights we have, we may have to abandon development of such programs and our business and financial condition could suffer.</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enable us to make an appropriate return on our investment or at all. There can be no assurance that we will be able to successfully complete such negotiations and ultimately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acquire the rights to the intellectual property surrounding the additional product candidates that we may seek to acquire. If we are unable to successfully obtain rights to required third-party intellectual property or to maintain the existing intellectual property rights we have, we may have to abandon development of such program and our business, results of operations, financial condition and prospects could suffer.</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intellectual property rights, including any patents we may own or in- license in the future, which could be expensive, time-consuming and unsuccessful.</w:t>
      </w:r>
    </w:p>
    <w:p>
      <w:pPr>
        <w:spacing w:after="0" w:line="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Competitors may infringe any patents we in-license or may own in the future. In addition, any patents we may in-license or own also may become involved in inventorship, priority, validity or unenforceability disputes. To counter infringement or unauthorized use, we may be required to file infringement claims,</w:t>
      </w:r>
    </w:p>
    <w:p>
      <w:pPr>
        <w:jc w:val="both"/>
        <w:spacing w:after="0" w:line="208" w:lineRule="auto"/>
        <w:rPr>
          <w:sz w:val="20"/>
          <w:szCs w:val="20"/>
          <w:color w:val="auto"/>
        </w:rPr>
      </w:pPr>
      <w:r>
        <w:rPr>
          <w:rFonts w:ascii="Times New Roman" w:cs="Times New Roman" w:eastAsia="Times New Roman" w:hAnsi="Times New Roman"/>
          <w:sz w:val="18"/>
          <w:szCs w:val="18"/>
          <w:color w:val="auto"/>
        </w:rPr>
        <w:t>which can be expensive and time-consuming. We may not prevail in any lawsuits that we initiate, and the damages or other remedies awarded, if any, may not be commercially meaningful. In addition, in an infringement proceeding, a court may decide that one or more of any patents we may in-license or own in the future is not valid or is unenforceable or that the other party’s use of our technology falls under the safe harbor to patent infringement under 35</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U.S.C. §271 (e)(1). There is also the risk that, even if the validity of these patents is upheld, the court may refuse to stop the other party from using the technology at issue on the grounds that our patents do not cover the technology in question or that such third party’s activities do not infringe our patents. An adverse result in any litigation or defense proceedings could put one or more of any patents we in-license or may own in the future at risk of being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obtain one or more licenses from third parties, pay royalties or redesign our infringing products, which may be impossible or require substantial time and monetary expenditure.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in-license or own in the future. These proceedings are expensive and an unfavorable outcome could result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review proceedings, we may become a party to patent opposition proceedings in the EPO, or similar proceedings in other foreign patent offices, where our foreign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patents are challenged. For example, one of our in-licensed European patents relating to our now discontinued MVA influenza product candidate has been revoked in a European opposition proceeding. This decision is currently on appeal, although there can be no assurance that any such appeal will be successful. The costs of opposition or similar proceedings could be substantial, and may result in a loss of scope of some claims or a loss of the entire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 or post-grant proceedings may result in a decision adverse to our interests and, even if we are successful, may result in substantial costs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distract our management and other employees. We may not be able to prevent, misappropriation of our trade secrets or confidential information, particularly in countries where the laws may not protect those rights as fully as in the United States.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ADSs.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may not be able to detect infringement of any patents we may in-license or own. Even if we detect infringement by a third party of any such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when the suit was brought. Such legal defenses may make it impossible for us to enforce any patents we may own or in-license against such third party.</w:t>
      </w:r>
    </w:p>
    <w:p>
      <w:pPr>
        <w:spacing w:after="0" w:line="161"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 compliance with these</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any issued patents and patent applications are due to be paid to the USPTO and foreign patent agencies in several stages over the lifetime of the patent. The USPTO and various foreign governmental patent agencies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 compliance with a number of procedural, documentary, fee payment and other similar provisions during the patent application process and following the issuance of a patent. While an inadvertent lapse can in some cases be cured by payment of a late fee or by other means in accordance with the applicable rules, there are situations in which non-compliance can result in abandonment or lapse of the patent or patent application, resulting in partial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or platforms, which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have a material adverse effect on our business prospects and financial condition.</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Any issued patents we in-license or may own now or in the future covering our product candidates could be narrowed or found invalid or unenforceable if challenged in court or before administrative bodies in the United States or abroad, including the USPTO.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or our licensors or strategic partners initiate legal proceedings against a third party to enforce a patent covering one of our product candidates,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interference proceedings, derivation proceedings and equivalent proceedings in foreign jurisdictions (such as opposition proceedings). Such proceedings could result in revocation or amendment to our in-licensed patent applications or patents or any patent applications or patents we may own in the future in such a way that they no</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longer cover our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in-license or may own in the future, allow third parties to</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commercialize our product candidates or other technologies and compete directly with us, without payment to us, or result in our inability to manufacture or commercialize products without infringing third-party patent rights.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application claims could limit our ability to stop others from using or commercializing similar or identical technology and products. Any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could have a material adverse effect on our business, results of operations, financial condition and prospects.</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any intellectual property, including any patents we may in-license or own in the future.</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any patents we in-license or may own in the future, trade secrets, or other intellectual property as an inventor or co-inventor. For example, we may have inventorship disputes arise from conflicting obligations of employees, consultants or others who are involved in developing our product candidates or other technologies. We generally enter into</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time-consuming. Litigation may be necessary to defend against these and other claims challenging inventorship of any patents we in-license or may own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future, trade secrets or other intellectual property. If we were unsuccessful, in addition to paying monetary damages, we could lose valuable rights in intellectual property that we regard as our own, such as exclusive ownership of, or right to use, intellectual property that is important to our product candidates and other technologies. Even if we are successful in defending against such claims, litigation could result in substantial costs and be a distraction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management and other employees. Any of the foregoing could have a material adverse effect on our business, financial condition, results of operations and prospects.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or</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alleged trade secrets of third parties or competitors or are in breach of non-competition or non- solicitation agreements with our competitors or other third parties.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as is common in the biotechnology and pharmaceutical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industries, we employ individuals who were previously employed at universities or other biotechnology or pharmaceutical companies, including our competitors or potential competitors. We may be subject to claims that we or our employees, consultants or independent contractors have inadvertently or otherwise used or disclosed confidential information or trade secrets of these third parties. In addition, we may in the future be subject to claims that we</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caused an employee to breach the terms of his or her non-competition or non-solicitation agreement. Litigation or arbitration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and possible aftermath could result in substantial cost and be a distraction to our management and employees. Any litigation or the threat thereof may adversely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affect our ability to hire employees. A loss of key personnel or their work product could hamper or prevent our ability to commercialize product candidates, which could have an adverse effect on our business, results of operations and financial condition. In addition, there could be public announcements of the results of hearings, motions or other interim proceedings or developments, and, if securities analysts or investors perceive these results to be negative, it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could have a substantial adverse effect on our share price.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substantially greater financial resources. Uncertainties resulting from the initiation and continuation of patent litigation or other intellectual property related proceedings could adversely affect our ability to compete in the marketplace.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agreements that provide that all inventions conceived by the individual, and which are related to our current or planned business or research and development or made during normal working hours, on our premises or using our equipment or proprietary information, are our exclusive property, we may be unsuccessful in executing such an agreement with each party who, in fact, develops intellectual property that we regard as our own. The assignment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intellectual property rights may not be self- 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of our current or future product candidates we may develop, our business may be materially harmed.</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of our current or future product candidates we may develop, one or more U.S. patents we in-license or may own in the future may be eligible for limited patent term extension under the Hatch-Waxman Amendments. The Hatch-Waxman Amendments permit a patent term extension of up to five years as compensation for patent term lost during the FDA regulatory review</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or other third parties may obtain approval of competing products following</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expiration of any patents that issue from our patent applications, and our business, financial condition, results of operations, and prospects could be materially harmed.</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 in the United States and in foreign jurisdictions could diminish the value of patents in general, thereby impairing our ability to protect our products.</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biopharmaceutical industry involve both technological and legal complexity, and is therefore costly, time-consuming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inherently uncertain.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courts, and the USPTO, the laws and regulations governing patents could change in unpredictable ways that would weaken our ability to obtain new patents or to enforce patents that we might obtain in the future. For example, in the case </w:t>
      </w:r>
      <w:r>
        <w:rPr>
          <w:rFonts w:ascii="Times New Roman" w:cs="Times New Roman" w:eastAsia="Times New Roman" w:hAnsi="Times New Roman"/>
          <w:sz w:val="18"/>
          <w:szCs w:val="18"/>
          <w:i w:val="1"/>
          <w:iCs w:val="1"/>
          <w:color w:val="auto"/>
        </w:rPr>
        <w:t>Assoc. for Molecular Pathology v. Myriad Genetics, Inc.,</w:t>
      </w:r>
      <w:r>
        <w:rPr>
          <w:rFonts w:ascii="Times New Roman" w:cs="Times New Roman" w:eastAsia="Times New Roman" w:hAnsi="Times New Roman"/>
          <w:sz w:val="18"/>
          <w:szCs w:val="18"/>
          <w:color w:val="auto"/>
        </w:rPr>
        <w:t xml:space="preserve"> the U.S. Supreme Court held that certain claims to DNA molecules are not patentable. Any adverse changes in the patent laws of other jurisdictions could have 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material adverse effect on our business and financial condition. Changes in the laws and regulations governing patents in other jurisdictions could similarly have an adverse effect on our ability to obtain and effectively enforce any rights we may have in our patent applications or any patents we may own or in-license in the future.</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Recent or future patent reform legislation could also increase the uncertainties and costs surrounding the prosecution of our patent applications and the enforcement or defense of any patents we in-license or may own in the future. The United States has enacted and implemented wide-ranging patent reform legislation. On September 16, 2011, the Leahy-Smith America Invents Act ("America Invents Act"), was signed into law, which includes a number of</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significant changes to U.S. patent law. These include provisions that affect the way patent applications are prosecuted, redefine prior art, may affect patent litigation, establish a new post-grant review system and switch the U.S. patent system from a “first-to-invent” system to a “first-to-file” system. Under a “first-to-file” system, assuming the other requirements for patentability are met, the first inventor to file a patent application generally will be entitled to a</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patent on the invention regardless of whether another inventor had made the invention earlier.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other technologies or (ii) invent any of the inventions claimed in our patent applications or any patents we may own or in-license. These changes also allow third party submission of prior art to the USPTO during patent prosecution and additional</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An adverse determination in any such proceeding could reduce the scope of, or invalidate, our patent rights, allow third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parties to commercialize our technology or products and compete directly with us, without payment to us, or result in our inability to manufacture or commercialize products without infringing third-party patent rights. Accordingly, the America Invents Act and its implementation could increase the uncertainties and costs surrounding the prosecution of our patent applications and the enforcement or defense of any issued patents we in-license or may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 in the future, all of which could have a material adverse effect on our business, financial condition, results of operations, and prospects.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recently created Unified Patent Court (UPC) for the European Union, that was fully ratified and came into being in 2023. We may decide to opt out our European patents and patent applications from the UPC. However, if certain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 successful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invalidity challenge to a European patent under the UPC would result in loss of patent protection in those European countries. Accordingly, a single proceeding under the UPC could result in the partial 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complete loss of patent protection in numerous European countries, rather than in each validated European country separately as such patents always have been adjudicated. Such a loss of patent protection could have a material adverse impact on our business and our ability to commercialize our technology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product candidates and, resultantly, on our business, financial condition, prospects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foreign countries may not protect our rights to the same extent as the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As a result, in response to the COVID-19 pandemic, it is possible that certain countries may take steps to facilitate compulsory licenses that permit the distribution of a COVID-19 vaccine in those countries. In addition, many countries limit the enforceability of patents against government agencies or government contractors. In these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countries, the patent owner may have limited remedies, which could materially diminish the value of the relevant patent rights.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6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trademarks or trade names may be challenged, infringed or diluted, lapsed, abandoned, circumvented or declared generic or determined to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infringing on or become dilutive of other marks, or otherwise invalidated through administrative process or litigation.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Third parties may use trademarks</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similar to our trademarks and any potential confusion as to the source of goods or services could have an adverse effect on our business. For example, in April 2022, we received a letter asserting that our use of our “Vaccitech” trademark infringes a United Kingdom trademark held by a third party. We timely responded rejecting the claims and we believe that such claims are without merit. However, if such third party continues to assert its claims, we cannot provide any assurance whether we could reach a settlement relating to such claims or whether we would prevail in any litigation or action related to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Moreover, during the trademark registration process, we may receive Office Actions from the USPTO objecting to the registration of our trademarks. Although we would be given an opportunity to respond to those objections, we may be unable to overcome such rejections. In addition, at the USPTO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at comparable agencies in many foreign jurisdictions, third parties are given an opportunity to oppose pending trademark applications and/or to seek the cancellation of registered trademarks through opposition or cancellation proceedings against our trademarks, and if such third parties are successful, our trademarks may not survive such proceedings. In some cases, there may be third-party trademark owners who have prior rights to our trademarks or third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parties who have prior rights to similar trademarks, and we may not be able to prevent such third parties from using and marketing any such trademarks. Litigation brought to protect and enforce our intellectual property rights could be costly, unpredictable, time-consuming and distracting to management, regardless of whether we are successful in such litigation. If we are unable to obtain a registered trademark or establish name recognition based on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trademarks and trade names, we may not be able to compete effectively and our business, results of operations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the relevant patent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64"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in-license may not lead to issued patents;</w:t>
      </w:r>
    </w:p>
    <w:p>
      <w:pPr>
        <w:spacing w:after="0" w:line="76"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we in-license or may own in the future, may not provide us with any competitive advantages, may be narrowed in scope, or may be challenged and held invalid or unenforceable;</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product candidates, that is similar to our technology or aspects of our technology but that is not covered by the claims of any patents we in-license or may own in the future;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76"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a patent application that we own or in-license;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a particular invention;</w:t>
      </w:r>
    </w:p>
    <w:p>
      <w:pPr>
        <w:spacing w:after="0" w:line="76"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76"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63"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Employee Matters, Managing Our Growth and Other Risks Related to Our Employee Matters</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pipeline prioritization and restructuring may be unsuccessful, lead to additional costs, disrupt our operations, create unintended problems in our workforce, or increase litigation risk, in which case our business could be harmed.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12, 2024, we announced plans to prioritize our pipeline to focus on the development of VTP-300 in CHB and VTP-1000 in celiac disease, including a workforce reduction of approximately 25%. On January 10, 2025, we announced a restructuring plan that aims to prioritize our immune tolerance research and development programs, including a 65% reduction in workforce. We are planning to partner the further development of VTP-300 and plan to report the primary analysis data from HBV003 in the second quarter of 2025.</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our efforts, the pipeline prioritization and restructuring may be unsuccessful, lead to additional costs, disrupt our operations, create unintended problems in our workforce, and increase litigation risk, which could harm our business and results of operations. We may incur additional costs not currently contemplated due to events that may occur as a result of, or that are associated with, the pipeline prioritization and restructuring. We may not realize, in full or in part, the anticipated benefits and savings from the pipeline prioritization and restructuring due to unforeseen difficulties, delays or unexpected costs. If we are unable to realize the expected operational efficiencies and cost savings from the pipeline prioritization and restructuring, our operating results and financial condition would be adversely affected. Moreover, our decision to focus on the development of VTP-300 in CHB and VTP-1000 in celiac disease may cause us to fail to capitalize on viable commercial products or profitable market opportunities or limit the opportunities we are able to pursue.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may need to undertake additional workforce reductions or restructuring activities in the future. Furthermore, the pipeline prioritization and restructuring could yield unanticipated consequences, such as increased difficulties in our day-to-day operations, the loss of institutional knowledge and expertise, attrition beyond planned workforce reductions, reduced employee morale, and difficulty attracting and retaining qualified management, scientific, and other personnel critical to our business. In addition, while positions have been eliminated, certain functions necessary to our operations remain, and we may be unsuccessful in distributing the duties and obligations of departed employees among our remaining employees. If employees who were not affected by the workforce reduction pursue alternative employment, we may need to seek contractor support, which could harm our productivity and add unplanned expense. The implementation of the workforce restructuring could also lead to litigation brought by or on behalf of our former employees.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17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Bill Enright,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Chief Executive Officer. The loss of the services of any of our executive officers, other key employees and other scientific and medical advisors, and an inability to find suitable replacements could result in delays in product development and harm our business.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announced on January 10, 2025, Graham Griffiths will step down from his role as Chief Operating Officer on June 30, 2025, and Gemma Brown will step down from her role as Chief Financial Officer on April 30, 2025. The departure of key leadership personnel can result in loss of significant knowledge and experience from the company. This loss of knowledge and experience can be mitigated through successful hiring and transition, but there can be no assurance that we will be successful in such efforts. Attracting and retaining qualified senior leadership may be more challenging under adverse business conditions. Failure to attract and retain the right talent, or to smoothly manage the transition of responsibilities resulting from such turnover, would affect our ability to meet our challenges and may cause us to miss performance objectives or financial targets.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 our operations at our facilities in Harwell, United Kingdom and Germantown, Maryland. These regions are headquarters to many other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biopharmaceutical companies and many academic and research institutions. Competition for skilled personnel in these markets is intense and may limit our ability to hire and retain highly qualified personnel on acceptable terms, or at all. Changes to U.K., U.S. or similar foreign immigration and work authorization laws and regulations, including those that restrain the flow of scientific and professional talent, can be significantly affected by political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forces and levels of economic activity. Our business may be materially adversely affected if legislative or administrative changes to the U.K. (including, but not limited to, those that result as a direct or indirect consequence of Brexit), U.S. or similar foreign immigration or visa laws and regulations impair our hiring processes and goals or projects involving personnel who are not U.S. citizens.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To encourage valuable employees to remain at our company, in addition to salary and cash incentives, we have provided stock options that vest over time. The value to employees of stock options that vest over time may be significantly affected by movements in our share price that are beyond our control, and may at any time be insufficient to counteract more lucrative offers from other companies. Despite our efforts to retain valuable employees, members of our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management, scientific and development teams may terminate their employment with us on notice periods specified in their employment agreements. Although we have employment agreements with all our employees, these employment agreements with U.S. employees provide for at-will employment, which means that any of our U.S. employees could leave our employment at any time, by providing the required contractual notification of their intent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leave. The standard notice period for U.K. employed personnel is three calendar months or six calendar months for the senior executive team. Our success also depends on our ability to continue to attract, retain and motivate highly skilled junior, mid-level and senior managers as well as junior, mid-level and senior scientific and medical personnel.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Operations and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had 105 full-time and part-time employees. In connection with the restructuring announced in January 2025, we are planning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 65% reduction in force, but as our development and commercialization plans and strategies develop, we expect to need additional managerial, operational, technical, sales, marketing, financial and other personnel, as well as additional facilities to expand our operations. Future growth would impose significant added responsibilities on members of management, including:</w:t>
      </w:r>
    </w:p>
    <w:p>
      <w:pPr>
        <w:spacing w:after="0" w:line="64"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and existing employees;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clinical trial sites in multiple countries;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right="20" w:hanging="328"/>
        <w:spacing w:after="0" w:line="23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regulatory review process for our product candidates, while complying with our contractual obligations to contractors and other third parties;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7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 amount of time to managing these growth activities.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accuracy of the services provided by consultants is compromised for any reason, our clinical trials may be extended, delayed or terminated, and we may not be able to obtain marketing authorization for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w:t>
      </w:r>
    </w:p>
    <w:p>
      <w:pPr>
        <w:spacing w:after="0" w:line="16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third-party CROs or other contractors or consultants, may fail or suffer security breaches, which could result in the disclosure of confidential or proprietary information, including personal data, damage to our reputation, and subject us to significant financial and legal exposure and cause a material disruption of the development programs of our product candidates.</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and our third-party CROs and other contractors and consultants rely extensively on information technology systems to conduct and manage our business. Despite the implementation of security measures, our internal computer systems and those of our current and future third-party providers are vulnerable to damage from computer viruses and unauthorized access, including cybersecurity incidents and data breaches. The risk of a security breach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disruption, particularly through cyberattacks or cyber intrusion, including by computer hackers, foreign governments, and cyber terrorists, has generally increased as the number, intensity and sophistication of attempted attacks and intrusions from around the world have increased. Cyberattacks could include wrongful conduct by insider employees or vendors, hostile foreign governments, industrial espionage, wire fraud and other forms of cyber fraud,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deployment of harmful malware, including ransomware, denial-of-service, social engineering fraud, including phishing attacks, data breaches, or other means to threaten data security, confidentiality, integrity and availability. If such an event were to occur, it could result in the theft or destruction of intellectual property, data or other misappropriation of assets, or otherwise compromise our confidential or proprietary information and result in a material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disruption of our development programs and our business operations, such as the loss of clinical trial data from completed or future clinical trials. Such loss could result in delays in our marketing authorization efforts and significantly increase our costs to recover or reproduce the data.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we devote resources to protect our information systems, including organization-wide prevention software, we realize that cyberattacks are a</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threat, and there can be no assurance that our efforts will prevent information security breaches or data breaches that would result in business, legal, financial or reputational harm to us, or would have a material adverse effect on our business, financial condition, results of operations and prospects.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Likewise, we rely on third parties for the manufacture of our product candidates and to conduct clinical trials, and similar events relating to their computer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systems could also have a material adverse effect on our business. We rely on our third-party providers to implement effective security measures and identify and correct for any such failures, deficiencies or breaches.</w:t>
      </w:r>
    </w:p>
    <w:p>
      <w:pPr>
        <w:spacing w:after="0" w:line="1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experienced and will continue to experience threats and cybersecurity incidents relating to our information technology systems and infrastructure. Any breach in our or our third-party providers’ information technology systems could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lead to the unauthorized access, disclosure and use of non-public information, including information from our participant registry or other participant information, which is protected by HIPAA, and other laws. Any such access, disclosure, or other loss of information could result in legal notifications and disclosures, legal claims or proceedings, liability under laws that protect the privacy of personal information, damage to our reputation and the further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development and commercialization of our product candidates could be delayed.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losses described above as well as disputes with physicians, participants and our partners, regulatory sanctions or penalties, increases in operating expenses, expenses or lost revenues or other adverse consequences, any of which could have a material adverse effect on our business, results of operations, financial condition, prospects and cash flows. If we are unable to prevent or mitigate the impact of such cybersecurity or data privacy breaches, we could be exposed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litigation and governmental investigations, which could lead to a potential disruption to our business.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and  those  of  our  CROs,  CMOs  and  other  contractors  and  consultants,  could  be  subject  to  earthquakes,  power  shortages,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product candidates. Our ability to obtain clinical supplies of our product candidates could be disrupted if the operations of these suppliers are affected by a man-made or natural disaster or other business interruption.</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 candidate for which we receive marketing authorization. For example, we may be sued if our product candidates cause or 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49"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participants;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obtain or retain sufficient product liability insurance at an acceptable cost to protect against potential product liability claims could prevent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inhibit the commercialization of products we develop, alone or with corporate collaborators. Although we have clinical trial insurance, our insurance policies also have various exclusions, and we may be subject to a product liability claim for which we have no coverage. In the future, we may be unable to maintain this insurance coverage, or we may not be able to obtain additional or replacement coverage at a reasonable cost, if at all. We may have to pay any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 the past, global financial crises have caused extreme volatility and disruptions in the capital and credit markets. A severe or prolonged economic downturn could result in a variety of risks to our business, including a reduced ability to raise additional capital when needed on acceptable terms, if at all. A weak or declining</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economy or international trade disputes could also strain our third-party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International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our business internationally could materially adversely affect our business.</w:t>
      </w:r>
    </w:p>
    <w:p>
      <w:pPr>
        <w:spacing w:after="0" w:line="9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plan to seek marketing authorization for our product candidates outside of the United States and, accordingly, we expect that we, and any potential collaborators in those jurisdictions, will be subject to additional risks related to operating in foreign countries, including:</w:t>
      </w:r>
    </w:p>
    <w:p>
      <w:pPr>
        <w:spacing w:after="0" w:line="37"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(including tariffs that have been or may in the future be imposed by the United States or other countries), trade protection measures, trade barriers (including further legislation or actions taken by the United States or other countries that restrict trade), price and exchange controls, and other regulatory requirements;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63"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63"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Office of Foreign Assets Control Anti-Money Laundering Program as required by the Bank Secrecy Act and its implementing regulations, or comparable foreign laws, including the U.K. Bribery Act 2010 ("Bribery Act");</w:t>
      </w:r>
    </w:p>
    <w:p>
      <w:pPr>
        <w:spacing w:after="0" w:line="36"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6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These and other risks associated with our planned international operations may materially adversely affect our ability to attain or maintain profitable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international operations.</w:t>
      </w:r>
    </w:p>
    <w:p>
      <w:pPr>
        <w:spacing w:after="0" w:line="8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business is subject to risks associated with conducting business internationally. Accordingly, our future results could be harmed by a variety of factors, including the following:</w:t>
      </w:r>
    </w:p>
    <w:p>
      <w:pPr>
        <w:spacing w:after="0" w:line="28"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in particular in foreign economies and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potentially presenting different issues for securing, maintaining or obtaining freedom to operate in such jurisdictions;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63"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and customs, tariffs and trade barriers;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exchange rates of the euro, U.S. dollar, pound sterling and currency controls;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governments;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international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 or practice;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 and EU;</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63"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terrorism, pandemics, or natural disasters including earthquakes, typhoons, floods and fires.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of U.S. civil liabilities may not be enforceable against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incorporated under English law and have our registered office in England. Many of the members of our senior management and certain members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our board of directors are non-residents of the United States, and all or a substantial portion of our assets and the assets of such persons are held outside the United States. As a result, it may not be possible to serve process on such persons or us in the United States or to enforce judgments obtained in U.S. courts against them or us based on civil liability provisions of the U.S. federal securities laws.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United States and the U.K.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U.K. In addition, uncertainty exists as to whether the courts of England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Wales would entertain original actions brought in the U.K. against us or our directors or senior management predicated upon securities laws of the U.S. or any state in the United States. Any final and conclusive monetary judgment for a definite sum obtained against us in U.S. courts would be treated by the courts of England and Wales as a cause of action in itself and sued upon as a debt at common law so that no retrial of the issues would be necessary,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the courts of England and Wales give a judgment for the sum payable under a U.S. judgment, the English judgment will be enforceable by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methods generally available for this purpose. These methods generally permit the courts of England and Wales discretion to prescribe the manner of enforcement.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U.S. investors may not be able to enforce against us or certain of our senior management, board of directors or certain experts named herein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who are residents of the U.K. or countries other than the United States any judgments obtained in U.S. courts in civil and commercial matters, including judgments under the U.S. federal securities laws.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exchange rate between the U.S. dollar and the pound sterling may increase the risk of holding our ADSs and may materially affect our results of operations and financial condition.</w:t>
      </w:r>
    </w:p>
    <w:p>
      <w:pPr>
        <w:spacing w:after="0" w:line="145"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Our ADSs trade on Nasdaq in U.S. dollars. Due to the international scope of our operations, our assets, earnings and cash flows are influenced by movements in exchange rates of several currencies, particularly the U.S. dollar, the pound sterling and the euro. Our reporting currency is denominated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U.S. dollars and our functional currency is the pound sterling (except that the functional currency of our U.S. subsidiaries is the U.S. dollar) and the majority of our operating expenses are paid in pound sterling. We also regularly acquire services, consumables and materials in U.S. dollars, pounds sterling, AUS dollars and the euro. Further potential future revenue may be derived particularly from the United States. As a result, our business and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price of our ADSs may be affected by fluctuations in foreign exchange rates between the pound sterling and these other currencies, which may also have a significant impact on our results of operations and cash flows from period to period. Currently, we do not have any exchange rate hedging arrangements in place. See Note 3 in the notes to our annual financial statements appearing elsewhere in this Annual Report for a description of foreign exchange risks.</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addition, as a result of fluctuations in the exchange rate between the U.S. dollar and the pound sterling, the U.S. dollar equivalent of the proceeds that a holder of ADSs would receive upon the sale in the U.K. of any ordinary shares withdrawn from the depositary and the U.S. dollar equivalent of any cash dividends paid in euros on our ordinary shares represented by ADSs could also decline.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Ownership of Our ADSs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ADSs may not be sustained.</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Prior to our IPO in May 2021, there had been no public trading market for our ADSs. Although our ADSs are listed on the Nasdaq Global Market, an active trading market for our shares may not be sustained. If an active market for our ADSs is not sustained, it may be difficult for holders of our ADSs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sell ADSs without depressing the market price for the shares, or at all. Further, an inactive market may also impair our ability to raise capital by selling our ADSs and may impair our ability to enter into strategic partnerships or acquire companies or products by using our ADSs as consideration.</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principal shareholders and management own a significant percentage of our stock and exert significant influence over matters subject to shareholder approval.</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As of March 14, 2025, our executive officers, directors, and 5% shareholders beneficially owned approximately 52% of our voting stock. Depending on the level of attendance at our meetings of shareholders, these shareholders either alone or voting together as a group may be in a position to determine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significantly influence the outcome of decisions taken at any such meeting. Any shareholder or group of shareholders controlling more than 50% of the share capital present and voting at our meetings of shareholders may control any shareholder resolution requiring a simple majority, including the appointment of board members, certain decisions relating to our capital structure and the approval of certain significant corporate transactions. This may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prevent or discourage unsolicited acquisition proposals or offers for our ADSs that holders of our ADSs may feel are in their best interest as shareholders.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is volatile and holders of our ADSs could lose all or part of their investment.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trading price of our ADSs is highly volatile and subject to wide fluctuations in response to various factors, some of which are beyond our control,</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including limited trading volume. In addition to the factors discussed in this “Risk Factors” section and elsewhere in this Annual Report, these factors include:</w:t>
      </w:r>
    </w:p>
    <w:p>
      <w:pPr>
        <w:spacing w:after="0" w:line="49" w:lineRule="exact"/>
        <w:rPr>
          <w:sz w:val="20"/>
          <w:szCs w:val="20"/>
          <w:color w:val="auto"/>
        </w:rPr>
      </w:pPr>
    </w:p>
    <w:p>
      <w:pPr>
        <w:ind w:left="660" w:hanging="328"/>
        <w:spacing w:after="0" w:line="250"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clinical trials of our product candidates or any future clinical trials we may conduct, or changes in the development status of our product candidates;</w:t>
      </w:r>
    </w:p>
    <w:p>
      <w:pPr>
        <w:spacing w:after="0" w:line="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and clinical trials;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90"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or any adverse regulatory decisions, including failure to receive marketing authorization for our product candidates;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including but not limited to clinical trial requirements for approvals;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or our manufacturing plans;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licensed product or inability to do so at acceptable prices;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product candidates;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our initial cancer target markets;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treat additional types of cancers or at different stages;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76"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immunotherapy in particular, or positive or negative recommendations or withdrawal of research coverage by securities analysts;</w:t>
      </w:r>
    </w:p>
    <w:p>
      <w:pPr>
        <w:spacing w:after="0" w:line="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ADSs by us or our shareholders in the future;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ADSs;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76"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intellectual property or proprietary rights, including patents, litigation matters and our ability to obtain patent protection for our technologies;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intellectual property or shareholder litigation;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stock market in general, and the market for biopharmaceutical companies in particular, have experienced extreme price and volume</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fluctuations that have often been unrelated or disproportionate to the operating performance of these companies. Broad market and industry factors may negatively affect the market price of our ADSs, regardless of our actual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are not treated as holders of our ordinary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ADSs are not treated as holders of our ordinary shares, unless they withdraw the ordinary shares underlying their ADSs in accordance with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deposit agreement and applicable laws and regulations. The depositary is the holder of the ordinary shares underlying our ADSs. Holders of ADSs therefore do not have any rights as holders of our ordinary shares, other than the rights that they have pursuant to the deposit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will not have the same voting rights as the holders of our ordinary shares, and may not receive voting materials or any other</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documents that would need to be provided to our shareholders pursuant to English corporate law, including the Companies Act 2006, in time to be able to exercise their right to vote.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elsewhere in this Annual Report and the deposit agreement, holders of the ADSs will not be able to exercise voting rights attaching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ordinary shares represented by the ADSs. The deposit agreement provides that, upon receipt of notice of any meeting of holders of our ordinary shares, the depositary will fix a record date for the determination of ADS holders who shall be entitled to give instructions for the exercise of voting rights. Upon our request, the depositary shall distribute to the holders as of the record date (i) the notice of the meeting or solicitation of consent or proxy sent by us and</w:t>
      </w:r>
    </w:p>
    <w:p>
      <w:pPr>
        <w:spacing w:after="0" w:line="2" w:lineRule="exact"/>
        <w:rPr>
          <w:sz w:val="20"/>
          <w:szCs w:val="20"/>
          <w:color w:val="auto"/>
        </w:rPr>
      </w:pPr>
    </w:p>
    <w:p>
      <w:pPr>
        <w:ind w:right="20" w:firstLine="8"/>
        <w:spacing w:after="0" w:line="226" w:lineRule="auto"/>
        <w:tabs>
          <w:tab w:leader="none" w:pos="2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the manner in which instructions may be given by the holders. We cannot guarantee that ADS holders will receive the voting materials in time to ensure that they can instruct the depositary to vote the ordinary shares underlying their ADSs.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ADS holders will not be able to exercise their right to vote, unless they withdraw the ordinary shares underlying the ADSs they hold to vote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them in person or by proxy in accordance with applicable laws and regulations and our articles of association. However, ADS holders may not know about the meeting far enough in advance to withdraw those ordinary shares. A shareholder is only entitled to participate in, and vote at, the meeting of shareholders, provided that it holds our ordinary shares as of the record date set for such meeting and otherwise complies with our Articles. In addition, the</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depositary’s liability to ADS holders for failing to execute voting instructions or for the manner of executing voting instructions is limited by the deposit agreement. As a result, ADS holders may not be able to exercise their right to vote, and there may be nothing they can do if the ordinary shares underlying their ADSs are not voted as they requested or if their shares cannot be voted.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be subject to limitations on the transfer of their ADSs and the withdrawal of the underlying ordinary shares.</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ADSs and withdrawal of the underlying ordinary shares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comply with any laws or governmental regulations that apply to ADSs or to the withdrawal of ordinary shares or other deposited securities.</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deposit agreement governing our ADSs representing our ordinary shares provides that, to the fullest extent permitted by law, holders and beneficial owners of ADSs irrevocably waive the right to a jury trial of any claim they may have against us or the depositary arising out of or relating to our ADSs or the deposit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jury trial waiver provision is not permitted by applicable law, an action could proceed under the terms of the deposit agreement with a jury trial. If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party knowingly, intelligently and voluntarily waived the right to a jury trial. We believe that this is the case with respect to the deposit agreement and our ADSs. It is advisable that you consult legal counsel regarding the jury waiver provision before entering into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our ADSs, including claims under federal securities laws, you or such other holder or beneficial owner may not be entitled to a jury trial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favorable to the plaintiff(s) in any such action, depending on, among other things, the nature of the claims, the judge or justice hearing such claims, and the venue of the hearing.</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 condition, stipulation or provision of the deposit agreement or ADSs serves as a waiver by any holder or beneficial owner of ADSs or by us or the depositary of compliance with U.S. federal securities laws and the rules and regulations promulgated thereunder.</w:t>
      </w:r>
    </w:p>
    <w:p>
      <w:pPr>
        <w:spacing w:after="0" w:line="1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trading market for our ADSs depends in part on the research and reports that securities or industry analysts publish about us or our business. Although we have obtained research coverage from certain analysts, there can be no assurance that analysts will continue to cover us, or provide favorable coverage. If one or more of the analysts who cover us downgrades our stock or publishes inaccurate or unfavorable research about our business, our stock price may</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decline. If one or more of these analysts ceases coverage of our company or fails to publish reports on us regularly, demand for our stock could decrease, which might cause our stock price and trading volume to decline.</w:t>
      </w:r>
    </w:p>
    <w:p>
      <w:pPr>
        <w:spacing w:after="0" w:line="15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ADSs less attractive to investors.</w:t>
      </w:r>
    </w:p>
    <w:p>
      <w:pPr>
        <w:spacing w:after="0" w:line="145"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enacted in April 2012. For as long as we continue to be an emerging growth company, we may take advantage of exemptions from various reporting requirements that are applicable to other public companies that are not emerging growth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nonbinding advisory votes on executive compensation and shareholder approval of any golden parachute payments not previously approved. We could be an emerging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growth company for up to five years following the year in which we became a public company, although circumstances could cause us to lose that status earlier. We will remain an emerging growth company until the earlier of (1) the last day of the fiscal year (a) following the fifth anniversary of the date we became a public company, (b) in which we have total annual gross revenue of at least $1.235 billion or (c) in which we are deemed to be a large accelerated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filer, which requires the market value of our ADSs that are held by non-affiliates to exceed $700 million as of the prior June 30th, and (2) the date on which we have issued more than $1 billion in non-convertible debt during the prior three-year period.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private companies. We have elected to avail ourselves of this exemption and, therefore, we will not be subject to the same timing of adoption of new or revised accounting standards as other public companies that are not emerging growth companies.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which may allow us to continue to</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take advantage of many of the same exemptions from disclosure requirements, including not being required to comply with the auditor attestation requirements of Section 404 of the Sarbanes-Oxley Act and reduced disclosure obligations regarding executive compensation in this Annual Report and our periodic reports and proxy statements.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16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an English public company listed in the U.S., and our board of directors will be required to devote substantial time to new compliance initiatives and corporate governance practices.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English public company listed in the U.S., we incur significant legal, accounting and other expenses that we did not incur as a private company.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addition, the Sarbanes-Oxley Act, the Dodd-Frank Wall Street Reform and Consumer Protection Act, the listing requirements of Nasdaq, and other applicable securities rules and regulations impose various requirements on foreign reporting public companies, including the establishment and maintenance of effective disclosure and financial controls and corporate governance practices. Our board of directors, management and other personnel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need to devote a substantial amount of time to these compliance initiatives. Moreover, these rules and regulations increase our legal and financial compliance costs and make some activities more time-consuming and costly. For example, these rules and regulations may make it more difficult and more expensive for us to obtain director and officer liability insurance, which in turn could make it more difficult for us to attract and retain qualified members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board of directors. In addition, after we no longer qualify as an emerging growth company, we expect to incur additional legal, accounting and other expenses.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compliance matters and higher costs necessitated by ongoing revisions to disclosure and governance practices.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the Sarbanes-Oxley Act and the rules and regulations of The Nasdaq Global Market. Pursuant to Section 404 of the Sarbanes-Oxley Act, we are required to perform system and process evaluation and testing of our internal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control over financial reporting to allow our management to report on the effectiveness of our internal control over financial reporting. See section entitled “Controls and Procedures – Management’s Annual Report on Internal Controls Over Financial Reporting.” However, while we remain an emerging growth company, we will not be required to include an attestation report on internal control over financial reporting issued by our independent registered public</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accounting firm. We will incur substantial additional professional fees and internal costs to expand our accounting and finance functions and expend significant management efforts.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From time to time, we may enter into license or collaboration agreements with other companies that include development funding and significant upfront and milestone payments and/or royalties, which may become an important source of our revenue. Accordingly, our revenue may depend on development funding and the achievement of development and clinical milestones under current and any potential future license and collaboration agreements and, if</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approved, sales of our product candidates. These upfront and milestone payments may vary significantly from period to period and any variance could cause a significant fluctuation in our operating results from one period to the next.</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 our operating results may fluctuate due to a variety of other factors, many of which are outside of our control and may be difficult to predict, including the following:</w:t>
      </w:r>
    </w:p>
    <w:p>
      <w:pPr>
        <w:spacing w:after="0" w:line="41" w:lineRule="exact"/>
        <w:rPr>
          <w:sz w:val="20"/>
          <w:szCs w:val="20"/>
          <w:color w:val="auto"/>
        </w:rPr>
      </w:pPr>
    </w:p>
    <w:p>
      <w:pPr>
        <w:ind w:left="660" w:hanging="328"/>
        <w:spacing w:after="0" w:line="237"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current and any future product candidates, which will change from time to time;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clinical trials for our current and any other future product candidates;</w:t>
      </w:r>
    </w:p>
    <w:p>
      <w:pPr>
        <w:spacing w:after="0" w:line="76"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any future product candidates, which may vary depending on regulatory guidelines and requirements, the quantity of production and the terms of our agreements with manufacturers;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our future growth;</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environment.</w:t>
      </w:r>
    </w:p>
    <w:p>
      <w:pPr>
        <w:spacing w:after="0" w:line="7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ADSs could decline substantially. The price of our ADSs could decline even when we have met any previously publicly stated revenue and/or earnings guidance we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receive distributions on our ordinary shares represented by the ADSs or any value for them if it is illegal or impractical to make them available to holders of ADSs.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depositary for the ADSs has agreed to pay to holders of our ADSs the cash dividends or other distributions it or the custodian receives on our ordinary shares or other deposited securities after deducting its fees and expenses. Shareholders will receive these distributions in proportion to the number of our ordinary shares those ADSs represent. However, in accordance with the limitations set forth in the deposit agreement, it may be unlawful or impractical to</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make a distribution available to holders of ADSs. We have no obligation to take any other action to permit distribution on the ADSs, ordinary shares, rights or anything else to holders of the ADSs. This means that holders of our ADSs may not receive the distributions we make on our ordinary shares or any value from them if it is unlawful or impractical to make them available to holders of our ADSs. These restrictions may have an adverse effect on the value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ADSs.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ADSs, so any returns will be limited to the value of our ordinary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current English law, a company’s accumulated realized profits must exceed its accumulated realized losses (on a non-consolidated basis) before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dividends can be declared and paid. Therefore, we must have distributable profits before declaring and paying a dividend. In addition, as a public limited company incorporated in England and Wales, we will only be able to make a distribution if the amount of our net assets is not less than the aggregate of our called-up share capital and undistributable reserves and if, and to the extent that, the distribution does not reduce the amount of those assets to less than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have not paid dividends in the past on our ordinary shares. We currently anticipate that we will retain future earnings for the development, operation, and expansion of our business and do not anticipate declaring or paying any cash dividends for the foreseeable future. In addition, we may enter into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agreements that prohibit us from paying cash dividends without prior written consent from our contracting parties, or which other terms prohibiting or limiting the amount of dividends that may be declared or paid on our ADSs. Any return to shareholders and holders of our ADSs will therefore be limited to the appreciation of their stock, which may never occur.</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As an English public limited company, certain capital structure decisions require shareholder approval, which limits our flexibility to manage our capital structure.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English law provides that a board of directors may only allot shares (or grant rights to subscribe for or to convert any security into shares) with the prior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authorization of shareholders, such authorization stating the aggregate nominal amount of shares that it covers and being valid for a maximum period of five years, each as specified in our Articles or relevant ordinary resolution passed by shareholders at a general meeting. Such authority from our shareholders to allot shares (or grant rights to subscribe for or to convert any security into shares) for a period of five years from April 21, 2021 was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included in the ordinary resolution passed by our shareholders on April 21, 2021, which authorization will need to be renewed upon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but may be sought more frequently for additional five-year terms (or any shorter period).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English law also generally provides shareholders with preemptive rights when new shares are issued for cash. However, it is possible for the Articles, or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if the disapplication is contained in the Articles, but not longer than the duration of the authority to allot shares to which this disapplication relates or from the date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shareholder special resolution, if the disapplication is by shareholder special resolution. In either case, this disapplication would need to be renewed by our shareholders upon its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Such authority from our shareholders to disapply preemptive rights for a period of five years was included in the special resolution passed by our shareholders on April 21, 2021, which disapplication will need to be renewed upon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to remain effective, but may be sought more frequently for additional five- year terms (or any shorter period).</w:t>
      </w:r>
    </w:p>
    <w:p>
      <w:pPr>
        <w:spacing w:after="0" w:line="16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English law also generally prohibits a public company from repurchasing its own shares without the prior approval of shareholders by ordinary resolution, being a resolution passed by a simple majority of votes cast, and other formalities. Such approval may be for a maximum period of up to five years.</w:t>
      </w:r>
    </w:p>
    <w:p>
      <w:pPr>
        <w:spacing w:after="0" w:line="16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(the "Takeover Code"), will not apply if our place of central management and control is considered to be outside of the U.K. (or the Channel Islands or the Isle of Man).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place of central management and control is not in the United Kingdom (or the Channel Islands or the Isle of Man) for the purposes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jurisdictional criteria of the Takeover Code. Accordingly, we believe that we are not currently subject to the Takeover Code and, as a result, our shareholders are not currently entitled to the benefit of certain takeover offer protections provided under the Takeover Code, including the rules regarding mandatory takeover bids.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this changes, or if the interpretation and application of the Takeover Code by the Panel on Takeovers and Mergers, (the "Takeover Panel"),</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changes (including changes to the way in which the Takeover Panel assesses the application of the Takeover Code to English companies whose shares are listed outside of the United Kingdom), the Takeover Code may apply to us in the future.</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companies which are subject to the Takeover Code are regulated and conducted. The following is a brief summary of some of the most important rules of the Takeover Code:</w:t>
      </w:r>
    </w:p>
    <w:p>
      <w:pPr>
        <w:spacing w:after="0" w:line="149" w:lineRule="exact"/>
        <w:rPr>
          <w:sz w:val="20"/>
          <w:szCs w:val="20"/>
          <w:color w:val="auto"/>
        </w:rPr>
      </w:pPr>
    </w:p>
    <w:p>
      <w:pPr>
        <w:jc w:val="both"/>
        <w:ind w:left="660" w:right="20" w:hanging="328"/>
        <w:spacing w:after="0" w:line="231"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left="660" w:hanging="328"/>
        <w:spacing w:after="0" w:line="22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person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mandatory offer triggered in the circumstances described in the two paragraphs above must be in cash (or be accompanied by a cash alternative) and at not less than the highest price paid within the preceding 12 months to acquire any interest in shares in the company by the person required to make the offer or any person acting in concert with him or her;</w:t>
      </w:r>
    </w:p>
    <w:p>
      <w:pPr>
        <w:spacing w:after="0" w:line="156"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voluntary offer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any offer which is not a mandatory offer), when interests in shares representing 10% or more of the voting rights of a class have been acquired for cash by an offeror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bidder) and any person acting in concert with it in the offer period and the previous 12 months, the offer must be in cash or include a cash alternative for all shareholders of that class at not less than the highest price paid for any interest in shares of that class by the offeror and by any person acting in concert with it in that period. Further, if an offeror acquires for cash any interest in shares during the offer period, a cash alternative must be made available at not less than the highest price paid for any interest in the shares of that class;</w:t>
      </w:r>
    </w:p>
    <w:p>
      <w:pPr>
        <w:spacing w:after="0" w:line="159"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making an offer for a company, the offeror or any person acting in concert with them acquires an interest in shares in an offeree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target) at a price higher than the value of the offer, the offer must be increased to not less than the highest price paid for the interest in shares so acquired;</w:t>
      </w:r>
    </w:p>
    <w:p>
      <w:pPr>
        <w:spacing w:after="0" w:line="15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offeree company must appoint a competent independent adviser whose advice on the financial terms of the offer must be made known to all the shareholders, together with the opinion of the board of directors of the offeree company;</w:t>
      </w:r>
    </w:p>
    <w:p>
      <w:pPr>
        <w:spacing w:after="0" w:line="149"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or 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184"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published in connection with an offer by or on behalf of the offeror or offeree must state that the directors of the offeror or the offeree, as the case may be, accept responsibility for the information contained therein;</w:t>
      </w:r>
    </w:p>
    <w:p>
      <w:pPr>
        <w:spacing w:after="0" w:line="171"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and detailed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 and</w:t>
      </w:r>
    </w:p>
    <w:p>
      <w:pPr>
        <w:spacing w:after="0" w:line="158" w:lineRule="exact"/>
        <w:rPr>
          <w:rFonts w:ascii="Times New Roman" w:cs="Times New Roman" w:eastAsia="Times New Roman" w:hAnsi="Times New Roman"/>
          <w:sz w:val="18"/>
          <w:szCs w:val="18"/>
          <w:color w:val="auto"/>
        </w:rPr>
      </w:pPr>
    </w:p>
    <w:p>
      <w:pPr>
        <w:jc w:val="both"/>
        <w:ind w:left="660" w:right="20" w:hanging="328"/>
        <w:spacing w:after="0" w:line="23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incorporated under the laws of England and Wales. The rights of holders of ordinary shares and, therefore, certain of the rights of holders of ADSs,</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are governed by the laws of England and Wales, including the provisions of the U.K. Companies Act 2006, and by our Articles. These rights differ in certain respects from the rights of shareholders in typical U.S. corporations.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differences include the following:</w:t>
      </w:r>
    </w:p>
    <w:p>
      <w:pPr>
        <w:spacing w:after="0" w:line="198" w:lineRule="exact"/>
        <w:rPr>
          <w:sz w:val="20"/>
          <w:szCs w:val="20"/>
          <w:color w:val="auto"/>
        </w:rPr>
      </w:pPr>
    </w:p>
    <w:p>
      <w:pPr>
        <w:ind w:left="660" w:hanging="328"/>
        <w:spacing w:after="0" w:line="237"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15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49"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certain matters require the approval of 75% of the shareholders who vote (in person or by proxy) on the relevant resolution (or on a poll of shareholders representing 75% of the ordinary shares voting (in person or by proxy)), including amendments to the Articles. This may make it more difficult for us to complete corporate transactions deemed advisable by our board of directors. Under U.S. law, generally only majority shareholder approval is required to amend the certificate of incorporation or to approve certain significant transactions;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17"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U.K.,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 (including those represented by 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(including those represented by ADSs) voting for approval;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 and</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one or more qualifying persons present at a meeting and between them holding (or being the proxy or corporate representative of the holders of) at least thirty-three and one-third percent (33 1/3%) in number of the issued shares (excluding any shares held as treasury shares) entitled to attend and vote on the business to be transacted.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5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Our Articles provide that the courts of England and Wales are the exclusive forum for the resolution of all shareholder complaints other than complaints asserting a cause of action arising under the Securities Act or the Exchange Act, and that the United States District Court for the Southern</w:t>
      </w: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District of New York will be the exclusive forum for the resolution of any shareholder complaint asserting a cause of action arising under the Securities Act or the Exchange Act.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Articles provide that, unless we consent by ordinary resolution to the selection of an alternative forum, the courts of England and Wales shall, to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fullest extent permitted by law, be the exclusive forum for: (a) any derivative action or proceeding brought on our behalf; (b) any action or proceeding asserting a claim of breach of fiduciary duty owed by any of our directors, officers or other employees to us; (c) any action or proceeding asserting a claim arising out of any provision of the U.K. Companies Act 2006 or our Articles (as may be amended from time to time); or (d) any action or proceeding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asserting a claim or otherwise related to our affairs (the “England and Wales Forum Provision”). The England and Wales Forum Provision will not apply to any causes of action arising under the Securities Act or the Exchange Act. Our Articles further provide that unless we consent by ordinary resolution to the selection of an alternative forum, the United States District Court for the Southern District of New York shall be the exclusive forum for resolving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complaint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asserting a cause of action arising under the Securities Act or the Exchange Act (the “U.S. Federal Forum Provision”). In addition, our Articles provide that any person or entity purchasing or otherwise acquiring any interest in our shares is deemed to have notice of and consented to the England and Wales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Forum Provision and the U.S. Federal Forum Provision; provided, however, that our shareholders cannot and will not be deemed to have waived our compliance with the U.S. federal securities laws and the rules and regulations thereunder.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England and Wales Forum Provision and the U.S. Federal Forum Provision in our Articles may impose additional litigation costs on our shareholders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pursuing any such claims. Additionally, the forum selection clauses in our Articles may limit the ability of our shareholders to bring a claim in a judicial forum that they find favorable for disputes with us or our directors, officers or employees, which may discourage the filing of lawsuits against us and our directors, officers and employees, even though an action, if successful, might benefit our shareholders. In addition, while the Delaware Supreme Court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ruled in March 2020 that federal forum selection provisions purporting to require claims under the Securities Act be brought in federal court are “facially valid” under Delaware law, there is uncertainty as to whether other courts, including the courts of England and Wales and other courts within the U.S., will enforce our U.S. Federal Forum Provision. If the U.S. Federal Forum Provision is found to be inapplicable or unenforceable in an action, we may incur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additional costs associated with resolving such action in other jurisdictions, which could adversely affect our results of operations and financial condition. The U.S. Federal Forum Provision may also impose additional litigation costs on our shareholders who assert that the provision is not enforceable or invalid. The courts of England and Wales and the United States District Court for the Southern District of New York may also reach different judgments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results than would other courts, including courts where a shareholder considering an action may be located or would otherwise choose to bring the action, and such judgments may be more or less favorable to us than our shareholders.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tax law could adversely affect our financial condition and results of operations.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ordinary shares or ADSs. In recent years, many such changes have been made and changes are likely to continue to occur in the future.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ordinary shares or ADSs.</w:t>
      </w:r>
    </w:p>
    <w:p>
      <w:pPr>
        <w:spacing w:after="0" w:line="16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believe we were a passive foreign investment company ("PFIC"), for prior taxable years and we may be a PFIC in future taxable years, which could result in adverse U.S. federal income tax consequences to U.S. 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Internal Revenue Code (the "Code"), we will be a passive foreign investment company, or PFIC, for any taxable year in which (i) 75% or more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our gross income consists of passive income or (ii) 50% or more of the average quarterly value of our assets consists of assets that produce, or are held for the production of, passive income. For the purposes of these tests, passive income includes dividends, interest, gains from the sale or exchange of investment property and certain rents and royalties. In addition, for purposes of the above calculations, a non-U.S. corporation that directly or indirectly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owns at least 25% by value of the shares of another corporation is treated as holding and receiving directly its proportionate share of assets and income of such corporation. If we are a PFIC for any taxable year during which a U.S. Holder holds our ordinary shares or ADSs, the U.S. Holder may be subject to adverse tax consequences regardless of whether we continue to qualify as a PFIC, including ineligibility for any preferred tax rates on capital gains or on</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actual or deemed dividends, interest charges on certain taxes treated as deferred and additional reporting requirements. A “U.S. Holder” is a holder who, for U.S. federal income tax purposes, is a beneficial owner of ordinary shares or ADSs and is: (i) an individual who is a citizen or individual resident of the United States; (ii) a corporation, or other entity taxable as a corporation for U.S. federal income tax purposes, created or organized in or under the laws of the United States, any state therein or the District of Columbia; (iii) an estate the income of which is subject to U.S. federal income taxation regardless of</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its source; or (iv) 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Based on the current and expected composition of our income and the value of our assets, we were a PFIC for the year ended December 31, 2024 and expect to remain a PFIC for our current taxable year. No assurances regarding our PFIC status can be provided for the current taxable year or any future taxable years. The determination of whether we are a PFIC is a fact-intensive determination made on an annual basis applying principles and</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methodologies that in some circumstances are unclear and subject to varying interpretation. Under the income test, our status as a PFIC depends on the composition of our income which will depend on the transactions we enter into in the future and our corporate structure. The composition of our income and assets is also affected by the spending of the cash we raise in any offering.</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Each U.S. Holder should consult its own tax advisors with respect to the potential adverse U.S. tax consequences to it if we are or were to become a PFIC. If we are a PFIC for any taxable year during which a U.S. investor owns ADSs, certain adverse U.S. federal income tax consequences could apply to such U.S. investor. We will provide the information necessary for a U.S. investor to make a qualified electing fund election with respect to us.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a controlled foreign corporation, there could be adverse U.S. federal income tax consequences to certain U.S. 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“Ten Percent Shareholder” (as defined below) in a non-U.S. corporation that is classified as a “controlled foreign corporation,” or a CFC, for U.S.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federal income tax purposes generally is required to include in income for U.S. federal tax purposes such Ten Percent Shareholder’s pro rata share of the CFC’s “Subpart F income,” “global intangible low-taxed income” and investment of earnings in U.S. property, even if the CFC has made no distributions to its shareholders. In addition, if a non-U.S. corporation owns at least one U.S. subsidiary, under current law, any current non-U.S. subsidiaries and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future newly formed or acquired non-U.S. subsidiaries of the non-U.S. corporation will be treated as CFCs, regardless of whether the non-U.S. corporation is treated as a CFC. Subpart F income generally includes dividends, interest, rents, royalties, gains from the sale of securities and income from certain transactions with related parties. In addition, a Ten Percent Shareholder that realizes gain from the sale or exchange of shares in a CFC may be required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classify a portion of such gain as dividend income rather than capital gain. 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defined by the Code) who owns or is considered to own 10% or more of the value or total combined voting power of all classes of stock entitled to vote of such corporation.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we were a CFC in 2024, and we do not expect to be a CFC in 2025. The determination of CFC status is complex and includes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attribution rules, the application of which is not entirely certain. An individual that is a Ten Percent Shareholder with respect to a CFC generally would not be allowed certain tax deductions or foreign tax credits that would be allowed to a Ten Percent Shareholder that is a U.S. corporation. Failure to comply with CFC reporting obligations may subject a United States shareholder to significant monetary penalties. We cannot provide any assurances that we will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furnish to any Ten Percent Shareholder information that may be necessary to comply with the reporting and tax paying obligations applicable under the CFC rules of the Code. U.S. Holders should consult their own tax advisors with respect to the potential adverse U.S. tax consequences of becoming a Ten Percent Shareholder in a CFC.</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implementation could cause us to fail to meet our reporting obligations.</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addition, testing required to be conducted by us in connection with Section 404 of the Sarbanes-Oxley Act, and any subsequent testing by our independent registered public accounting firm, may reveal deficiencies in our internal controls over financial reporting that are deemed to be material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weaknesses or that may require prospective or retroactive changes to our financial statements or identify other areas for further attention or improvement. Deficient internal controls could also cause investors to lose confidence in our reported financial information, which could have a negative effect on the trading price of our ADSs.</w:t>
      </w:r>
    </w:p>
    <w:p>
      <w:pPr>
        <w:spacing w:after="0" w:line="16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 trading price of our ADSs.</w:t>
      </w:r>
    </w:p>
    <w:p>
      <w:pPr>
        <w:spacing w:after="0" w:line="17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including changes relating to our application of the requirements of Section 404 of the Sarbanes-Oxley Act,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investors’ perceptions that our internal controls are inadequate or that we are unable to produce accurate financial statements on a timely basis may harm our stock price and make it more difficult for us to continue to discover and develop novel immunotherapeutics and vaccines for the treatment and prevention of infectious diseases, immunetolerance and cancer.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to be sued, it could result in substantial costs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could increase the regulatory burden of product development and authorization in the United Kingdom and European Union.</w:t>
      </w:r>
    </w:p>
    <w:p>
      <w:pPr>
        <w:spacing w:after="0" w:line="17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United Kingdom formally left the European Union on 31 January 2020 (commonly referred to as Brexit). The European Union and the United Kingdom have concluded a trade and cooperation agreement (“TCA”) which has been formally applicable since May 1, 2021. The TCA includes specific provisions concerning pharmaceuticals, which include the mutual recognition of GMP, inspections of manufacturing facilities for medicinal products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GMP documents issued, but does not provide for wholesale mutual recognition of the United Kingdom and European Union pharmaceutical regulations. As a result, a separate application must be made to conduct a clinical trial in the United Kingdom as well as the European Union and a separate U.K. marketing authorization is required to commercialize a medicinal product in the United Kingdom as well as the European Union. Obtaining such regulatory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approvals is a lengthy and expensive process and this therefore adds time and expense to the conduct of our business in both the United Kingdom and European Union. In addition, the United Kingdom is seeking to reform aspects of the medicines legislation following its departure from the European Union. For example, on December 12, 2024, the U.K. government introduced a legislative proposal that, if implemented, will replace the current regulatory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framework for clinical trials in the United Kingdom. If we are slow or unable to adapt to changes in existing requirements or the adoption of new requirements or policies governing clinical trials and the development of medicinal products in the United Kingdom and/or European Union, our development plans may be impacted. If we fail to comply with the regulatory requirements, our target market will be reduced and our ability to realize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full market potential of our product candidates will be harmed and our business, financial condition, results of operations and prospects will be adversely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w:t>
      </w:r>
      <w:r>
        <w:rPr>
          <w:rFonts w:ascii="Times New Roman" w:cs="Times New Roman" w:eastAsia="Times New Roman" w:hAnsi="Times New Roman"/>
          <w:sz w:val="18"/>
          <w:szCs w:val="18"/>
          <w:color w:val="auto"/>
        </w:rPr>
        <w:t>y</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normal course of business, we may collect and store personal information and other sensitive information, including proprietary and confidential business information, financial information, trade secrets, intellectual property, information regarding trial participants in connection with clinical trials, sensitive third-party information and employee information. In an effort to protect this information from cybersecurity risks, we have developed a cybersecurity program which incorporates policies and practices designed to protect the confidentiality, integrity and security of our sensitive information.</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part of our cybersecurity risk management procedures, we perform system monitoring and scanning and utilize security tools supported by a third-party managed services provider. We also conduct penetration testing performed by a third-party provider. Employees are enrolled in cybersecurity awareness training courses designed to help them identify cybersecurity concerns and take appropriate actions, and we conduct periodic simulated phishing tests in an effort to further raise cybersecurity awareness and reduce the risk of a successful cyberattack. We have an incident response plan to guide us in responding to cybersecurity incidents, and have conducted tabletop exercises to test the plan. We also take steps to protect against business interruption and conduct annual restoration testing for major systems. In addition, we use a risk-based approach to assessing cybersecurity risks from certain critical third-party vendors. This program aims to assess the cybersecurity maturity of vendors who have access to our data or systems through an evaluation of the vendor’s cybersecurity practices.</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cybersecurity program is managed by our IT Director, who reports directly to senior management on matters regarding cybersecurity, as appropriate. Our IT Director has over twenty years of experience in IT, including cybersecurity, and previously served as the IT Director at another biopharmaceutical company. Together, our senior management and IT Director are responsible for leading company-wide cybersecurity strategy, policies, standards, and processes.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Audit Committee, pursuant to its charter, has oversight over management of cybersecurity risks. Senior management and our IT Director provide the Audit Committee with periodic updates on data management and cybersecurity initiatives, as well as on significant existing and emerging cybersecurity risks, including cybersecurity incidents, as applicable.</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 process to record identified risks from cybersecurity threats in our risk register, along with an assessment of the severity of the potential impact and the likelihood of occurrence. This process is designed to facilitate a unified and integrated assessment of corporate risk and governance. The risk register is reviewed periodically by senior management and at least annually by the Board of Directors. Our cybersecurity program is also periodically evaluated by external security consultants, with the results of those reviews reported to senior management and the Audit Committee,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may experience threats and security incidents that could affect our information or systems. For more information about the cybersecurity risks we face, please see Section 1A. Risk Factors.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lease and occupy approximately 19,700 square feet of state-of-the-art wet laboratory and office space in Germantown, Maryland, United States. We also lease and occupy approximately 31,000 square feet of office and laboratory space on the Harwell Science and Innovation Campus, Harwell, Oxfordshire, United Kingdom.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penalties to report in accordance with The Revenue Procedure 2005-51 and Section 6707A(e) of the Internal Revenue Code, which requires the Company to disclose any IRS demand for payment of certain penalties related to tax-avoidance transactions under I.R.C. Sections 6662(h), 6662A, or 6707A.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nominal value £0.000025 per share, in the form of ADSs trade under the symbol “BRNS” on the Nasdaq Global Market.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ADSs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ADSs each represen one ordinary share, nominal value £0.000025 per share, of Barinthus Biotherapeutics plc. An ADS may be evidenced by an American Depositary Receipt issued by the Bank of New York Mellon as depositary bank. As of March 14, 2025, there was one holder of record of our ordinary shares, nominal value £0.000025 per share, and 62 holders of record of our ADSs. The closing sale price per ADS on the Nasdaq Global Market on March 14, 2025 was $1.06.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never paid or declared any cash dividends on shares of our ordinary shares, ADSs or other securities and do not anticipate paying or declaring any cash dividends in the foreseeable future. We currently intend to retain all future earnings, if any, for use in the operation of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U.K. Tax Considerations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discussion is limited to an overview of the tax consequences of ownership and disposition of ordinary shares, or such shares represented by ADSs (those ordinary shares or ADSs deriving over 75% of their value otherwise than from United Kingdom land). Each shareholder should however seek individual tax advice as specific rules may apply in certain circumstances. The United Kingdom tax consequences discussed below do not reflect a complete analysis or listing of all the possible United Kingdom tax consequences that may be relevant to holders of our ordinary shares or ADSs.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Chargeable Gains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disposal or deemed disposal of ordinary shares or ADSs by a holder resident in the United Kingdom for tax purposes or subject to U.K. taxation (a “U.K. Holder”) may, depending on such holder’s circumstances and subject to any available exemptions or reliefs (such as the annual exemption), give rise to a chargeable gain or an allowable loss for the purposes of U.K. capital gains tax (for individuals) and corporation tax on chargeable gains (for corporation tax payers).</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If an individual U.K. Holder who is subject to U.K. income tax at either the higher or the additional rate is liable to U.K. capital gains tax on the disposal of ordinary shares or ADSs, the current applicable rate will be 20% (for the tax years 2023/2024 and 2024/2025). For an individual U.K. Holder who is subject to U.K. income tax at the basic rate and liable to U.K. capital gains tax on such disposal, the current applicable rate would be 10% (for the tax years 2023/2024 and 2024/2025), save to the extent that any capital gains when aggregated with the U.K. Holder’s other taxable income and gains in the relevant tax year exceed the unused basic rate tax band. In that case, the capital gains tax rate currently applicable to the excess would be 20% (for the tax years 2023/2024 and 2024/2025).</w:t>
      </w:r>
    </w:p>
    <w:p>
      <w:pPr>
        <w:spacing w:after="0" w:line="2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a corporate U.K. Holder is or becomes liable to U.K. corporation tax on the disposal (or deemed disposal) of ordinary shares or ADSs, the main rate of U.K. corporation tax would apply (currently at 25% for companies with profits of more than £250,000 or 19% for companies with profits not exceeding £50,000 with a marginal relief applying to profits between £50,000 and £250,000, in each case, for the 2023/2024 and 2024/2025 tax years).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chargeable gain (or allowable loss) will generally be calculated by reference to the consideration received for the disposal of the ADSs less the allowable cost to the U.K. Holder of acquiring such ADSs.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you are not resident in the U.K. for U.K. tax purposes (or, in the case of an individual, not temporarily non-resident), you should not normally be liable for U.K. tax on capital gains realized or accrued on the sale or other disposition of ordinary shares or ADSs unless the ordinary shares or ADSs are held in connection with your trade carried on in the U.K. through a branch or agency (or, in the case of a corporate holder, a permanent establishment) and the ordinary shares or ADSs are or have been used, held or acquired for the purposes of such trade or such branch or agency.</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individual holder of ordinary shares or ADSs who ceases to be resident in the U.K. for U.K. tax purposes for a period of less than five years and who disposes of ordinary shares or ADSs during that period may also be liable on returning to the U.K. (or upon ceasing to be regarded as resident outside the U.K. for the purposes of any relevant double taxation treaty) for U.K. capital gains tax despite the fact that the individual may not be resident in the U.K. at the time of the disposal.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Stamp duty and/or stamp duty reserve tax (“SDRT”) are imposed in the United Kingdom on certain transfers of securities (including shares in companies which, like us, are incorporated in the United Kingdom) at a rate of 0.5% of the consideration paid for the transfer. Certain transfers of shares to depositaries or into clearance systems are charged a higher rate of 1.5%. Transfers of interests in shares within a depositary or clearance system, and from a depositary to a clearance system, are generally exempt from stamp duty and SDRT.</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Under current U.K. tax law, no U.K. SDRT (or, where effected by a written instrument, U.K. stamp duty) should generally be payable in respect of an issue or transfer of ordinary shares, including an unconditional agreement to transfer ordinary shares to a clearance service or a depositary receipt system (including to a nominee or agent for a person whose business is or includes the issue of depositary receipts or the provision of clearance services) where the transfer is carried out for the purpose of raising new capital, unless the clearance service has made and maintained an election under section 97A of the U.K. Finance Act 1986, or a section 97A election. It is understood that HMRC regards the facilities of DTC as a clearance service for these purposes and we are not aware of any section 97A election having been made by DTC. Any stamp duty or SDRT payable on a transfer of ordinary shares to a depositary receipt system or clearance service or in respect of a transfer within a depositary receipt system or clearance service, will strictly be accountable by the clearance service or depositary receipt system operator or their nominee, as the case may be, but will in practice generally be paid by the transferors or participants in the clearance service or depositary receipt system. Specific professional advice should be sought before incurring or reimbursing the costs of a U.K. stamp duty or U.K. SDRT charge in any circumstances.</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Any transfer of, or unconditional agreement to transfer, our ordinary shares that occurs outside the DTC system, including repurchases by us, will ordinarily attract stamp duty or SDRT at a rate of 0.5% of the amount or value of the consideration payable for the transfer (and in the case of stamp duty, rounded up to the next multiple of £5), unless the transfer is to a connected company and in which case a market value may apply. This duty must be paid (and where applicable the transfer document stamped by HMRC) before the transfer can be registered in our books. Typically stamp duty would be paid by the purchaser of the ordinary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transfer of, or unconditional agreement to transfer, our ordinary shares that occurs outside the DTC system, including repurchases by us, will</w:t>
      </w:r>
    </w:p>
    <w:p>
      <w:pPr>
        <w:spacing w:after="0" w:line="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ordinarily attract stamp duty or SDRT at a rate of 0.5% of the amount or value of the consideration payable for the transfer (and in the case of stamp duty, rounded up to the next multiple of £5), unless the transfer is to a connected company and in which case a market value may apply. This duty must be paid (and where applicable the transfer document stamped by HMRC) before the transfer can be registered in our books. Typically stamp duty would be paid by the purchaser of the ordinary shares.</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transfer of title in our ordinary shares from within the DTC system out of the DTC system will not attract stamp duty or SDRT if undertaken for no consideration. If those ordinary shares are redeposited into DTC (which may only be done via a deposit of the ordinary shares first with an appropriate offshore depositary followed by a transfer of the ordinary shares from the offshore depositary into DTC), however, the redeposit will attract stamp duty or SDRT at a rate of 1.5%.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U.K. stamp duty or SDRT should be payable on the issue of ADSs in the Company.</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U.K. stamp duty or SDRT should be required to be paid in respect of a paperless transfer of ADSs through the facilities of DTC, provided that no section 97A election has been made and maintained by DTC, and such ADSs are held through DTC at the time of any agreement for their transfer. We are not aware of any section 97A election having been made by the DTC.</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basis of current published HMRC guidance, an ADR is not regarded as stock or a marketable security for the purposes of U.K. stamp duty or a chargeable security for the purposes of U.K. SDRT and, as such, no U.K. stamp duty or SDRT should be required to be paid on the issue or transfer of (including an agreement to transfer) ADSs in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U.K. law, there is no withholding tax on dividends paid on the ordinary shares or ADSs.</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individual U.K. Holder may, depending on his or her particular circumstances, be subject to U.K. tax on dividends received from us. An individual holder of ADSs who is not resident for tax purposes in the U.K. should not be chargeable to U.K. income tax on dividends received from us unless he or she carries on (whether solely or in partnership) a trade, profession or vocation in the U.K. through a branch or agency to which the ADSs are attributable. There are certain exceptions for trading in the U.K. through independent agents, such as some brokers and investment managers.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Dividend income is treated as the top slice of the total income chargeable to U.K. income tax for an individual U.K. Holder. An individual U.K. Holder who receives a dividend in the 2023/2024 tax year will be entitled to a dividend tax-free allowance of £1,000. However, the U.K. government has legislated to reduce the dividend tax-free allowance to £500 with effect from April 2024 (i.e. for the 2024/2025 tax year). Income within the dividend tax-free allowance counts towards an individual’s basic, higher or additional rate limits and may, therefore, affect the level of income tax personal allowance to which they are entitled. Dividend income received in excess of the dividend tax-free allowance will (subject to the availability of any income tax personal allowance) be charged at 8.75% to the extent the excess amount falls within the basic rate band, 33.75% to the extent the excess amount falls within the higher rate band and 39.35% to the extent the excess amount falls within the additional rate band.</w:t>
      </w:r>
    </w:p>
    <w:p>
      <w:pPr>
        <w:spacing w:after="0" w:line="2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corporate holder of ADSs who is not resident for tax purposes in the U.K. should not be chargeable to U.K. corporation tax on dividends received from us unless it carries on (whether solely or in partnership) a trade in the U.K. through a permanent establishment to which the ADSs are attributable.</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Corporate U.K. Holders should not be subject to U.K. corporation tax on any dividend received from us so long as the dividends qualify for exemption, which should be the case, although certain conditions must be met. It should be noted that the exemptions, whilst of wide application, are not comprehensive and are subject to anti-avoidance rules. If the conditions for the exemption are not satisfied, such anti-avoidance provisions apply, or such U.K. Holder elects for an otherwise exempt dividend to be taxable, U.K. corporation tax will be chargeable on the amount of any dividends (at the current rate of 25% for companies with profits of more than £250,000 or 19% for companies with profits not exceeding £50,000, with a marginal relief applying to profits between £50,000 and £250,000, in each case for the 2023/2024 and 2024/2025 tax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4, 2021, we completed our initial public offering (“IPO”) of 6,500,000 ADSs at a price of $17.00 per ADS for an aggregate offering price of approximately $110.5 million. Morgan Stanley &amp; Co., Jefferies LLC, Barclays Capital Inc., William Blair &amp; Company, L.L.C. and H.C. Wainwright &amp; Co., LLC served as the underwriters of the IPO. The offer and sale of all of the ADSs in the offering were registered under the Securities Act pursuant to a registration statement on Form S-1 (File No. 333-255158), which became effective on April 29, 2021.</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received aggregate net proceeds from the offering of approximately $102.8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planned use of the net proceeds from the IPO as described in the final prospectus filed with the SEC pursuant to Rule 424(b) under the Securities Act has changed due to the prioritization of our pipeline in connection with our restructuring plan. As a result, we currently expect to use our cash, cash equivalents and restricted cash, which include the net proceeds from the IPO, to advance our immune tolerance research and development programs and for general corporate purposes.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 by the Issuer and Affiliated Purchases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appearing elsewhere in this Annual Report. Some of the information contained in this discussion and analysis or set forth elsewhere in this report, including information with respect to our plans and strategy for our business, includes forward-looking statements that involve risks, uncertainties and assumptions.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 You should carefully read the “Special Note Regarding Forward Looking Statements” and “Risk Factors” sections of this Annual Report to gain an understanding of the important factors that could cause actual results to differ materially from our forward-looking statements contained in the following discussion and analysis.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novel immunotherapeutic drug candidates for treating auto-immune and inflammatory diseases within the immunology and inflammation ("I&amp;I") space. Helping patients and their families is the guiding principle at the heart of Barinthus Bio. We aim to achieve this by developing truly transformational and highly disease-specific immunotherapies.</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prioritizing the development of a pipeline for I&amp;I indications enabled by our proprietary and highly differentiated platform for promoting immune tolerance, referred to as SNAP-TI, that are designed to guide patient's T cells to reduce inflammation and restore the natural state of immune non-responsiveness to healthy tissue. Our lead candidate, VTP-1000, is designed to restore immune non-responsiveness to gluten in patients with celiac disease, and is currently being assessed in a Phase 1 clinical trial. Based on encouraging preclinical data, we believe that the SNAP-TI platform has the potential to impact multiple other I&amp;I indications.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also evaluating two product candidates to treat infectious diseases and cancer that harness our proprietary viral vector platform technologies, consisting of ChAdOx and MVA; these technologies are designed to increase disease-specific CD8+ T cells. These include: VTP-300, a Phase 2 immunotherapeutic treatment modality that is a component of a treatment regimen to establish functional cure in patients who are chronically infected by the hepatitis B virus, and VTP-850, a second-generation immunotherapeutic candidate for the prevention of recurrence of prostate cancer. VTP-850 is being tested in patients in a Phase 1 clinical trial in prostate cancer after surgical resection. We intend to progress the development of these product candidates by completing the ongoing clinical trials, and seek a partner or collaborator for continuing development.</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Alongside these proprietary programs, we have partnerships in place to advance additional prophylactic and therapeutic product candidates utilizing our viral vector platforms, including VTP-500 for Middle East Respiratory Syndrome, or MERS, VTP-400 for Herpes Zoster infections, and VTP-600 with potential for multiple cancer indications, including Non-Small Cell Lung Cancer ("NSCLC"), and Squamous Esophageal Cancer. We also co-invented a COVID-19 vaccine with the University of Oxford, which was exclusively licensed worldwide to AstraZeneca U.K. Limited ("AstraZeneca").</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core capabilities at the intersection of T cell immunology and immunotherapeutic technology platforms combined with our track record of successfully executing development path activities uniquely position us to navigate towards delivering promising new treatments for patients with auto-immune and inflammatory diseases and building value for shareholders.</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August 9, 2022, we filed a Registration Statement on Form S-3, as amended, or the Shelf, with the Securities and Exchange Commission in relation to the registration and potential future issuance of ordinary shares, including ordinary shares represented by American Depositary Shares, or ADSs, debt securities, warrants and/or units of any combination thereof in the aggregate amount of up to $200.0 million. The Shelf was declared effective on August 17, 2022. We also simultaneously entered into a sales agreement with Jefferies LLC, as sales agent, providing for the offering, issuance and sale by us of up to an aggregate of $75.0 million of our ordinary shares represented by ADSs from time to time in “at-the-market” offerings under the Shelf. As of December 31, 2024, we sold 2,558,586 ordinary shares represented by ADSs under the sales agreement, amounting to net proceeds of $5.1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incurred net losses each year since inception through to December 31, 2021. For the year ended December 31, 2022, we generated net income of $5.3 million, primarily as a result of revenues arising from AstraZeneca sales of Vaxzevria and our agreement with OUI. For the years ending December 31, 2024 and 2023, we incurred net losses of $61.2 million and $73.4 million, respectively. As of December 31, 2024 and 2023, we had an accumulated deficit of $237.7 million and $176.6 million, respectively, and we do not currently expect profits or positive cash flows from operations in the foreseeable future. We expect to incur net operating losses for at least the next several years as we advance our product candidates through clinical development, seek regulatory approval, prepare for approval, and in some cases proceed to commercialization of our product candidates, as well as continue our research and development efforts and invest to establish a commercial manufacturing facility, as and when appropriate.</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all of the efforts that will be necessary to complete the development of any of our product candidates that we develop through our programs. We are also unable to predict when, if ever, material net cash inflows will commence from sales of product candidates we develop, if at all. This is due to the numerous risks and uncertainties associated with developing product candidates to approval and commercialization, including the uncertainty of:</w:t>
      </w:r>
    </w:p>
    <w:p>
      <w:pPr>
        <w:spacing w:after="0" w:line="137"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investigational new drug applications, or INDs, for our planned clinical trials or future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enrollment and completion of clinical trials;</w:t>
      </w:r>
    </w:p>
    <w:p>
      <w:pPr>
        <w:spacing w:after="0" w:line="15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our clinical program supporting approvable and commercially acceptable risk/benefit profiles for our product candidates in the intended populations;</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necessary regulatory and marketing approvals from applicable regulatory authorities, in the light of the commercial environment then existent;</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successful procurement of raw materials required to manufacture our products for clinical trials, scale-up of our manufacturing processes and formulation of our product candidates for later stages of development and commercial production;</w:t>
      </w:r>
    </w:p>
    <w:p>
      <w:pPr>
        <w:spacing w:after="0" w:line="9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either our own manufacturing capabilities or satisfactory agreements with third-party manufacturers for clinical supply for later stages of development and commercial manufacturing;</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where appropriate to further the development of our product candidates;</w:t>
      </w:r>
    </w:p>
    <w:p>
      <w:pPr>
        <w:spacing w:after="0" w:line="15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and trade secret protection or regulatory exclusivity for our product candidates as well as qualifying for, maintaining, enforcing and defending such intellectual property rights and claims;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or assisting with the launch of commercial sales of our product candidates following approval;</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each product’s benefits and uses by patients, the medical community and third-party payors following approval;</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events experienced with our product candidates in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 continued acceptable safety profile of the product candidates following approval;</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 if necessary or desirable;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2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 Unless and until we can generate a substantial amount of revenue from our product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candidates, if approved, we expect to finance our future cash needs through public or private equity offerings, debt financings, collaborations, licensing arrangements or other sources, or any combination of the foregoing. Based on our research and development plans, we expect that our existing cash, cash equivalents and restricted cash and other financial resources, will enable us to fund our operating expenses and capital expenditure requirements to the start of 2027. These estimates are based on assumptions that may prove to be wrong, and we could use our available capital resources more quickly than we expect.</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would be required to delay, limit, reduce or terminate our product development or future commercialization efforts or grant rights to develop and market product candidates that we would otherwise prefer to develop and market ourselves.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January 10, 2025, we announced that we will prioritize I&amp;I indications, including antigen-specific immune tolerance. As a result, we have extended the cash runway to the start of 2027 by reducing forecasted costs, including a reduction in headcount by approximately 65% across both the U.K. and U.S. sites, and streamlining the operating costs of the business. We estimate that the pre-tax costs of such reduction in workforce relating to employee severance and other employee-related costs may be approximately $2.5 million with the majority of such costs being incurred in the first half of 2025. The estimates of the restructuring costs that we expect to incur and potential operating expense reductions, and the timing thereof, are subject to a number of assumptions and actual results may differ. As part of the restructuring, two of the executive leadership team members based in the U.K., the Chief Operating Officer, Graham Griffiths, and Chief Financial Officer, Gemma Brown, will leave the Company. Further plans for the re-organized team will be communicated in due course. We will not invest in VTP-300 in chronic hepatitis B beyond the completion of the ongoing Phase 2b HBV003 clinical trial and will seek potential partners able to take advantage of its differentiated ability to achieve sustained HBsAg loss and functional cure in patients with low levels of HBsAg.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Israel and Gaza Conflict, Ukraine Crisis and Iran Conflict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respect of the international conflict in Israel and Gaza, situation in Ukraine and Iran conflict, we have no operations or suppliers based in Israel or Gaza, or in Ukraine, Belarus, Russia or Iran, and as a result, as of the date of this Annual Report on Form 10-K, we believe the impact on our business, operations and financial condition will be minimal.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Economic Conditions and Inflationary Pressures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Instability in global economic conditions and geopolitical matters, as well as volatility in financial markets, could have a material adverse effect on our results of operations and financial condition. Inflationary pressures, volatile interest rates, or intensified disruptions in the global financial markets could adversely affect our future financing capability or ability to access the capital markets. Additionally, we may incur future increases in operating costs due to additional inflationary increases.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Operating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 from direct product sales and do not expect to do so in the near future, if at all. Most of our revenue to date has been derived from the OUI License Agreement Amendment with OUI relating to Vaxzevria.</w:t>
      </w:r>
    </w:p>
    <w:p>
      <w:pPr>
        <w:spacing w:after="0" w:line="13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April 2020, we entered into the OUI License Agreement Amendment with OUI in respect of our rights to use the ChAdOx1 technology in COVID-19 vaccines to facilitate the license of those rights by OUI to AstraZeneca. Under this agreement, we are entitled to receive from OUI a share of payments, including royalties and milestones, received by OUI from AstraZeneca in respect of this vaccine. In March, 2022, we were notified by OUI of the commencement of payments to us arising from AstraZeneca’s commercial sales of Vaxzevria. In May 2024, AstraZeneca announced the initiation of withdrawal of marketing authorization for Vaxzevria in Europe as demand had declined. In October 2024, we were informed of additional amounts due to the Company from Oxford University Innovation Limited (OUI) in relation to the Company's share of royalties received by OUI as a result of prior commercial sales of Vaxzevria by AstraZeneca. As a result, our revenue for the year ending December 31, 2024 was $15.0 million (year ended December 31, 2023 $0.8 million), representing the amounts we have been notified of as due by OUI to date. We do not expect to receive any further payments relating to future commercial sales of Vaxzevria and, if such payments are due, that we will be notified of such payments in a timely manner.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since inception have consisted of research and development costs and general and administrative costs.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Since our inception, we have focused significant resources on our research and development activities, including establishing and building on our adenovirus platform, further enhancing our in-licensed ChAdOx1, ChAdOx2 and MVA vectors, acquiring new technology platforms including SNAP-TI and SNAP-CI, conducting preclinical studies, developing various manufacturing processes, initiating the clinical trials for VTP-1000, VTP-200, VTP-300, VTP-600, VTP-850 and readying VTP-500 for clinical trials. Research and development activities account for a large portion of our operating expenses, and we expect research and development expenses for our ongoing clinical programs to increase in the future. Research and development costs are expensed as incurred. These costs include:</w:t>
      </w:r>
    </w:p>
    <w:p>
      <w:pPr>
        <w:spacing w:after="0" w:line="79"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share-based compensation, for personnel engaged in research and development functions;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development of our programs including preclinical studies and clinical trials of our product candidates, under agreements with third parties, such as consultants, contractors, academic institutions and contract research organizations, or CROs;</w:t>
      </w:r>
    </w:p>
    <w:p>
      <w:pPr>
        <w:spacing w:after="0" w:line="5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drug products for use in preclinical development and clinical trials, including agreements with third parties, such as contract manufacturing organizations, consultants and contractors;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costs;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facility costs, equipment depreciation and other expenses, which include direct and allocated expenses.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general and administrative expenses consist of personnel-related expenses, including share-based compensation, in our executive, finance, business development and other administrative functions. Other general and administrative expenses include consulting fees and professional service fees for auditing, tax and legal services, rent expenses related to our offices, depreciation, impairment of long-lived assets, foreign exchange gains and losses on our cash balances, other central non-research costs and changes in the fair value of contingent consideration. When determining the fair value of contingent consideration, significant judgment is used to determine the probability of success of achievement of the technology and clinical milestones and the date of the expected milestone. We expect our general and administrative expenses to continue to increase in the future as we expand our operating activities and potentially prepare for manufacturing and/or commercialization of our current and future product candidates. These costs will increase if our headcount rises to allow full support for our operations, including increased expenses related to legal, accounting, regulatory and tax-related services associated with maintaining compliance with requirements of the Nasdaq Global Market and the Securities and Exchange Commission, directors’ and officers’ liability insurance premiums and investor relations activities.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94"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Other operating income includes grant income from CEPI Funding Agreement pursuant to which CEPI will provide funding to us to advance the development of VTP-500, our vaccine candidate against MERS. When there is reasonable assurance that we will comply with the conditions attached to a received grant, and when there is reasonable assurance that the grant will be received, grant income is recognized as other operating income on a gross basis in the consolidated statements of operations and comprehensive loss on a systematic basis over the periods in which we recognize expenses for the related costs for which the grants are intended to compensate. Payments received in advance of incurring reimbursable expenses are recorded as deferred income. Any remaining unused amounts of the cash payments will be disclosed as restricted cash in the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income results primarily from the interest earned on our short-term cash deposits and cash balances held by Barinthus Biotherapeutics (U.K.) Limited.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results primarily from the asset retirement obligation discounted over the length of the relevant lease.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Incentives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incentives contain payments receivable from the United Kingdom government related to corporation tax relief on research and development projects in the United Kingdom. We account for such relief received as other income.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benefit from the United Kingdom research and development tax credit regime, being the Small and Medium-sized Enterprises R&amp;D tax relief program or SME Program, and, to the extent that our projects are grant funded or relate to work subcontracted to us by third parties, the Research and Development Expenditure Credit program, or RDEC Program.</w:t>
      </w:r>
    </w:p>
    <w:p>
      <w:pPr>
        <w:spacing w:after="0" w:line="183"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8"/>
          <w:szCs w:val="18"/>
          <w:color w:val="auto"/>
        </w:rPr>
        <w:t>Qualifying expenditures largely comprise employment costs for research staff, consumables, outsourced contract research organization costs, externally provided workers and utilities costs incurred as part of research projects. A large portion of costs relating to research and development, clinical trials and manufacturing activities are eligible for inclusion within these tax credit cash rebate claims. From March 2023, under the SME program, we are able to surrender some of our trading losses that arise from qualifying research and development activities for a cash rebate of up to 18.6% of such qualifying research and development expenditure, as the SME additional deduction is 86% and the SME credit rate is 10%, unless the SME qualifies as an R&amp;D intensive business; that is, R&amp;D expenditure constitutes at least 40% (from April 1, 2023) or 30% (from accounting periods starting on or after April 1, 2024) of total expenditure. From the analysis performed, we have not and do not currently expect to claim under the loss-making R&amp;D Intensive Scheme for SMEs primarily due to the proportion of total relevant expenditure occurring outside the United Kingdom.</w:t>
      </w:r>
    </w:p>
    <w:p>
      <w:pPr>
        <w:spacing w:after="0" w:line="202"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8"/>
          <w:szCs w:val="18"/>
          <w:color w:val="auto"/>
        </w:rPr>
        <w:t>We may not be able to continue to claim research and development tax credits under the United Kingdom research and development tax credit regime because we may no longer qualify based on the eligibility criteria. Further, the U.K. Finance Act of 2021 introduced a cap on payable credit claims under the SME Program in excess of £20,000 with effect from April 2021 by reference to, broadly, three times the total Pay As You Earn, or PAYE, and National Insurance Contributions, or NICs, liability, subject to an exception which prevents the cap from applying. That exception requires us to create, take steps to create or manage intellectual property, as well as having qualifying research and development expenditure in respect of connected parties, which does not exceed 15% of the total claimed. If such an exception does not apply, this could restrict the amount of payable credit that we claim. There was no tax loss restriction applied to the R&amp;D tax credits in the U.K. for the year ended December 31, 2023 and 2024.</w:t>
      </w:r>
    </w:p>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merged scheme Research &amp; Development expenditure credit (RDEC) and enhanced R&amp;D intensive support (ERIS) replaces the old RDEC and small and medium-sized enterprise (SME) schemes for accounting periods beginning on or after April 1, 2024. For expenditure under the merged scheme, the rate of Research and Development expenditure credit will be 20%, which is the same as the rate under the old RDEC scheme for expenditure incurred on or after April 1, 2023. For loss-makers and small profit-makers, a lower rate of notional tax restriction (currently 19%) applies at payment. For all other companies, the restriction will continue to apply at the Corporation Tax main rate (currently 25%). The amount of the PAYE cap for claims under both the merged scheme and ERIS is £20,000 plus 300% of the company’s relevant PAYE and National Insurance contributions liabilities. The PAYE cap (where applicable) will limit the amount of payable credit that can be received in the accounting period under consideration. Any excess over the cap will be carried forward and treated as an amount of Research and Development expenditure credit to which the company will be entitled for the next accounting period. Based on prior claims and the split of qualifying spend it is expected that the PAYE cap is unlikely to affect the net benefit. Furthermore, for accounting periods starting on or after April 1, 2024, legislation included in Finance Act 2024 restricts the extent to which payments to contractors for R&amp;D, and externally provided workers can qualify for R&amp;D relief where R&amp;D activity takes place outside the U.K.. This may restrict the ability to include cost incurred on externally provided workers ("EPWs") based in the U.S. and Switzerland for future accounting periods.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Unsurrendered U.K. losses may be carried forward indefinitely to be offset against future taxable profits, subject to numerous utilization criteria and restrictions. The amount that can be offset each year is limited to £5.0 million plus an incremental 50% of U.K. taxable profits.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on our consolidated financial statements, which have been prepared in accordance with accounting principles generally accepted in the United States, or GAAP. The preparation of financial statements requires management to make estimates and judgments that affect the reported amounts of assets and liabilities and disclosures of contingent assets and liabilities as of the date of the financial statements and the reported amounts of revenue, income and expenses during the reporting period. On an ongoing basis, management evaluates its estimates, including those related to fair value of contingent consideration and impairment of goodwill, intangible assets and other long-lived assets. Management bases its estimates on historical experience and on various other market specific and relevant assumptions that management believes to be reasonable under the circumstances. Actual results could differ from those estimates.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that the following accounting policies are critical to the process of making significant judgments and estimates in the preparation of our financial statements and understanding and evaluating our reported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We assess goodwill for impairment at least annually, or more frequently if events or changes in circumstances indicate that the carrying amounts may not be recoverable. We have elected to assess goodwill for impairment by first performing a qualitative assessment to determine whether it is more likely than not that the fair value of a reporting unit is less than its carrying amount as a basis of determining whether it is necessary to perform the quantitative goodwill impairment test. We have one reporting unit. Accordingly, our review of goodwill impairment indicators is performed at the entity-wide level. This requires us to assess and make judgments regarding a variety of factors, including clinical data results, business plans, anticipated future cash flows, economic projections and other market data. Because there are inherent uncertainties involved in these factors, significant differences between these estimates and actual results could result in future impairment charges and could materially impact our future financial results. We performed the annual impairment assessment and identified qualitative indicators of impairment due to, most notably, the share price drop in November 2024, including the lack of recovery thereof, and the strategic considerations to partner VTP-300 for future clinical development. From the qualitative assessment performed, we determined it was more likely than not that the fair value of the reporting unit was less than its carrying amount. Therefore, we performed a quantitative assessment using the income approach, which resulted in the recognition of an impairment charge of $12.2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review long-lived assets to be held and used, including property and equipment, intangible assets and operating lease right-of-use assets, for impairment whenever events or changes in circumstances indicate that the carrying amount of the assets or asset group may not be recoverable. Evaluation of recoverability is first based on an estimate of undiscounted future cash flows resulting from the use of the asset or asset group and its eventual disposition. In the event such cash flows are not expected to be sufficient to recover the carrying amount of the asset or asset group, the assets are written down to their estimated fair values.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identified circumstances that could indicate that the carrying amount of our intangible assets may not be recoverable, being a sustained decline in the price of our ADSs, whereby the market capitalization continues to be below the value of our net assets, and during 2024, the strategic expected use of the SNAP platform shifted from being a complementary platform to the viral vector platform to being solely used in the development of novel immunotherapeutic candidates for treating autoimmune and inflammatory diseases, and being called SNAP-TI (Tolerance Immunotherapy). Therefore, we performed a quantitative impairment assessment using the income approach as of December 31, 2024, and determined that the carrying amount of the Company's intangible assets are recoverable, hence no impairment loss related to long-lived assets has been recognized.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right-of-use asset and property and equipment</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also identified circumstances that could indicate that the carrying amount of our operating lease right-of-use asset and property and equipment in the U.K. asset group may not be recoverable as of December 31, 2024, as it was more likely than not that we would cease the operating activities undertaken in the laboratory and office space in Harwell, Oxfordshire in 2025, significantly before the end of the previously estimated useful life. Therefore, we performed an impairment assessment as of December 31, 2024 and determined that the carrying amounts of our operating lease right-of-use assets and property and equipment in the U.K. asset group were not fully recoverable, and impairment charges of $2.6 million related to the U.K. operating lease right-of-use asset and $2.7 million related to the U.K. property and equipment have been recognized. These impairment charges are subject to a number of assumptions and actual results may differ. We will continue to refine these assumptions as additional information becomes available.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recognize a contingent consideration liability related to the acquisition of Avidea. Avidea’s stockholders may be entitled to receive an aggregate of up to $40.0 million in additional payments, payable in a combination of cash and ADSs, upon the achievement of certain milestones. This contingent consideration is included within the purchase price and is recognized at its fair value on the acquisition date, and subsequently remeasured to fair value at each reporting date until the contingency is resolved. The fair value of the contingent consideration is a Level 3 valuation determined using significant unobservable inputs, being the probability of pursuit of the activity associated with the milestone, the probability of success of the achievement of the milestone, the expected date of milestone achievement and applying the relevant discount rate. Changes in fair value are recognized in general and administrative expenses in the consolidated statements of operations and comprehensive loss.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84,115</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84,716</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(67,970)</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(83,914)</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15,944</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incentives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15,295</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r>
      <w:tr>
        <w:trPr>
          <w:trHeight w:val="28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For the year ended December 31, 2024 and 2023, our revenue consisted of $15.0 million and $0.8 million, respectively from the OUI License Agreement Amendment with respect to amounts owed to us by OUI for the commercial sales of Vaxzevria. The increase is due to the notification by OUI of additional commercial sales of Vaxzevria by AstraZeneca in prior periods. In 2024, AstraZeneca announced it had made the strategic decision to initiate the withdrawal of marketing authorization for Vaxzevria within Europe, citing decline in demand as the reason for the decision. We do not expect to receive any further payments relating to future commercial sales of Vaxzevria and, if such payments are due, that we will be notified of such payments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57"/>
        </w:trPr>
        <w:tc>
          <w:tcPr>
            <w:tcW w:w="660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VTP-1000 Celiac</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tcPr>
          <w:p>
            <w:pPr>
              <w:spacing w:after="0"/>
              <w:rPr>
                <w:sz w:val="22"/>
                <w:szCs w:val="22"/>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VTP-300 HBV</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VTP-850 Prostate cancer</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VTP-200 HPV</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r>
      <w:tr>
        <w:trPr>
          <w:trHeight w:val="27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VTP-600 NSCLC</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VTP-500 MERS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57"/>
        </w:trPr>
        <w:tc>
          <w:tcPr>
            <w:tcW w:w="6600" w:type="dxa"/>
            <w:vAlign w:val="bottom"/>
            <w:tcBorders>
              <w:bottom w:val="single" w:sz="8" w:color="CCEEFF"/>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Other and earlier stage programs</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Personnel-related (including share-based compensation)</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related</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indirect costs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w:t>
            </w:r>
          </w:p>
        </w:tc>
      </w:tr>
      <w:tr>
        <w:trPr>
          <w:trHeight w:val="28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both"/>
        <w:ind w:left="20" w:right="20" w:firstLine="6"/>
        <w:spacing w:after="0" w:line="234" w:lineRule="auto"/>
        <w:tabs>
          <w:tab w:leader="none" w:pos="90" w:val="left"/>
        </w:tabs>
        <w:numPr>
          <w:ilvl w:val="0"/>
          <w:numId w:val="5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Research and development expenses related to VTP-1100 HPV Cancer were presented together with VTP-1000 Celiac in the prior period comparative, because our SNAP product candidates were both preclinical. Expenses related to VTP-1100 HPV Cancer are now included in "Other and earlier stage programs," because we are deferring the planned IND application for VTP-1100 in HPV cancer and we have initiated the clinical trial for VTP-1000 Celiac.</w:t>
      </w:r>
    </w:p>
    <w:p>
      <w:pPr>
        <w:spacing w:after="0" w:line="12" w:lineRule="exact"/>
        <w:rPr>
          <w:sz w:val="20"/>
          <w:szCs w:val="20"/>
          <w:color w:val="auto"/>
        </w:rPr>
      </w:pPr>
    </w:p>
    <w:p>
      <w:pPr>
        <w:ind w:left="100" w:hanging="74"/>
        <w:spacing w:after="0"/>
        <w:tabs>
          <w:tab w:leader="none" w:pos="100" w:val="left"/>
        </w:tabs>
        <w:numPr>
          <w:ilvl w:val="0"/>
          <w:numId w:val="6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VTP-600 NSCLC/ESCC Phase 1/2a trial is sponsored by Cancer Research U.K.</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3 The development of VTP-500 is funded pursuant to an agreement with the Coalition for Epidemic Preparedness Innovations (CEPI).</w:t>
      </w:r>
    </w:p>
    <w:p>
      <w:pPr>
        <w:spacing w:after="0" w:line="74" w:lineRule="exact"/>
        <w:rPr>
          <w:sz w:val="20"/>
          <w:szCs w:val="20"/>
          <w:color w:val="auto"/>
        </w:rPr>
      </w:pPr>
    </w:p>
    <w:p>
      <w:pPr>
        <w:ind w:left="100" w:hanging="74"/>
        <w:spacing w:after="0"/>
        <w:tabs>
          <w:tab w:leader="none" w:pos="100" w:val="left"/>
        </w:tabs>
        <w:numPr>
          <w:ilvl w:val="0"/>
          <w:numId w:val="6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This includes $0.9 million of personnel-related indirect expenses relating to time spent progressing the VTP-500 MERS program, which is funded by CEPI.</w:t>
      </w:r>
    </w:p>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for the years ended December 31, 2024 and 2023 were $42.2 million and $44.9 million, respectively, and consisted of direct and indirect research and development expenses.</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Direct expenses for the years ended December 31, 2024 and 2023 were $23.7 million and $29.8 million, respectively, and consisted of outside services, consultants, laboratory materials, clinical trials, manufacturing of clinical trial materials, as well as costs for external preclinical services and sample testing. Of the $6.0 million decrease, a $2.9 million decrease pertains to the completion of the VTP-1000 preclinical studies and initiation of the Phase 1 AVALON clinical trial in the third quarter of 2024 and the deprioritization of VTP-1100 for HPV cancer announced earlier in 2024, a $2.9 million decrease pertains to a reduction in clinical trial and manufacturing development costs for the VTP-200 HPV program following the completion of the Phase 1b/2 APOLLO (HPV001) clinical trial in 2024, a $1.3 million decrease pertains to reduced activity following completion of enrollment of the VTP-850 Phase 1 clinical trial in October 2024 and a $0.8 million decrease pertains to VTP-300 HBV clinical trial and manufacturing costs as enrollment for the two ongoing Phase 2 trials is now complete. These decreases were partially offset by an increase of $1.4 million mainly relating to increased investment in our SNAP-TI platform and related early stage programs, as well as VTP-1100 HPV cancer expenses now being included in Other and earlier stage programs.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Indirect research and development expenses for the years ended December 31, 2024 and 2023 were $18.5 million and $15.1 million, respectively. Of the $3.4 million increase, $3.2 million relates to personnel-related expenses (including share-base compensation) primarily due to an average increase in headcount, severance cost of $1.0 million across our locations in the United Kingdom and United States following our announcement in June 2024 to prioritize our pipeline and more personnel time spent on research and development activities.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General and administrative expenses for the years ended December 31, 2024 and 2023 were $29.7 million and $39.8 million, respectively. The decrease of $10.1 million relates primarily to a change in foreign exchange gains and losses of $10.2 million from a loss of $7.8 million for the year ended December 31, 2023 to a gain of $2.4 million for the year ended December 31, 2024, as well as a $3.0 million decrease in personnel costs due to the reduction in our general and administrative workforce in the second quarter of 2024, more personnel time spent on research and development activities and a reduction in share-based payment charges due to the timing of high value awards, a decrease in insurance costs of $1.7 million related to a reduction in insurance premiums and a decrease of $0.8 million in professional costs due to reduced activity compared to the prior period. These decreases are partially offset by an increase in the expense recognized for the fair value measurement of contingent consideration of $0.8 million following an increase in the determined probability of success of achieving the associated milestones and an impairment charge of $5.3 million recognized in respect of our operating lease right-of-use assets and property and equipment in the U.K. (see Notes 6 Property and Equipment, Net and 17 Commitments and Contingencies in the financial statements for further details).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Expense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goodwill impairment expense was $12.2 million and nil, respectively. The increase relates to the impairment assessment performed during the fourth quarter of 2024, based on the expected utilization of Company assets and external market conditions.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and 2023, interest income was $2.7 million and $2.9 million respectively, which primarily resulted from the interest earned on our short-term cash deposits and cash balances held by Barinthus Biotherapeutics (U.K.) Limited in United States dollars and pound sterling.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Incentives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years ended December 31, 2024 and 2023, we accrued research and development incentives of $4.0 million and $3.5 million, respectively. Such research and development incentives relate to corporation tax relief on research and development project incentive programs in the United Kingdom. The increase of $0.5 million is primarily due to an increase in qualifying research and development activities following completion and submission of the 2023 claim.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benefit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tax benefit was $0.04 million and $3.1 million respectively, which primarily relates to movements in deferred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through private and public placements of our ordinary and preferred shares as well as from grants and research incentives, various agreements with public funding agencies, the issuance of convertible loan notes and most recently from royalty and milestone payments from OUI in connection with the OUI License Agreement Amendment. Through December 31, 2024, we had received gross proceeds of approximately $330.1 million from the issuance of our ordinary and preferred shares and convertible loan notes. As of December 31, 2024, we had cash, cash equivalents and restricted cash of $112.4 million. Key financing and corporate milestones include the following:</w:t>
      </w:r>
    </w:p>
    <w:p>
      <w:pPr>
        <w:spacing w:after="0" w:line="69"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July 2020 and November 2020, we raised gross proceeds of $41.2 million from the issuance of convertible loan notes.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we raised gross proceeds of $125.2 million from the issuance of our Series B shares.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we raised gross proceeds of $110.5 million from the IPO of our ordinary shares on NASDAQ.</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April 2022 and September 2024, we received $59.5 million of cash from OUI for the commercial sales of Vaxzevria.</w:t>
      </w:r>
    </w:p>
    <w:p>
      <w:pPr>
        <w:spacing w:after="0" w:line="10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December 2022 and December 31, 2024, we raised net proceeds of $5.1 million from the issuance of 2,558,586 shares represented by ADSs through “at-the-market” offerings under the sales agreement with Jefferies LLC.</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August 9, 2022, we filed the Shelf with the Securities and Exchange Commission in relation to the registration and potential future issuance of ordinary shares, including ordinary shares represented by ADSs, debt securities, warrants and/or units of any combination thereof in the aggregate amount of up to $200.0 million. The Shelf was declared effective on August 17, 2022. We also simultaneously entered into a sales agreement with Jefferies LLC, as sales agent, providing for the offering, issuance and sale by us of up to an aggregate of $75.0 million of our ordinary shares represented by ADSs from time to time in “at-the-market” offerings under the Shelf.</w:t>
      </w:r>
    </w:p>
    <w:p>
      <w:pPr>
        <w:spacing w:after="0" w:line="18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do not currently expect positive cash flows from operations in the foreseeable future, if at all. In most periods, we have incurred operating losses as a result of ongoing efforts to develop our novel T cell immunotherapeutic candidates, including conducting ongoing research and development, preclinical studies, clinical trials, providing general and administrative support for these operations and developing our intellectual property portfolio. We expect to continue to incur net negative cash flows from operations for at least the next few years as we progress clinical development, seek regulatory approval, prepare for and, if approved, proceed to manufacture and commercialization of our most advanced product candidates. Operating profits may arise earlier if programs are licensed or sold to third parties before final approval, but this cannot be guaranteed.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primary sources and uses of cash (in thousands) for each period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the year ended December 31, 2024, net cash used in operating activities was $28.9 million, primarily resulting from our net loss of $61.2 million, adjusted by goodwill impairment expense of $12.2 million, depreciation and amortization of $5.8 million, an impairment charge of $5.3 million, share based compensation of $4.7 million, non-cash lease expenses of $1.4 million and changes in our operating assets and liabilities, net of $2.6 million primarily related to a $3.6 million decrease in prepaid expenses, a $1.8 million decrease in operating lease liabilities, a $1.7 million increase in deferred income, a $1.4 million increase in accounts payable and accrued expenses and a $2.3 million increase in research and development incentives receivable.</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During the year ended December 31, 2023, net cash used in operating activities was $50.9 million, primarily resulting from our net loss of $73.4 million, adjusted by foreign exchange loss on translation of $7.5 million, share based compensation of $5.1 million, depreciation and amortization of $5.4 million, deferred tax benefit of $3.1 million and changes in our operating assets and liabilities, net decrease of $6.2 million primarily related to a $5.8 million decrease in accounts receivable, a $2.2 million decrease in prepaid expenses and other current assets, a $3.4 million decrease in accounts payable and a $2.0 million increase in accrued expenses.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cash used in investing activities was $0.9 million primarily relating to lab and office equipment purchases in both our U.K. and U.S. facilities. During the year ended December 31, 2023, cash used in investing activities was $5.4 million primarily resulted from capital expenditures related to leasehold improvements on our new office in Germantown, Maryland, United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cash provided by financing activities was $2.2 million and $1.9 million, respectively, primarily resulting from the issuance of ordinary shares in the form of ADSs through the “at-the-market” sales agreement with Jefferies LLC.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the effect of foreign exchange on cash and cash equivalents was a $2.0 million loss and $2.2 million gain respectively, primarily as a result of fluctuations between the United States dollar and pound sterling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To date, we have devoted substantially all of our resources to organizing and staffing our company, business planning, raising capital, undertaking preclinical studies and conducting clinical trials of our product candidates. As a result, we have incurred losses in each year since our inception in 2016, through to December 31, 2021. We were profitable in 2022, however we have negative operating cash flows for the periods ending December 31, 2024 and 2023. As of December 31, 2024, we had an accumulated deficit of $237.7 million. We expect to continue to incur significant losses and negative cash flows from operations for the foreseeable future. We anticipate that our expenses will increase substantially if, and as we:</w:t>
      </w:r>
    </w:p>
    <w:p>
      <w:pPr>
        <w:spacing w:after="0" w:line="141"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clinical and preclinical development of our current product candidates;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our technologies to advance additional product candidates into preclinical and clinical development;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authorizations for product candidates that successfully complete clinical trials,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clinical, regulatory, quality control and other personnel;</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and future product candidates based on our proprietary biologic and synthetic platforms, including the Chimpanzee Adenovirus Oxford ("ChAdOx") and Modified vaccinia Ankara ("MVA"), vectors, SNAP-TI, SNAP-CI and our other technologies;</w:t>
      </w:r>
    </w:p>
    <w:p>
      <w:pPr>
        <w:spacing w:after="0" w:line="11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manufacturing capabilities through third parties or by ourselves and scale-up manufacturing to provide adequate supply for clinical trials and commercialization;</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protect and enforce our intellectual property portfolio;</w:t>
      </w:r>
    </w:p>
    <w:p>
      <w:pPr>
        <w:spacing w:after="0" w:line="15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products for which we may obtain marketing approval and intend to commercialize on our own or through a selected partner;</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for development and commercialization; and</w:t>
      </w:r>
    </w:p>
    <w:p>
      <w:pPr>
        <w:spacing w:after="0" w:line="15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our business, including the additional costs associated with operating as a public company.</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costs and other expenditures to develop and market additional product candidates and we may never generate revenue that is significant or large enough to achieve profitability. We may also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unless and until such losses are eliminated by revenue.</w:t>
      </w:r>
    </w:p>
    <w:p>
      <w:pPr>
        <w:spacing w:after="0" w:line="16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we do achieve profitability, we may not be able to sustain or increase profitability on a quarterly or annual basis. Accordingly, our failure to become and remain profitable would decrease the value of our company and could impair our ability to raise capital, maintain our research and development efforts,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expand our business or continue our operations. A decline in the value of our company also could cause you to lose all or part of your investment.</w:t>
      </w:r>
    </w:p>
    <w:p>
      <w:pPr>
        <w:spacing w:after="0" w:line="1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Since our foundation, we have invested a significant portion of our efforts and financial resources in research and development activities for our viral vector platform (ChAdOx and MVA), acquisition of additional complementary platforms such as SNAP-TI, development of new technologies in house, and our product candidates derived from these technologies. Preclinical studies and especially clinical trials and additional research and development activities will require substantial funds to complete. We believe that we will continue to expend substantial resources for the foreseeable future in connection with the development of our current product candidates and programs as well as any future product candidates we may elect to pursue, as well as the gradual gaining of control over our required manufacturing capabilities and other corporate functions. These expenditures will include costs associated with conducting preclinical studies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clinical trials, obtaining regulatory approvals, and potentially in-house manufacturing and supply, as well as marketing and selling any products approved for sale. In addition, other unanticipated costs may arise as outlined above. Because the outcome of any preclinical study or clinical trial is uncertain and the rate of change of third-party costs is also unpredictable, we cannot reasonably estimate now the actual amounts which will be necessary to complete the development and commercialization of our current or future product candidates successfully.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may depend on many factors, including:</w:t>
      </w:r>
    </w:p>
    <w:p>
      <w:pPr>
        <w:spacing w:after="0" w:line="171" w:lineRule="exact"/>
        <w:rPr>
          <w:sz w:val="20"/>
          <w:szCs w:val="20"/>
          <w:color w:val="auto"/>
        </w:rPr>
      </w:pPr>
    </w:p>
    <w:p>
      <w:pPr>
        <w:ind w:left="660" w:hanging="328"/>
        <w:spacing w:after="0" w:line="266"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current and future product candidates and programs, and of conducting preclinical studies and clinical trials;</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 and of other indications for our current product candidates that we may pursue;</w:t>
      </w:r>
    </w:p>
    <w:p>
      <w:pPr>
        <w:spacing w:after="0" w:line="9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scale and yield of future manufacturing processes as we scale-up production and formulation of our product candidates either internally or externally for later stages of development and commercialization;</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p>
      <w:pPr>
        <w:spacing w:after="0" w:line="136"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CEPI, Oxford University/OUI, Arbutus, CanSino, CRUK and the Ludwig Institute and any future collaboration partners;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strategic licensing or other arrangements and the financial terms of such agreements;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including product launch, product sales, marketing, manufacturing and distribution, for any of our current and future product candidates for which we receive marketing approval;</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commercial sales, revenues, milestones or royalties or other income from our future products, should any of our product candidates receive marketing approval; and</w:t>
      </w:r>
    </w:p>
    <w:p>
      <w:pPr>
        <w:spacing w:after="0" w:line="9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enforcing and protecting our intellectual property rights and defending intellectual property-related claims including litigation costs and any damages awarded in such litigation;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success or otherwise of competing autoimmune or infectious disease therapies and other market developments.</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research and development plans, we expect that our existing cash, cash equivalents and restricted cash and other financial resources, will enable us to fund our operating expenses and capital expenditure requirements into the start of 2027. These estimates are based on assumptions that may prove to be wrong, and we could use our available capital resources more quickly than we expect.</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may require substantial additional financing in the future to meet any such unanticipated factors. 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would be required to delay, limit, reduce or terminate our product development programs, future commercialization efforts, other operational plans or grant rights to develop and market product candidates that we would otherwise prefer to develop and market ourselves.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operating lease obligations related to our property, plant and equipment. The details of these leases are disclosed in Item 2. “Properties.”. The obligations related to both short- and long-term lease arrangements are set forth in Note 17 “Commitment and Contingencies” to our consolidated financial statements.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third parties for clinical trials and preclinical research studies and testing. These contracts are generally cancellable by us upon prior notice. Payments due upon cancellation consist only of payments for services provided or expenses incurred, including noncancellable obligations of our service providers, up to the date of cancellation.</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contingent payment obligations that we may incur upon achievement of clinical, regulatory and commercial milestones, as applicable, or royalty payments that we may be required to make under our licenses; however, the amount, timing and likelihood of such payments are not known as of December 31, 2024. See section entitled “Business - Our Collaboration and License Agreements.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under the Jumpstart Our Business Startups Act of 2012, as amended, or the JOBS Act. As an emerging growth company, we may delay the adoption of certain accounting standards until those standards would otherwise apply to private companies.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(a) following the fifth anniversary of the date of the closing of our IPO, (b) in which we have total annual gross revenue of at least $1.235 billion, or (c) in which we are deemed to be a “large accelerated filer” as defined in Rule 12b-2 under the Exchange Act, which would occur if the market value of our ADSs held by non-affiliates exceeded $700.0 million as of the prior June 30th, and (2) the date on which we have issued more than $1.0 billion in non-convertible debt securities during the prior three-year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 that may potentially impact our financial position and results of operations is disclosed in Note 2 to our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and Currency Translation</w:t>
      </w:r>
    </w:p>
    <w:p>
      <w:pPr>
        <w:spacing w:after="0" w:line="21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We are subject to the risk of fluctuations in foreign currency exchange rates, specifically with respect to the euro, pound sterling, Swiss franc and Australian dollar. Our reporting currency is the United States dollar, and the functional currency of Barinthus Biotherapeutics plc and its consolidated subsidiaries, Barinthus Biotherapeutics (U.K.) Limited and VOLT, is the pound sterling. The functional currency of our wholly owned foreign subsidiary, Barinthus Biotherapeutics North America, Inc. is the United States dollar. The functional currency of our wholly owned foreign subsidiary, Barinthus Biotherapeutics Pty Limited, is the Australian dollar. The functional currency of our wholly owned foreign subsidiary, Barinthus Biotherapeutics Switzerland GmbH, is the Swiss franc. Our cash, cash equivalents and restricted cash as of December 31, 2024 consisted primarily of cash balances held by Barinthus Biotherapeutics (U.K.) Limited in United States dollars.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Assets and liabilities are translated into United States dollars at the exchange rate in effect on the balance sheet date. Revenue and expenses are translated at the average exchange rate in effect during the period. Translation adjustments are included in the consolidated Balance Sheets as a component of accumulated other comprehensive loss. Adjustments that arise from exchange rate changes on transactions denominated in a currency other than the local currency are included in operating expenses in the consolidated Statements of Operations and Comprehensive Loss as incurred.</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incur significant operating costs in the U.K. and face exposure to changes in the exchange ratio of the United States dollar and the pound sterling arising from expenses and payables at our U.K. operations that are settled in pound sterling. For the year ended December 31, 2024, an average 10% weakening in the United States dollar relative to the pound sterling would have resulted in a material change to our current and projected expenses denominated in pound sterling for the year ended December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not currently exposed significantly to market risk related to changes in interest rates, as we have no significant interest-bearing liabilities. We had cash, cash equivalents and restricted cash of $112.4 million as of December 31, 2024, which were held as account balances with banks in the United Kingdom, United States and Australia. A hypothetical 10% relative change in interest rates during any of the periods presented would not have had a material impact on our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audited consolidated financial statements are included at the end of this Annual Report, starting at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Chief Executive Officer and Chief Financial Officer, evaluated the effectiveness of our disclosure controls and procedures (as defined in Rule 13a-15(e) and 15d-15(e) under the Exchange Act) as of December 31, 2024.</w:t>
      </w:r>
    </w:p>
    <w:p>
      <w:pPr>
        <w:spacing w:after="0" w:line="1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term “disclosure controls and procedures” means controls and other procedures of a company that are designed to provide reasonable assurance that the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evaluation, our management, with the participation of our principal executive officer and principal financial officer, has concluded that, as of such date, our disclosure controls and procedures were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and for the assessment of the effectiveness of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GAAP.</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the effectiveness of our internal controls in future periods are subject to the risk that such controls may become inadequate because of changes in conditions, or that the degree of compliance with applicable policies, processes and documentation requirements may deteriorate.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making its assessment of the Company’s internal control over financial reporting as of December 31, 2024, management used the criteria set forth in Internal Control—Integrated Framework (2013) issued by the Committee of Sponsoring Organizations of the Treadway Commission (“COSO”) and evaluated the internal control over financial reporting. Based on our assessment, management concluded that our internal control over financial reporting was effective as of December 31, 2024, based on criteria in Internal Control-Integrated Framework (2013) issued by the COSO.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5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an exemption provided by the JOBS Act for “emerging growth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5" w:lineRule="exact"/>
        <w:rPr>
          <w:sz w:val="20"/>
          <w:szCs w:val="20"/>
          <w:color w:val="auto"/>
        </w:rPr>
      </w:pPr>
    </w:p>
    <w:p>
      <w:pPr>
        <w:jc w:val="both"/>
        <w:ind w:right="320"/>
        <w:spacing w:after="0" w:line="245" w:lineRule="exact"/>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during the quarter ended December 31, 2024 that have materially affected, or is reasonably likely to materially affect, our internal control over financial reporting.</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and will be included in our definitive proxy statement for our 2025 Annual General Meeting to be filed with the U.S. Securities and Exchange Commission within 120 days of the end of our fiscal year.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adopted a Code of Conduct that applies to all officers, directors and employees in connection with their work for us. The full text of our Code of Conduct is posted on the investor relations page of our website at investors.barinthusbio.com/corporate-governance.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intends to satisfy any disclosure requirements under Item 5.05 of Form 8-K regarding an amendment to, or waiver from, a provision of this Code of Conduct by posting such information on our website, at the Internet address and location specified above.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and will be included in our definitive proxy statement for our 2025 Annual General Meeting to be filed with the United States Securities and Exchange Commission within 120 days of our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and will be included in our definitive proxy statement for our 2025 Annual General Meeting to be filed with the United States Securities and Exchange Commission within 120 days of the end of our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and will be included in our definitive proxy statement for our 2025 Annual General Meeting to be filed with the United States Securities and Exchange Commission within 120 days of the end of our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and will be included in our definitive proxy statement for our 2025 Annual General Meeting to be filed with the United States Securities and Exchange Commission within 120 days of the end of our fiscal year.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financial statements filed as part of this report are listed on the Index to Consolidated Financial Statements in Item 8.</w:t>
      </w:r>
    </w:p>
    <w:p>
      <w:pPr>
        <w:spacing w:after="0" w:line="2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left="1620"/>
        <w:spacing w:after="0" w:line="266" w:lineRule="auto"/>
        <w:rPr>
          <w:sz w:val="20"/>
          <w:szCs w:val="20"/>
          <w:color w:val="auto"/>
        </w:rPr>
      </w:pPr>
      <w:r>
        <w:rPr>
          <w:rFonts w:ascii="Times New Roman" w:cs="Times New Roman" w:eastAsia="Times New Roman" w:hAnsi="Times New Roman"/>
          <w:sz w:val="18"/>
          <w:szCs w:val="18"/>
          <w:color w:val="auto"/>
        </w:rPr>
        <w:t>No schedules are submitted because they are not applicable, not required, or because the information is included in the consolidated financial statements or the notes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20" w:type="dxa"/>
            <w:vAlign w:val="bottom"/>
            <w:gridSpan w:val="7"/>
          </w:tcPr>
          <w:p>
            <w:pPr>
              <w:ind w:left="9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79"/>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Exhibits 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gridSpan w:val="7"/>
          </w:tcPr>
          <w:p>
            <w:pPr>
              <w:ind w:left="15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2"/>
        </w:trPr>
        <w:tc>
          <w:tcPr>
            <w:tcW w:w="158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7"/>
                <w:szCs w:val="17"/>
                <w:color w:val="auto"/>
              </w:rPr>
            </w:pPr>
          </w:p>
        </w:tc>
        <w:tc>
          <w:tcPr>
            <w:tcW w:w="9620" w:type="dxa"/>
            <w:vAlign w:val="bottom"/>
            <w:tcBorders>
              <w:bottom w:val="single" w:sz="8" w:color="0000FF"/>
            </w:tcBorders>
            <w:gridSpan w:val="10"/>
          </w:tcPr>
          <w:p>
            <w:pPr>
              <w:spacing w:after="0" w:line="202"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Agreement and Plan of Merger and Reorganization, dated December 9, 2021, by and among Barinthus Biotherapeutics plc, VA</w:t>
              </w:r>
            </w:hyperlink>
          </w:p>
        </w:tc>
        <w:tc>
          <w:tcPr>
            <w:tcW w:w="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Merger Sub 1 Inc., VA Merger Sub 2 Inc., Avidea Technologies Inc., and Benjamin Eisler, as the Securityholder Agent (Incorporated</w:t>
              </w:r>
            </w:hyperlink>
          </w:p>
        </w:tc>
        <w:tc>
          <w:tcPr>
            <w:tcW w:w="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by reference to Exhibit 2.1 to our Periodic Report on Form 8-K (File No. 001-40367) filed on December 14, 2021).</w:t>
              </w:r>
            </w:hyperlink>
          </w:p>
        </w:tc>
        <w:tc>
          <w:tcPr>
            <w:tcW w:w="1340" w:type="dxa"/>
            <w:vAlign w:val="bottom"/>
            <w:gridSpan w:val="2"/>
          </w:tcPr>
          <w:p>
            <w:pPr>
              <w:spacing w:after="0"/>
              <w:rPr>
                <w:sz w:val="17"/>
                <w:szCs w:val="17"/>
                <w:color w:val="auto"/>
              </w:rPr>
            </w:pPr>
          </w:p>
        </w:tc>
      </w:tr>
      <w:tr>
        <w:trPr>
          <w:trHeight w:val="520"/>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96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Amendment No. 1 to Agreement and Plan of Merger and Reorganization, dated March 11, 2022, by and between Barinthus</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Biotherapeutics plc and Benjamin Eisler, as Securityholder Agent (Incorporated by reference to Exhibit 2.2 to our Annual Report on</w:t>
              </w:r>
            </w:hyperlink>
          </w:p>
        </w:tc>
        <w:tc>
          <w:tcPr>
            <w:tcW w:w="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1"/>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10-K (File No. 001-40367) filed on March 25, 2022).</w:t>
              </w:r>
            </w:hyperlink>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Amendment No. 2 to Agreement and Plan of Merger and Reorganization, dated May 9, 2022, by and between Barinthus</w:t>
              </w:r>
            </w:hyperlink>
          </w:p>
        </w:tc>
        <w:tc>
          <w:tcPr>
            <w:tcW w:w="2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Biotherapeutics plc and Benjamin Eisler, as the Securityholder Agent (Incorporated herein by reference to Exhibit 2.1 to the</w:t>
              </w:r>
            </w:hyperlink>
          </w:p>
        </w:tc>
        <w:tc>
          <w:tcPr>
            <w:tcW w:w="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Registrant’s Quarterly Report on Form 10-Q (File No. 001-40367), filed with the Securities and Exchange Commission on August 9,</w:t>
              </w:r>
            </w:hyperlink>
          </w:p>
        </w:tc>
        <w:tc>
          <w:tcPr>
            <w:tcW w:w="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ind w:left="20"/>
              <w:spacing w:after="0" w:line="196" w:lineRule="exact"/>
              <w:rPr>
                <w:rFonts w:ascii="Times New Roman" w:cs="Times New Roman" w:eastAsia="Times New Roman" w:hAnsi="Times New Roman"/>
                <w:sz w:val="18"/>
                <w:szCs w:val="18"/>
                <w:color w:val="0000FF"/>
                <w:w w:val="94"/>
              </w:rPr>
            </w:pPr>
            <w:hyperlink r:id="rId155">
              <w:r>
                <w:rPr>
                  <w:rFonts w:ascii="Times New Roman" w:cs="Times New Roman" w:eastAsia="Times New Roman" w:hAnsi="Times New Roman"/>
                  <w:sz w:val="18"/>
                  <w:szCs w:val="18"/>
                  <w:color w:val="0000FF"/>
                  <w:w w:val="94"/>
                </w:rPr>
                <w:t>2022).</w:t>
              </w:r>
            </w:hyperlink>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Articles of Association of the Registrant (Incorporated by reference to Exhibit 3.1 to our Form 8-K (File No. 001-40367) filed on</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1"/>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May 10, 2021)).</w:t>
              </w:r>
            </w:hyperlink>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Deposit Agreement (Incorporated by reference to Exhibit 4.1 to our Registration Statement on Form S-1/A (File No. 333-</w:t>
              </w:r>
            </w:hyperlink>
          </w:p>
        </w:tc>
        <w:tc>
          <w:tcPr>
            <w:tcW w:w="2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255158) filed on April 27, 2021).</w:t>
              </w:r>
            </w:hyperlink>
          </w:p>
        </w:tc>
        <w:tc>
          <w:tcPr>
            <w:tcW w:w="7220" w:type="dxa"/>
            <w:vAlign w:val="bottom"/>
            <w:gridSpan w:val="7"/>
          </w:tcPr>
          <w:p>
            <w:pPr>
              <w:spacing w:after="0"/>
              <w:rPr>
                <w:sz w:val="17"/>
                <w:szCs w:val="17"/>
                <w:color w:val="auto"/>
              </w:rPr>
            </w:pPr>
          </w:p>
        </w:tc>
      </w:tr>
      <w:tr>
        <w:trPr>
          <w:trHeight w:val="520"/>
        </w:trPr>
        <w:tc>
          <w:tcPr>
            <w:tcW w:w="1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Form of American Depositary Receipt (included in Exhibit 4.1).</w:t>
              </w:r>
            </w:hyperlink>
          </w:p>
        </w:tc>
        <w:tc>
          <w:tcPr>
            <w:tcW w:w="5020" w:type="dxa"/>
            <w:vAlign w:val="bottom"/>
            <w:gridSpan w:val="5"/>
          </w:tcPr>
          <w:p>
            <w:pPr>
              <w:spacing w:after="0"/>
              <w:rPr>
                <w:sz w:val="24"/>
                <w:szCs w:val="24"/>
                <w:color w:val="auto"/>
              </w:rPr>
            </w:pPr>
          </w:p>
        </w:tc>
      </w:tr>
      <w:tr>
        <w:trPr>
          <w:trHeight w:val="520"/>
        </w:trPr>
        <w:tc>
          <w:tcPr>
            <w:tcW w:w="1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Description of Registrant’s Securities (Incorporated by reference to Exhibit 4.3 to our Annual Report on Form 10-K (File No. 001-</w:t>
              </w:r>
            </w:hyperlink>
          </w:p>
        </w:tc>
        <w:tc>
          <w:tcPr>
            <w:tcW w:w="2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40367) filed on March 25, 2022).</w:t>
              </w:r>
            </w:hyperlink>
          </w:p>
        </w:tc>
        <w:tc>
          <w:tcPr>
            <w:tcW w:w="7240" w:type="dxa"/>
            <w:vAlign w:val="bottom"/>
            <w:gridSpan w:val="8"/>
          </w:tcPr>
          <w:p>
            <w:pPr>
              <w:spacing w:after="0"/>
              <w:rPr>
                <w:sz w:val="17"/>
                <w:szCs w:val="17"/>
                <w:color w:val="auto"/>
              </w:rPr>
            </w:pPr>
          </w:p>
        </w:tc>
      </w:tr>
      <w:tr>
        <w:trPr>
          <w:trHeight w:val="520"/>
        </w:trPr>
        <w:tc>
          <w:tcPr>
            <w:tcW w:w="1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EMI Option Scheme and form of award agreement thereunder (Incorporated by reference to Exhibit 10.1 to our Registration</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Statement on Form S-1/A (File No. 333-255158) filed on April 27, 2021).</w:t>
              </w:r>
            </w:hyperlink>
          </w:p>
        </w:tc>
        <w:tc>
          <w:tcPr>
            <w:tcW w:w="4320" w:type="dxa"/>
            <w:vAlign w:val="bottom"/>
            <w:gridSpan w:val="4"/>
          </w:tcPr>
          <w:p>
            <w:pPr>
              <w:spacing w:after="0"/>
              <w:rPr>
                <w:sz w:val="17"/>
                <w:szCs w:val="17"/>
                <w:color w:val="auto"/>
              </w:rPr>
            </w:pPr>
          </w:p>
        </w:tc>
      </w:tr>
      <w:tr>
        <w:trPr>
          <w:trHeight w:val="520"/>
        </w:trPr>
        <w:tc>
          <w:tcPr>
            <w:tcW w:w="1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2021 Stock Option and Incentive Plan and forms of award agreements thereunder (Incorporated by reference to Exhibit 10.2 to our</w:t>
              </w:r>
            </w:hyperlink>
          </w:p>
        </w:tc>
        <w:tc>
          <w:tcPr>
            <w:tcW w:w="2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1"/>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Registration Statement on Form S-1/A (File No. 333-255158) filed on April 27, 2021).</w:t>
              </w:r>
            </w:hyperlink>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2021 Employee Share Purchase Plan (Incorporated by reference to Exhibit 10.17 to our Registration Statement on Form S-1/A (File</w:t>
              </w:r>
            </w:hyperlink>
          </w:p>
        </w:tc>
      </w:tr>
      <w:tr>
        <w:trPr>
          <w:trHeight w:val="196"/>
        </w:trPr>
        <w:tc>
          <w:tcPr>
            <w:tcW w:w="1420" w:type="dxa"/>
            <w:vAlign w:val="bottom"/>
          </w:tcPr>
          <w:p>
            <w:pPr>
              <w:spacing w:after="0"/>
              <w:rPr>
                <w:sz w:val="17"/>
                <w:szCs w:val="17"/>
                <w:color w:val="auto"/>
              </w:rPr>
            </w:pPr>
          </w:p>
        </w:tc>
        <w:tc>
          <w:tcPr>
            <w:tcW w:w="30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No. 333-255158) filed on April 27, 2021).</w:t>
              </w:r>
            </w:hyperlink>
          </w:p>
        </w:tc>
        <w:tc>
          <w:tcPr>
            <w:tcW w:w="6580" w:type="dxa"/>
            <w:vAlign w:val="bottom"/>
            <w:gridSpan w:val="9"/>
          </w:tcPr>
          <w:p>
            <w:pPr>
              <w:spacing w:after="0"/>
              <w:rPr>
                <w:sz w:val="17"/>
                <w:szCs w:val="17"/>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License of Technology by and between the Registrant and Oxford University Innovation Limited, dated as of March 4, 2016, as</w:t>
              </w:r>
            </w:hyperlink>
          </w:p>
        </w:tc>
      </w:tr>
      <w:tr>
        <w:trPr>
          <w:trHeight w:val="196"/>
        </w:trPr>
        <w:tc>
          <w:tcPr>
            <w:tcW w:w="1420" w:type="dxa"/>
            <w:vAlign w:val="bottom"/>
          </w:tcPr>
          <w:p>
            <w:pPr>
              <w:spacing w:after="0"/>
              <w:rPr>
                <w:sz w:val="17"/>
                <w:szCs w:val="17"/>
                <w:color w:val="auto"/>
              </w:rPr>
            </w:pPr>
          </w:p>
        </w:tc>
        <w:tc>
          <w:tcPr>
            <w:tcW w:w="96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amended on January 14, 2019 and as further amended April 29, 2020 (Incorporated by reference to Exhibit 10.3 to our Registration</w:t>
              </w:r>
            </w:hyperlink>
          </w:p>
        </w:tc>
      </w:tr>
      <w:tr>
        <w:trPr>
          <w:trHeight w:val="196"/>
        </w:trPr>
        <w:tc>
          <w:tcPr>
            <w:tcW w:w="1420" w:type="dxa"/>
            <w:vAlign w:val="bottom"/>
          </w:tcPr>
          <w:p>
            <w:pPr>
              <w:spacing w:after="0"/>
              <w:rPr>
                <w:sz w:val="17"/>
                <w:szCs w:val="17"/>
                <w:color w:val="auto"/>
              </w:rPr>
            </w:pPr>
          </w:p>
        </w:tc>
        <w:tc>
          <w:tcPr>
            <w:tcW w:w="53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Statement on Form S-1/A (File No. 333-255158) filed on April 27, 2021).</w:t>
              </w:r>
            </w:hyperlink>
          </w:p>
        </w:tc>
        <w:tc>
          <w:tcPr>
            <w:tcW w:w="4280" w:type="dxa"/>
            <w:vAlign w:val="bottom"/>
            <w:gridSpan w:val="5"/>
          </w:tcPr>
          <w:p>
            <w:pPr>
              <w:spacing w:after="0"/>
              <w:rPr>
                <w:sz w:val="17"/>
                <w:szCs w:val="17"/>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License Agreement by and between the Registrant and Oxford University Innovation Limited, dated as of September 8, 2017</w:t>
              </w:r>
            </w:hyperlink>
          </w:p>
        </w:tc>
      </w:tr>
      <w:tr>
        <w:trPr>
          <w:trHeight w:val="196"/>
        </w:trPr>
        <w:tc>
          <w:tcPr>
            <w:tcW w:w="1420" w:type="dxa"/>
            <w:vAlign w:val="bottom"/>
          </w:tcPr>
          <w:p>
            <w:pPr>
              <w:spacing w:after="0"/>
              <w:rPr>
                <w:sz w:val="17"/>
                <w:szCs w:val="17"/>
                <w:color w:val="auto"/>
              </w:rPr>
            </w:pPr>
          </w:p>
        </w:tc>
        <w:tc>
          <w:tcPr>
            <w:tcW w:w="96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(Incorporated by reference to Exhibit 10.4 to our Registration Statement on Form S-1/A (File No. 333-255158) filed on April 27,</w:t>
              </w:r>
            </w:hyperlink>
          </w:p>
        </w:tc>
      </w:tr>
      <w:tr>
        <w:trPr>
          <w:trHeight w:val="196"/>
        </w:trPr>
        <w:tc>
          <w:tcPr>
            <w:tcW w:w="14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64">
              <w:r>
                <w:rPr>
                  <w:rFonts w:ascii="Times New Roman" w:cs="Times New Roman" w:eastAsia="Times New Roman" w:hAnsi="Times New Roman"/>
                  <w:sz w:val="18"/>
                  <w:szCs w:val="18"/>
                  <w:color w:val="0000FF"/>
                  <w:w w:val="94"/>
                </w:rPr>
                <w:t>2021).</w:t>
              </w:r>
            </w:hyperlink>
          </w:p>
        </w:tc>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Clinical Trial and Option Agreement by and among Vaccitech Oncology Limited, Cancer Research Technology Limited, and Cancer</w:t>
              </w:r>
            </w:hyperlink>
          </w:p>
        </w:tc>
      </w:tr>
      <w:tr>
        <w:trPr>
          <w:trHeight w:val="196"/>
        </w:trPr>
        <w:tc>
          <w:tcPr>
            <w:tcW w:w="1420" w:type="dxa"/>
            <w:vAlign w:val="bottom"/>
          </w:tcPr>
          <w:p>
            <w:pPr>
              <w:spacing w:after="0"/>
              <w:rPr>
                <w:sz w:val="17"/>
                <w:szCs w:val="17"/>
                <w:color w:val="auto"/>
              </w:rPr>
            </w:pPr>
          </w:p>
        </w:tc>
        <w:tc>
          <w:tcPr>
            <w:tcW w:w="96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Research UK, dated as of December 16, 2019 (Incorporated by reference to Exhibit 10.8 to our Registration Statement on Form S-</w:t>
              </w:r>
            </w:hyperlink>
          </w:p>
        </w:tc>
      </w:tr>
      <w:tr>
        <w:trPr>
          <w:trHeight w:val="196"/>
        </w:trPr>
        <w:tc>
          <w:tcPr>
            <w:tcW w:w="1420" w:type="dxa"/>
            <w:vAlign w:val="bottom"/>
          </w:tcPr>
          <w:p>
            <w:pPr>
              <w:spacing w:after="0"/>
              <w:rPr>
                <w:sz w:val="17"/>
                <w:szCs w:val="17"/>
                <w:color w:val="auto"/>
              </w:rPr>
            </w:pPr>
          </w:p>
        </w:tc>
        <w:tc>
          <w:tcPr>
            <w:tcW w:w="37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1/A (File No. 333-255158) filed on April 27, 2021).</w:t>
              </w:r>
            </w:hyperlink>
          </w:p>
        </w:tc>
        <w:tc>
          <w:tcPr>
            <w:tcW w:w="5880" w:type="dxa"/>
            <w:vAlign w:val="bottom"/>
            <w:gridSpan w:val="7"/>
          </w:tcPr>
          <w:p>
            <w:pPr>
              <w:spacing w:after="0"/>
              <w:rPr>
                <w:sz w:val="17"/>
                <w:szCs w:val="17"/>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Form of Deed of Indemnity between the Registrant and each of its directors and officers (Incorporated by reference to Exhibit 10.9 to</w:t>
              </w:r>
            </w:hyperlink>
          </w:p>
        </w:tc>
      </w:tr>
      <w:tr>
        <w:trPr>
          <w:trHeight w:val="196"/>
        </w:trPr>
        <w:tc>
          <w:tcPr>
            <w:tcW w:w="1420" w:type="dxa"/>
            <w:vAlign w:val="bottom"/>
          </w:tcPr>
          <w:p>
            <w:pPr>
              <w:spacing w:after="0"/>
              <w:rPr>
                <w:sz w:val="17"/>
                <w:szCs w:val="17"/>
                <w:color w:val="auto"/>
              </w:rPr>
            </w:pPr>
          </w:p>
        </w:tc>
        <w:tc>
          <w:tcPr>
            <w:tcW w:w="9620" w:type="dxa"/>
            <w:vAlign w:val="bottom"/>
            <w:gridSpan w:val="11"/>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our Registration Statement on Form S-1/A (File No. 333-255158) filed on April 27, 2021).</w:t>
              </w:r>
            </w:hyperlink>
          </w:p>
        </w:tc>
      </w:tr>
      <w:tr>
        <w:trPr>
          <w:trHeight w:val="20"/>
        </w:trPr>
        <w:tc>
          <w:tcPr>
            <w:tcW w:w="142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Employment Agreement between the Registrant and William Enright (Incorporated by reference to Exhibit 10.10 to our</w:t>
              </w:r>
            </w:hyperlink>
          </w:p>
        </w:tc>
      </w:tr>
      <w:tr>
        <w:trPr>
          <w:trHeight w:val="196"/>
        </w:trPr>
        <w:tc>
          <w:tcPr>
            <w:tcW w:w="1420" w:type="dxa"/>
            <w:vAlign w:val="bottom"/>
          </w:tcPr>
          <w:p>
            <w:pPr>
              <w:spacing w:after="0"/>
              <w:rPr>
                <w:sz w:val="17"/>
                <w:szCs w:val="17"/>
                <w:color w:val="auto"/>
              </w:rPr>
            </w:pPr>
          </w:p>
        </w:tc>
        <w:tc>
          <w:tcPr>
            <w:tcW w:w="9620" w:type="dxa"/>
            <w:vAlign w:val="bottom"/>
            <w:gridSpan w:val="11"/>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Registration Statement on Form S-1/A (File No. 333-255158) filed on April 27, 2021).</w:t>
              </w:r>
            </w:hyperlink>
          </w:p>
        </w:tc>
      </w:tr>
      <w:tr>
        <w:trPr>
          <w:trHeight w:val="20"/>
        </w:trPr>
        <w:tc>
          <w:tcPr>
            <w:tcW w:w="142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Employment Agreement between the Registrant and Graham Griffiths (Incorporated by reference to Exhibit 10.11 to our</w:t>
              </w:r>
            </w:hyperlink>
          </w:p>
        </w:tc>
      </w:tr>
      <w:tr>
        <w:trPr>
          <w:trHeight w:val="196"/>
        </w:trPr>
        <w:tc>
          <w:tcPr>
            <w:tcW w:w="1420" w:type="dxa"/>
            <w:vAlign w:val="bottom"/>
          </w:tcPr>
          <w:p>
            <w:pPr>
              <w:spacing w:after="0"/>
              <w:rPr>
                <w:sz w:val="17"/>
                <w:szCs w:val="17"/>
                <w:color w:val="auto"/>
              </w:rPr>
            </w:pPr>
          </w:p>
        </w:tc>
        <w:tc>
          <w:tcPr>
            <w:tcW w:w="9620" w:type="dxa"/>
            <w:vAlign w:val="bottom"/>
            <w:gridSpan w:val="11"/>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Registration Statement on Form S-1/A (File No. 333-255158) filed on April 27, 2021).</w:t>
              </w:r>
            </w:hyperlink>
          </w:p>
        </w:tc>
      </w:tr>
      <w:tr>
        <w:trPr>
          <w:trHeight w:val="20"/>
        </w:trPr>
        <w:tc>
          <w:tcPr>
            <w:tcW w:w="142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Registration Rights Agreement, dated March 28, 2022, by and among the Registrant and Benjamin Eisler, as the Securityholder</w:t>
              </w:r>
            </w:hyperlink>
          </w:p>
        </w:tc>
      </w:tr>
      <w:tr>
        <w:trPr>
          <w:trHeight w:val="196"/>
        </w:trPr>
        <w:tc>
          <w:tcPr>
            <w:tcW w:w="1420" w:type="dxa"/>
            <w:vAlign w:val="bottom"/>
          </w:tcPr>
          <w:p>
            <w:pPr>
              <w:spacing w:after="0"/>
              <w:rPr>
                <w:sz w:val="17"/>
                <w:szCs w:val="17"/>
                <w:color w:val="auto"/>
              </w:rPr>
            </w:pPr>
          </w:p>
        </w:tc>
        <w:tc>
          <w:tcPr>
            <w:tcW w:w="96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Agent (Incorporated by reference to Exhibit 10.1 to our Quarterly Report on Form 10-Q (File No. 001-40367) filed on May 11,</w:t>
              </w:r>
            </w:hyperlink>
          </w:p>
        </w:tc>
      </w:tr>
      <w:tr>
        <w:trPr>
          <w:trHeight w:val="196"/>
        </w:trPr>
        <w:tc>
          <w:tcPr>
            <w:tcW w:w="14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69">
              <w:r>
                <w:rPr>
                  <w:rFonts w:ascii="Times New Roman" w:cs="Times New Roman" w:eastAsia="Times New Roman" w:hAnsi="Times New Roman"/>
                  <w:sz w:val="18"/>
                  <w:szCs w:val="18"/>
                  <w:color w:val="0000FF"/>
                  <w:w w:val="94"/>
                </w:rPr>
                <w:t>2022).</w:t>
              </w:r>
            </w:hyperlink>
          </w:p>
        </w:tc>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Service Agreement with Gemma Brown, effective September 15, 2022 (Incorporated by reference to Exhibit 10.1 to our Quarterly</w:t>
              </w:r>
            </w:hyperlink>
          </w:p>
        </w:tc>
      </w:tr>
      <w:tr>
        <w:trPr>
          <w:trHeight w:val="196"/>
        </w:trPr>
        <w:tc>
          <w:tcPr>
            <w:tcW w:w="1420" w:type="dxa"/>
            <w:vAlign w:val="bottom"/>
          </w:tcPr>
          <w:p>
            <w:pPr>
              <w:spacing w:after="0"/>
              <w:rPr>
                <w:sz w:val="17"/>
                <w:szCs w:val="17"/>
                <w:color w:val="auto"/>
              </w:rPr>
            </w:pPr>
          </w:p>
        </w:tc>
        <w:tc>
          <w:tcPr>
            <w:tcW w:w="53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Report on Form 10-Q (File No. 001-40367) filed on November 10, 2022).</w:t>
              </w:r>
            </w:hyperlink>
          </w:p>
        </w:tc>
        <w:tc>
          <w:tcPr>
            <w:tcW w:w="4300" w:type="dxa"/>
            <w:vAlign w:val="bottom"/>
            <w:gridSpan w:val="6"/>
          </w:tcPr>
          <w:p>
            <w:pPr>
              <w:spacing w:after="0"/>
              <w:rPr>
                <w:sz w:val="17"/>
                <w:szCs w:val="17"/>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Employment Agreement by and between Vaccitech Switzerland GmbH and Nadège Pelletier, effective February 1, 2023</w:t>
              </w:r>
            </w:hyperlink>
          </w:p>
        </w:tc>
      </w:tr>
      <w:tr>
        <w:trPr>
          <w:trHeight w:val="196"/>
        </w:trPr>
        <w:tc>
          <w:tcPr>
            <w:tcW w:w="1420" w:type="dxa"/>
            <w:vAlign w:val="bottom"/>
          </w:tcPr>
          <w:p>
            <w:pPr>
              <w:spacing w:after="0"/>
              <w:rPr>
                <w:sz w:val="17"/>
                <w:szCs w:val="17"/>
                <w:color w:val="auto"/>
              </w:rPr>
            </w:pPr>
          </w:p>
        </w:tc>
        <w:tc>
          <w:tcPr>
            <w:tcW w:w="91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(Incorporated by reference to Exhibit 10.1 to our Quarterly Report on From 10-Q (File No. 001-40367) filed on May 12, 2023).</w:t>
              </w:r>
            </w:hyperlink>
          </w:p>
        </w:tc>
        <w:tc>
          <w:tcPr>
            <w:tcW w:w="440" w:type="dxa"/>
            <w:vAlign w:val="bottom"/>
          </w:tcPr>
          <w:p>
            <w:pPr>
              <w:spacing w:after="0"/>
              <w:rPr>
                <w:sz w:val="17"/>
                <w:szCs w:val="17"/>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Indemnification Agreement between the Registrant and each of its directors and officers (Incorporated by reference to</w:t>
              </w:r>
            </w:hyperlink>
          </w:p>
        </w:tc>
      </w:tr>
      <w:tr>
        <w:trPr>
          <w:trHeight w:val="196"/>
        </w:trPr>
        <w:tc>
          <w:tcPr>
            <w:tcW w:w="1420" w:type="dxa"/>
            <w:vAlign w:val="bottom"/>
          </w:tcPr>
          <w:p>
            <w:pPr>
              <w:spacing w:after="0"/>
              <w:rPr>
                <w:sz w:val="17"/>
                <w:szCs w:val="17"/>
                <w:color w:val="auto"/>
              </w:rPr>
            </w:pPr>
          </w:p>
        </w:tc>
        <w:tc>
          <w:tcPr>
            <w:tcW w:w="74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Exhibit 10.2 to our Quarterly Report on Form 10-Q (File No. 001-40367) filed on November 10, 2022).</w:t>
              </w:r>
            </w:hyperlink>
          </w:p>
        </w:tc>
        <w:tc>
          <w:tcPr>
            <w:tcW w:w="2160" w:type="dxa"/>
            <w:vAlign w:val="bottom"/>
            <w:gridSpan w:val="2"/>
          </w:tcPr>
          <w:p>
            <w:pPr>
              <w:spacing w:after="0"/>
              <w:rPr>
                <w:sz w:val="17"/>
                <w:szCs w:val="17"/>
                <w:color w:val="auto"/>
              </w:rPr>
            </w:pPr>
          </w:p>
        </w:tc>
      </w:tr>
      <w:tr>
        <w:trPr>
          <w:trHeight w:val="52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Lease Agreement dated September 3, 2021 by and among The Harwell Science and Innovation Campus General Partner Limited,</w:t>
              </w:r>
            </w:hyperlink>
          </w:p>
        </w:tc>
      </w:tr>
      <w:tr>
        <w:trPr>
          <w:trHeight w:val="196"/>
        </w:trPr>
        <w:tc>
          <w:tcPr>
            <w:tcW w:w="1420" w:type="dxa"/>
            <w:vAlign w:val="bottom"/>
          </w:tcPr>
          <w:p>
            <w:pPr>
              <w:spacing w:after="0"/>
              <w:rPr>
                <w:sz w:val="17"/>
                <w:szCs w:val="17"/>
                <w:color w:val="auto"/>
              </w:rPr>
            </w:pPr>
          </w:p>
        </w:tc>
        <w:tc>
          <w:tcPr>
            <w:tcW w:w="96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The Harwell Science and Innovation Campus Nominee Limited, The Harwell Science and Innovation Campus Limited Partnership</w:t>
              </w:r>
            </w:hyperlink>
          </w:p>
        </w:tc>
      </w:tr>
      <w:tr>
        <w:trPr>
          <w:trHeight w:val="196"/>
        </w:trPr>
        <w:tc>
          <w:tcPr>
            <w:tcW w:w="1420" w:type="dxa"/>
            <w:vAlign w:val="bottom"/>
          </w:tcPr>
          <w:p>
            <w:pPr>
              <w:spacing w:after="0"/>
              <w:rPr>
                <w:sz w:val="17"/>
                <w:szCs w:val="17"/>
                <w:color w:val="auto"/>
              </w:rPr>
            </w:pPr>
          </w:p>
        </w:tc>
        <w:tc>
          <w:tcPr>
            <w:tcW w:w="96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and Barinthus Biotherapeutics (UK) Limited (Incorporated by reference to Exhibit 10.1 to our Quarterly Report on Form 10-Q (File</w:t>
              </w:r>
            </w:hyperlink>
          </w:p>
        </w:tc>
      </w:tr>
      <w:tr>
        <w:trPr>
          <w:trHeight w:val="196"/>
        </w:trPr>
        <w:tc>
          <w:tcPr>
            <w:tcW w:w="1420" w:type="dxa"/>
            <w:vAlign w:val="bottom"/>
          </w:tcPr>
          <w:p>
            <w:pPr>
              <w:spacing w:after="0"/>
              <w:rPr>
                <w:sz w:val="17"/>
                <w:szCs w:val="17"/>
                <w:color w:val="auto"/>
              </w:rPr>
            </w:pPr>
          </w:p>
        </w:tc>
        <w:tc>
          <w:tcPr>
            <w:tcW w:w="9620" w:type="dxa"/>
            <w:vAlign w:val="bottom"/>
            <w:gridSpan w:val="11"/>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No. 001-40367) filed on November 12, 2021).</w:t>
              </w:r>
            </w:hyperlink>
          </w:p>
        </w:tc>
      </w:tr>
      <w:tr>
        <w:trPr>
          <w:trHeight w:val="20"/>
        </w:trPr>
        <w:tc>
          <w:tcPr>
            <w:tcW w:w="1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10.15†</w:t>
            </w:r>
          </w:p>
        </w:tc>
        <w:tc>
          <w:tcPr>
            <w:tcW w:w="96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Funding Agreement by and between the Registrant, Coalition for Epidemic Preparedness Innovations and the University of Oxford,</w:t>
              </w:r>
            </w:hyperlink>
          </w:p>
        </w:tc>
      </w:tr>
      <w:tr>
        <w:trPr>
          <w:trHeight w:val="196"/>
        </w:trPr>
        <w:tc>
          <w:tcPr>
            <w:tcW w:w="1580" w:type="dxa"/>
            <w:vAlign w:val="bottom"/>
          </w:tcPr>
          <w:p>
            <w:pPr>
              <w:spacing w:after="0"/>
              <w:rPr>
                <w:sz w:val="17"/>
                <w:szCs w:val="17"/>
                <w:color w:val="auto"/>
              </w:rPr>
            </w:pPr>
          </w:p>
        </w:tc>
        <w:tc>
          <w:tcPr>
            <w:tcW w:w="9620" w:type="dxa"/>
            <w:vAlign w:val="bottom"/>
            <w:gridSpan w:val="12"/>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dated as of December 20, 2023</w:t>
              </w:r>
              <w:r>
                <w:rPr>
                  <w:rFonts w:ascii="Times New Roman" w:cs="Times New Roman" w:eastAsia="Times New Roman" w:hAnsi="Times New Roman"/>
                  <w:sz w:val="18"/>
                  <w:szCs w:val="18"/>
                  <w:color w:val="000000"/>
                </w:rPr>
                <w:t>.</w:t>
              </w:r>
            </w:hyperlink>
          </w:p>
        </w:tc>
      </w:tr>
      <w:tr>
        <w:trPr>
          <w:trHeight w:val="20"/>
        </w:trPr>
        <w:tc>
          <w:tcPr>
            <w:tcW w:w="158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520"/>
        </w:trPr>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10.16#</w:t>
            </w:r>
          </w:p>
        </w:tc>
        <w:tc>
          <w:tcPr>
            <w:tcW w:w="96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Service Agreement with Leon Hooftman, effective February 21, 2024 (Incorporated by reference to Exhibit 10.1 to our Quarterly</w:t>
              </w:r>
            </w:hyperlink>
          </w:p>
        </w:tc>
      </w:tr>
      <w:tr>
        <w:trPr>
          <w:trHeight w:val="196"/>
        </w:trPr>
        <w:tc>
          <w:tcPr>
            <w:tcW w:w="1580" w:type="dxa"/>
            <w:vAlign w:val="bottom"/>
          </w:tcPr>
          <w:p>
            <w:pPr>
              <w:spacing w:after="0"/>
              <w:rPr>
                <w:sz w:val="17"/>
                <w:szCs w:val="17"/>
                <w:color w:val="auto"/>
              </w:rPr>
            </w:pPr>
          </w:p>
        </w:tc>
        <w:tc>
          <w:tcPr>
            <w:tcW w:w="9620" w:type="dxa"/>
            <w:vAlign w:val="bottom"/>
            <w:gridSpan w:val="12"/>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Report on Form 10-Q (File No. 001-40367) filed on November 6, 2024)</w:t>
              </w:r>
              <w:r>
                <w:rPr>
                  <w:rFonts w:ascii="Times New Roman" w:cs="Times New Roman" w:eastAsia="Times New Roman" w:hAnsi="Times New Roman"/>
                  <w:sz w:val="18"/>
                  <w:szCs w:val="18"/>
                  <w:color w:val="000000"/>
                </w:rPr>
                <w:t>.</w:t>
              </w:r>
            </w:hyperlink>
          </w:p>
        </w:tc>
      </w:tr>
      <w:tr>
        <w:trPr>
          <w:trHeight w:val="520"/>
        </w:trPr>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10.17#*</w:t>
            </w:r>
          </w:p>
        </w:tc>
        <w:tc>
          <w:tcPr>
            <w:tcW w:w="51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Service Agreement with Geoffrey Lynn, effective December 1, 2024</w:t>
            </w:r>
            <w:r>
              <w:rPr>
                <w:rFonts w:ascii="Times New Roman" w:cs="Times New Roman" w:eastAsia="Times New Roman" w:hAnsi="Times New Roman"/>
                <w:sz w:val="18"/>
                <w:szCs w:val="18"/>
                <w:color w:val="000000"/>
              </w:rPr>
              <w:t>.</w:t>
            </w:r>
          </w:p>
        </w:tc>
        <w:tc>
          <w:tcPr>
            <w:tcW w:w="4440" w:type="dxa"/>
            <w:vAlign w:val="bottom"/>
            <w:gridSpan w:val="3"/>
          </w:tcPr>
          <w:p>
            <w:pPr>
              <w:spacing w:after="0"/>
              <w:rPr>
                <w:sz w:val="24"/>
                <w:szCs w:val="24"/>
                <w:color w:val="auto"/>
              </w:rPr>
            </w:pPr>
          </w:p>
        </w:tc>
      </w:tr>
      <w:tr>
        <w:trPr>
          <w:trHeight w:val="20"/>
        </w:trPr>
        <w:tc>
          <w:tcPr>
            <w:tcW w:w="158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520"/>
        </w:trPr>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10.18#*</w:t>
            </w: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Termination Agreement with Nadege Pelletier, effective January 27, 2025.</w:t>
            </w:r>
          </w:p>
        </w:tc>
      </w:tr>
      <w:tr>
        <w:trPr>
          <w:trHeight w:val="520"/>
        </w:trPr>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19.1*</w:t>
            </w:r>
          </w:p>
        </w:tc>
        <w:tc>
          <w:tcPr>
            <w:tcW w:w="51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Amended and Restated Insider Trading Policy, effective June 21, 2023.</w:t>
            </w:r>
          </w:p>
        </w:tc>
        <w:tc>
          <w:tcPr>
            <w:tcW w:w="220" w:type="dxa"/>
            <w:vAlign w:val="bottom"/>
            <w:tcBorders>
              <w:top w:val="single" w:sz="8" w:color="0000FF"/>
            </w:tcBorders>
            <w:gridSpan w:val="2"/>
          </w:tcPr>
          <w:p>
            <w:pPr>
              <w:spacing w:after="0"/>
              <w:rPr>
                <w:sz w:val="24"/>
                <w:szCs w:val="24"/>
                <w:color w:val="auto"/>
              </w:rPr>
            </w:pPr>
          </w:p>
        </w:tc>
        <w:tc>
          <w:tcPr>
            <w:tcW w:w="4280" w:type="dxa"/>
            <w:vAlign w:val="bottom"/>
            <w:gridSpan w:val="2"/>
          </w:tcPr>
          <w:p>
            <w:pPr>
              <w:spacing w:after="0"/>
              <w:rPr>
                <w:sz w:val="24"/>
                <w:szCs w:val="24"/>
                <w:color w:val="auto"/>
              </w:rPr>
            </w:pPr>
          </w:p>
        </w:tc>
      </w:tr>
      <w:tr>
        <w:trPr>
          <w:trHeight w:val="520"/>
        </w:trPr>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21.1*</w:t>
            </w: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20"/>
        </w:trPr>
        <w:tc>
          <w:tcPr>
            <w:tcW w:w="158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520"/>
        </w:trPr>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23.1*</w:t>
            </w: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r>
      <w:tr>
        <w:trPr>
          <w:trHeight w:val="520"/>
        </w:trPr>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24.1*</w:t>
            </w:r>
          </w:p>
        </w:tc>
        <w:tc>
          <w:tcPr>
            <w:tcW w:w="50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signature page to this Annual Report).</w:t>
            </w:r>
          </w:p>
        </w:tc>
        <w:tc>
          <w:tcPr>
            <w:tcW w:w="1320" w:type="dxa"/>
            <w:vAlign w:val="bottom"/>
            <w:tcBorders>
              <w:top w:val="single" w:sz="8" w:color="0000FF"/>
            </w:tcBorders>
            <w:gridSpan w:val="4"/>
          </w:tcPr>
          <w:p>
            <w:pPr>
              <w:spacing w:after="0"/>
              <w:rPr>
                <w:sz w:val="24"/>
                <w:szCs w:val="24"/>
                <w:color w:val="auto"/>
              </w:rPr>
            </w:pPr>
          </w:p>
        </w:tc>
        <w:tc>
          <w:tcPr>
            <w:tcW w:w="3220" w:type="dxa"/>
            <w:vAlign w:val="bottom"/>
          </w:tcPr>
          <w:p>
            <w:pPr>
              <w:spacing w:after="0"/>
              <w:rPr>
                <w:sz w:val="24"/>
                <w:szCs w:val="24"/>
                <w:color w:val="auto"/>
              </w:rPr>
            </w:pPr>
          </w:p>
        </w:tc>
      </w:tr>
      <w:tr>
        <w:trPr>
          <w:trHeight w:val="520"/>
        </w:trPr>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31.1*</w:t>
            </w:r>
          </w:p>
        </w:tc>
        <w:tc>
          <w:tcPr>
            <w:tcW w:w="96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r>
      <w:tr>
        <w:trPr>
          <w:trHeight w:val="196"/>
        </w:trPr>
        <w:tc>
          <w:tcPr>
            <w:tcW w:w="1580" w:type="dxa"/>
            <w:vAlign w:val="bottom"/>
          </w:tcPr>
          <w:p>
            <w:pPr>
              <w:spacing w:after="0"/>
              <w:rPr>
                <w:sz w:val="17"/>
                <w:szCs w:val="17"/>
                <w:color w:val="auto"/>
              </w:rPr>
            </w:pPr>
          </w:p>
        </w:tc>
        <w:tc>
          <w:tcPr>
            <w:tcW w:w="49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40" w:type="dxa"/>
            <w:vAlign w:val="bottom"/>
            <w:gridSpan w:val="6"/>
          </w:tcPr>
          <w:p>
            <w:pPr>
              <w:spacing w:after="0"/>
              <w:rPr>
                <w:sz w:val="17"/>
                <w:szCs w:val="17"/>
                <w:color w:val="auto"/>
              </w:rPr>
            </w:pPr>
          </w:p>
        </w:tc>
      </w:tr>
      <w:tr>
        <w:trPr>
          <w:trHeight w:val="520"/>
        </w:trPr>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96"/>
        </w:trPr>
        <w:tc>
          <w:tcPr>
            <w:tcW w:w="1580" w:type="dxa"/>
            <w:vAlign w:val="bottom"/>
          </w:tcPr>
          <w:p>
            <w:pPr>
              <w:spacing w:after="0"/>
              <w:rPr>
                <w:sz w:val="17"/>
                <w:szCs w:val="17"/>
                <w:color w:val="auto"/>
              </w:rPr>
            </w:pPr>
          </w:p>
        </w:tc>
        <w:tc>
          <w:tcPr>
            <w:tcW w:w="49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40" w:type="dxa"/>
            <w:vAlign w:val="bottom"/>
            <w:gridSpan w:val="6"/>
          </w:tcPr>
          <w:p>
            <w:pPr>
              <w:spacing w:after="0"/>
              <w:rPr>
                <w:sz w:val="17"/>
                <w:szCs w:val="17"/>
                <w:color w:val="auto"/>
              </w:rPr>
            </w:pPr>
          </w:p>
        </w:tc>
      </w:tr>
      <w:tr>
        <w:trPr>
          <w:trHeight w:val="520"/>
        </w:trPr>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32.1*+</w:t>
            </w:r>
          </w:p>
        </w:tc>
        <w:tc>
          <w:tcPr>
            <w:tcW w:w="96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w:t>
            </w:r>
          </w:p>
        </w:tc>
      </w:tr>
      <w:tr>
        <w:trPr>
          <w:trHeight w:val="196"/>
        </w:trPr>
        <w:tc>
          <w:tcPr>
            <w:tcW w:w="1580" w:type="dxa"/>
            <w:vAlign w:val="bottom"/>
          </w:tcPr>
          <w:p>
            <w:pPr>
              <w:spacing w:after="0"/>
              <w:rPr>
                <w:sz w:val="17"/>
                <w:szCs w:val="17"/>
                <w:color w:val="auto"/>
              </w:rPr>
            </w:pPr>
          </w:p>
        </w:tc>
        <w:tc>
          <w:tcPr>
            <w:tcW w:w="36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906 of the Sarbanes-Oxley Act of 2002.</w:t>
            </w:r>
          </w:p>
        </w:tc>
        <w:tc>
          <w:tcPr>
            <w:tcW w:w="5980" w:type="dxa"/>
            <w:vAlign w:val="bottom"/>
            <w:gridSpan w:val="9"/>
          </w:tcPr>
          <w:p>
            <w:pPr>
              <w:spacing w:after="0"/>
              <w:rPr>
                <w:sz w:val="17"/>
                <w:szCs w:val="17"/>
                <w:color w:val="auto"/>
              </w:rPr>
            </w:pPr>
          </w:p>
        </w:tc>
      </w:tr>
      <w:tr>
        <w:trPr>
          <w:trHeight w:val="520"/>
        </w:trPr>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97.1*</w:t>
            </w:r>
          </w:p>
        </w:tc>
        <w:tc>
          <w:tcPr>
            <w:tcW w:w="4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Amended and Restated Compensation Recovery Policy.</w:t>
            </w:r>
          </w:p>
        </w:tc>
        <w:tc>
          <w:tcPr>
            <w:tcW w:w="5600" w:type="dxa"/>
            <w:vAlign w:val="bottom"/>
            <w:gridSpan w:val="8"/>
          </w:tcPr>
          <w:p>
            <w:pPr>
              <w:spacing w:after="0"/>
              <w:rPr>
                <w:sz w:val="24"/>
                <w:szCs w:val="24"/>
                <w:color w:val="auto"/>
              </w:rPr>
            </w:pPr>
          </w:p>
        </w:tc>
      </w:tr>
      <w:tr>
        <w:trPr>
          <w:trHeight w:val="561"/>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4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iXBRL document).</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6" w:lineRule="exact"/>
        <w:rPr>
          <w:sz w:val="20"/>
          <w:szCs w:val="20"/>
          <w:color w:val="auto"/>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hanging="332"/>
        <w:spacing w:after="0" w:line="261" w:lineRule="auto"/>
        <w:tabs>
          <w:tab w:leader="none" w:pos="3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they are not material and the Registrant customarily and actually treats that information as private or confidential.</w:t>
      </w: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a management contract or any compensatory plan, contract or arrangement.</w:t>
      </w:r>
    </w:p>
    <w:p>
      <w:pPr>
        <w:spacing w:after="0" w:line="9" w:lineRule="exact"/>
        <w:rPr>
          <w:sz w:val="20"/>
          <w:szCs w:val="20"/>
          <w:color w:val="auto"/>
        </w:rPr>
      </w:pPr>
    </w:p>
    <w:p>
      <w:pPr>
        <w:ind w:left="340" w:hanging="332"/>
        <w:spacing w:after="0" w:line="250" w:lineRule="auto"/>
        <w:tabs>
          <w:tab w:leader="none" w:pos="33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these agreements have been omitted pursuant to Item 601(b)(2) of Regulation S-K. The Registrant will furnish copies of any of the exhibits and schedules to the Securities and Exchange Commission upon request.</w:t>
      </w:r>
    </w:p>
    <w:p>
      <w:pPr>
        <w:spacing w:after="0" w:line="1" w:lineRule="exact"/>
        <w:rPr>
          <w:sz w:val="20"/>
          <w:szCs w:val="20"/>
          <w:color w:val="auto"/>
        </w:rPr>
      </w:pPr>
    </w:p>
    <w:p>
      <w:pPr>
        <w:ind w:left="340" w:hanging="332"/>
        <w:spacing w:after="0" w:line="245" w:lineRule="auto"/>
        <w:tabs>
          <w:tab w:leader="none" w:pos="16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Exhibit 32.1 hereto is deemed to be furnished with this Annual Report and will not be deemed to be “filed” for purposes of Section 18 of the Securities Exchange Act of 1934, as amended, except to the extent that the Registrant specifically incorporates it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March 20, 2025</w:t>
            </w:r>
          </w:p>
        </w:tc>
        <w:tc>
          <w:tcPr>
            <w:tcW w:w="43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Barinthus Biotherapeutics plc</w:t>
            </w:r>
          </w:p>
        </w:tc>
        <w:tc>
          <w:tcPr>
            <w:tcW w:w="3620" w:type="dxa"/>
            <w:vAlign w:val="bottom"/>
          </w:tcPr>
          <w:p>
            <w:pPr>
              <w:spacing w:after="0"/>
              <w:rPr>
                <w:sz w:val="20"/>
                <w:szCs w:val="20"/>
                <w:color w:val="auto"/>
              </w:rPr>
            </w:pPr>
          </w:p>
        </w:tc>
      </w:tr>
      <w:tr>
        <w:trPr>
          <w:trHeight w:val="533"/>
        </w:trPr>
        <w:tc>
          <w:tcPr>
            <w:tcW w:w="3260" w:type="dxa"/>
            <w:vAlign w:val="bottom"/>
          </w:tcPr>
          <w:p>
            <w:pPr>
              <w:spacing w:after="0"/>
              <w:rPr>
                <w:sz w:val="24"/>
                <w:szCs w:val="24"/>
                <w:color w:val="auto"/>
              </w:rPr>
            </w:pPr>
          </w:p>
        </w:tc>
        <w:tc>
          <w:tcPr>
            <w:tcW w:w="43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Pr>
          <w:p>
            <w:pPr>
              <w:jc w:val="center"/>
              <w:ind w:right="1670"/>
              <w:spacing w:after="0"/>
              <w:rPr>
                <w:sz w:val="20"/>
                <w:szCs w:val="20"/>
                <w:color w:val="auto"/>
              </w:rPr>
            </w:pPr>
            <w:r>
              <w:rPr>
                <w:rFonts w:ascii="Times New Roman" w:cs="Times New Roman" w:eastAsia="Times New Roman" w:hAnsi="Times New Roman"/>
                <w:sz w:val="18"/>
                <w:szCs w:val="18"/>
                <w:color w:val="auto"/>
                <w:w w:val="99"/>
              </w:rPr>
              <w:t>/s/ William Enright</w:t>
            </w:r>
          </w:p>
        </w:tc>
      </w:tr>
      <w:tr>
        <w:trPr>
          <w:trHeight w:val="338"/>
        </w:trPr>
        <w:tc>
          <w:tcPr>
            <w:tcW w:w="3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3620" w:type="dxa"/>
            <w:vAlign w:val="bottom"/>
            <w:tcBorders>
              <w:top w:val="single" w:sz="8" w:color="auto"/>
            </w:tcBorders>
          </w:tcPr>
          <w:p>
            <w:pPr>
              <w:jc w:val="center"/>
              <w:ind w:right="1670"/>
              <w:spacing w:after="0"/>
              <w:rPr>
                <w:sz w:val="20"/>
                <w:szCs w:val="20"/>
                <w:color w:val="auto"/>
              </w:rPr>
            </w:pPr>
            <w:r>
              <w:rPr>
                <w:rFonts w:ascii="Times New Roman" w:cs="Times New Roman" w:eastAsia="Times New Roman" w:hAnsi="Times New Roman"/>
                <w:sz w:val="18"/>
                <w:szCs w:val="18"/>
                <w:color w:val="auto"/>
              </w:rPr>
              <w:t>William Enright</w:t>
            </w:r>
          </w:p>
        </w:tc>
      </w:tr>
      <w:tr>
        <w:trPr>
          <w:trHeight w:val="257"/>
        </w:trPr>
        <w:tc>
          <w:tcPr>
            <w:tcW w:w="32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6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William Enright and Gemma Brown, and each of them, as his or her true and lawful attorney-in-fact and agent,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may lawfully do or cause to be done by virtue thereof.</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Signature</w:t>
            </w:r>
          </w:p>
        </w:tc>
        <w:tc>
          <w:tcPr>
            <w:tcW w:w="80" w:type="dxa"/>
            <w:vAlign w:val="bottom"/>
          </w:tcPr>
          <w:p>
            <w:pPr>
              <w:spacing w:after="0"/>
              <w:rPr>
                <w:sz w:val="20"/>
                <w:szCs w:val="20"/>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100" w:type="dxa"/>
            <w:vAlign w:val="bottom"/>
          </w:tcPr>
          <w:p>
            <w:pPr>
              <w:spacing w:after="0"/>
              <w:rPr>
                <w:sz w:val="20"/>
                <w:szCs w:val="20"/>
                <w:color w:val="auto"/>
              </w:rPr>
            </w:pPr>
          </w:p>
        </w:tc>
        <w:tc>
          <w:tcPr>
            <w:tcW w:w="25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Date</w:t>
            </w:r>
          </w:p>
        </w:tc>
      </w:tr>
      <w:tr>
        <w:trPr>
          <w:trHeight w:val="507"/>
        </w:trPr>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William Enright</w:t>
            </w:r>
          </w:p>
        </w:tc>
        <w:tc>
          <w:tcPr>
            <w:tcW w:w="80" w:type="dxa"/>
            <w:vAlign w:val="bottom"/>
          </w:tcPr>
          <w:p>
            <w:pPr>
              <w:spacing w:after="0"/>
              <w:rPr>
                <w:sz w:val="24"/>
                <w:szCs w:val="24"/>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43"/>
        </w:trPr>
        <w:tc>
          <w:tcPr>
            <w:tcW w:w="2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Enright</w:t>
            </w:r>
          </w:p>
        </w:tc>
        <w:tc>
          <w:tcPr>
            <w:tcW w:w="80" w:type="dxa"/>
            <w:vAlign w:val="bottom"/>
          </w:tcPr>
          <w:p>
            <w:pPr>
              <w:spacing w:after="0"/>
              <w:rPr>
                <w:sz w:val="21"/>
                <w:szCs w:val="21"/>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00" w:type="dxa"/>
            <w:vAlign w:val="bottom"/>
          </w:tcPr>
          <w:p>
            <w:pPr>
              <w:spacing w:after="0"/>
              <w:rPr>
                <w:sz w:val="21"/>
                <w:szCs w:val="21"/>
                <w:color w:val="auto"/>
              </w:rPr>
            </w:pPr>
          </w:p>
        </w:tc>
      </w:tr>
      <w:tr>
        <w:trPr>
          <w:trHeight w:val="533"/>
        </w:trPr>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Gemma Brown</w:t>
            </w:r>
          </w:p>
        </w:tc>
        <w:tc>
          <w:tcPr>
            <w:tcW w:w="80" w:type="dxa"/>
            <w:vAlign w:val="bottom"/>
          </w:tcPr>
          <w:p>
            <w:pPr>
              <w:spacing w:after="0"/>
              <w:rPr>
                <w:sz w:val="24"/>
                <w:szCs w:val="24"/>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43"/>
        </w:trPr>
        <w:tc>
          <w:tcPr>
            <w:tcW w:w="2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Gemma Brown</w:t>
            </w:r>
          </w:p>
        </w:tc>
        <w:tc>
          <w:tcPr>
            <w:tcW w:w="80" w:type="dxa"/>
            <w:vAlign w:val="bottom"/>
          </w:tcPr>
          <w:p>
            <w:pPr>
              <w:spacing w:after="0"/>
              <w:rPr>
                <w:sz w:val="21"/>
                <w:szCs w:val="21"/>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2500" w:type="dxa"/>
            <w:vAlign w:val="bottom"/>
          </w:tcPr>
          <w:p>
            <w:pPr>
              <w:spacing w:after="0"/>
              <w:rPr>
                <w:sz w:val="21"/>
                <w:szCs w:val="21"/>
                <w:color w:val="auto"/>
              </w:rPr>
            </w:pPr>
          </w:p>
        </w:tc>
      </w:tr>
      <w:tr>
        <w:trPr>
          <w:trHeight w:val="533"/>
        </w:trPr>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Robin Wright</w:t>
            </w:r>
          </w:p>
        </w:tc>
        <w:tc>
          <w:tcPr>
            <w:tcW w:w="80" w:type="dxa"/>
            <w:vAlign w:val="bottom"/>
          </w:tcPr>
          <w:p>
            <w:pPr>
              <w:spacing w:after="0"/>
              <w:rPr>
                <w:sz w:val="24"/>
                <w:szCs w:val="24"/>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43"/>
        </w:trPr>
        <w:tc>
          <w:tcPr>
            <w:tcW w:w="2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Robin Wright</w:t>
            </w:r>
          </w:p>
        </w:tc>
        <w:tc>
          <w:tcPr>
            <w:tcW w:w="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533"/>
        </w:trPr>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Alex Hammacher</w:t>
            </w:r>
          </w:p>
        </w:tc>
        <w:tc>
          <w:tcPr>
            <w:tcW w:w="8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43"/>
        </w:trPr>
        <w:tc>
          <w:tcPr>
            <w:tcW w:w="2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 Hammacher</w:t>
            </w:r>
          </w:p>
        </w:tc>
        <w:tc>
          <w:tcPr>
            <w:tcW w:w="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533"/>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Pierre A. Morgon</w:t>
            </w:r>
          </w:p>
        </w:tc>
        <w:tc>
          <w:tcPr>
            <w:tcW w:w="8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43"/>
        </w:trPr>
        <w:tc>
          <w:tcPr>
            <w:tcW w:w="2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Pierre A. Morgon</w:t>
            </w:r>
          </w:p>
        </w:tc>
        <w:tc>
          <w:tcPr>
            <w:tcW w:w="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533"/>
        </w:trPr>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Anne M. Phillips</w:t>
            </w:r>
          </w:p>
        </w:tc>
        <w:tc>
          <w:tcPr>
            <w:tcW w:w="8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43"/>
        </w:trPr>
        <w:tc>
          <w:tcPr>
            <w:tcW w:w="2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M. Phillips</w:t>
            </w:r>
          </w:p>
        </w:tc>
        <w:tc>
          <w:tcPr>
            <w:tcW w:w="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533"/>
        </w:trPr>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Karen T. Dawes</w:t>
            </w:r>
          </w:p>
        </w:tc>
        <w:tc>
          <w:tcPr>
            <w:tcW w:w="8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43"/>
        </w:trPr>
        <w:tc>
          <w:tcPr>
            <w:tcW w:w="2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T. Dawes</w:t>
            </w:r>
          </w:p>
        </w:tc>
        <w:tc>
          <w:tcPr>
            <w:tcW w:w="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533"/>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Joseph C. Scheeren</w:t>
            </w:r>
          </w:p>
        </w:tc>
        <w:tc>
          <w:tcPr>
            <w:tcW w:w="8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 2025</w:t>
            </w:r>
          </w:p>
        </w:tc>
      </w:tr>
      <w:tr>
        <w:trPr>
          <w:trHeight w:val="243"/>
        </w:trPr>
        <w:tc>
          <w:tcPr>
            <w:tcW w:w="2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C. Scheeren</w:t>
            </w:r>
          </w:p>
        </w:tc>
        <w:tc>
          <w:tcPr>
            <w:tcW w:w="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918"/>
        </w:trPr>
        <w:tc>
          <w:tcPr>
            <w:tcW w:w="2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360" w:type="dxa"/>
            <w:vAlign w:val="bottom"/>
            <w:gridSpan w:val="2"/>
          </w:tcPr>
          <w:p>
            <w:pPr>
              <w:jc w:val="right"/>
              <w:ind w:right="279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15"/>
        </w:trPr>
        <w:tc>
          <w:tcPr>
            <w:tcW w:w="2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19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 PricewaterhouseCoopers LLP</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(PCAOB ID 876)</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Balance Sheets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and Comprehensive Loss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45720</wp:posOffset>
            </wp:positionV>
            <wp:extent cx="5740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F-1</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F-2</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F-3</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F-4</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2">
            <w:col w:w="9880" w:space="720"/>
            <w:col w:w="380"/>
          </w:cols>
          <w:pgMar w:left="320" w:top="121" w:right="5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Barinthus Biotherapeutics plc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43"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Barinthus Biotherapeutics plc and its subsidiaries (the “Company”) as of December 31, 2024 and 2023, and the related consolidated statements of operations and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2"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Reading, United Kingdom</w:t>
      </w: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4"/>
                <w:szCs w:val="14"/>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62"/>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110,662</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142,090</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 incentives receivable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4,908</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9,907</w:t>
            </w:r>
          </w:p>
        </w:tc>
      </w:tr>
      <w:tr>
        <w:trPr>
          <w:trHeight w:val="204"/>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125,742</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156,905</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12,209</w:t>
            </w: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11,821</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25,108</w:t>
            </w: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assets,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7,581</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r>
      <w:tr>
        <w:trPr>
          <w:trHeight w:val="23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160,327</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214,506</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3"/>
        </w:trPr>
        <w:tc>
          <w:tcPr>
            <w:tcW w:w="786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9,212</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income</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w:t>
            </w:r>
          </w:p>
        </w:tc>
      </w:tr>
      <w:tr>
        <w:trPr>
          <w:trHeight w:val="3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7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12,598</w:t>
            </w: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liability - non-current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11,191</w:t>
            </w: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r>
      <w:tr>
        <w:trPr>
          <w:trHeight w:val="3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30,192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27,511</w:t>
            </w:r>
          </w:p>
        </w:tc>
      </w:t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17)</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189"/>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Ordinary shares, £0.000025 nominal value; 40,234,663 shares authorized, issued and outstanding (December 31, 2023:</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authorized, issued and outstanding: 38,643,540)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9"/>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A shares, £1 nominal value; 63,443 shares authorized, issued and outstanding (December 31, 2023:</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authorized, issued and outstanding: 63,443)</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393,474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386,602</w:t>
            </w: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(237,664)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(176,590)</w:t>
            </w: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 – foreign currency translation adjustments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(23,315)</w:t>
            </w:r>
          </w:p>
        </w:tc>
      </w:tr>
      <w:tr>
        <w:trPr>
          <w:trHeight w:val="3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stockholders’ equity attributable to Barinthus Biotherapeutics plc shareholders</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130,029</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186,784</w:t>
            </w: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Noncontrolling interest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3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130,135</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186,995</w:t>
            </w:r>
          </w:p>
        </w:tc>
      </w:tr>
      <w:tr>
        <w:trPr>
          <w:trHeight w:val="23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160,327</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214,506</w:t>
            </w:r>
          </w:p>
        </w:tc>
      </w:tr>
      <w:tr>
        <w:trPr>
          <w:trHeight w:val="24"/>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both"/>
        <w:ind w:left="2280" w:right="2220" w:hanging="63"/>
        <w:spacing w:after="0" w:line="288" w:lineRule="auto"/>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 (IN THOUSANDS, EXCEPT NUMBER OF SHARES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4"/>
          </w:tcPr>
          <w:p>
            <w:pPr>
              <w:jc w:val="right"/>
              <w:ind w:right="109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License revenue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84,115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(67,970)</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 incentives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before income tax</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(76,522)</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benefit</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(73,447)</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Barinthus Biotherapeutics plc shareholders</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(61,074)</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ordinary shares outstanding, basic</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39,348,240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38,386,491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ordinary shares outstanding, diluted</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39,348,240</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38,386,491</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 basic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(loss)/gain – foreign currency translation adjustments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Barinthus Biotherapeutics plc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81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480" w:right="1520" w:hanging="2472"/>
        <w:spacing w:after="0" w:line="440" w:lineRule="auto"/>
        <w:tabs>
          <w:tab w:leader="none" w:pos="160"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license revenue is from related parties and is generated in the United Kingdom for the years ended December 31, 2024 and 2023. The accompanying notes are an integral part of these consolidated financial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2024</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 based compensation</w:t>
      </w:r>
    </w:p>
    <w:p>
      <w:pPr>
        <w:spacing w:after="0" w:line="55" w:lineRule="exact"/>
        <w:rPr>
          <w:sz w:val="20"/>
          <w:szCs w:val="20"/>
          <w:color w:val="auto"/>
        </w:rPr>
      </w:pPr>
    </w:p>
    <w:p>
      <w:pPr>
        <w:ind w:left="20"/>
        <w:spacing w:after="0" w:line="281" w:lineRule="auto"/>
        <w:rPr>
          <w:sz w:val="20"/>
          <w:szCs w:val="20"/>
          <w:color w:val="auto"/>
        </w:rPr>
      </w:pPr>
      <w:r>
        <w:rPr>
          <w:rFonts w:ascii="Times New Roman" w:cs="Times New Roman" w:eastAsia="Times New Roman" w:hAnsi="Times New Roman"/>
          <w:sz w:val="14"/>
          <w:szCs w:val="14"/>
          <w:color w:val="auto"/>
        </w:rPr>
        <w:t>Issue of ordinary shares, net of issuance costs</w:t>
      </w:r>
    </w:p>
    <w:p>
      <w:pPr>
        <w:spacing w:after="0" w:line="1" w:lineRule="exact"/>
        <w:rPr>
          <w:sz w:val="20"/>
          <w:szCs w:val="20"/>
          <w:color w:val="auto"/>
        </w:rPr>
      </w:pPr>
    </w:p>
    <w:p>
      <w:pPr>
        <w:ind w:left="20" w:right="140"/>
        <w:spacing w:after="0" w:line="281" w:lineRule="auto"/>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24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559752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5597525" cy="1714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A Shares</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7"/>
                <w:szCs w:val="7"/>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12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60" w:type="dxa"/>
            <w:vAlign w:val="bottom"/>
            <w:gridSpan w:val="3"/>
            <w:vMerge w:val="continue"/>
          </w:tcPr>
          <w:p>
            <w:pPr>
              <w:spacing w:after="0"/>
              <w:rPr>
                <w:sz w:val="13"/>
                <w:szCs w:val="13"/>
                <w:color w:val="auto"/>
              </w:rPr>
            </w:pPr>
          </w:p>
        </w:tc>
        <w:tc>
          <w:tcPr>
            <w:tcW w:w="8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83"/>
        </w:trPr>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7"/>
                <w:szCs w:val="7"/>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7"/>
                <w:szCs w:val="7"/>
                <w:color w:val="auto"/>
              </w:rPr>
            </w:pPr>
          </w:p>
        </w:tc>
        <w:tc>
          <w:tcPr>
            <w:tcW w:w="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7"/>
                <w:szCs w:val="7"/>
                <w:color w:val="auto"/>
              </w:rPr>
            </w:pPr>
          </w:p>
        </w:tc>
        <w:tc>
          <w:tcPr>
            <w:tcW w:w="780" w:type="dxa"/>
            <w:vAlign w:val="bottom"/>
            <w:gridSpan w:val="2"/>
          </w:tcPr>
          <w:p>
            <w:pPr>
              <w:ind w:left="60"/>
              <w:spacing w:after="0" w:line="84" w:lineRule="exact"/>
              <w:rPr>
                <w:sz w:val="20"/>
                <w:szCs w:val="20"/>
                <w:color w:val="auto"/>
              </w:rPr>
            </w:pPr>
            <w:r>
              <w:rPr>
                <w:rFonts w:ascii="Times New Roman" w:cs="Times New Roman" w:eastAsia="Times New Roman" w:hAnsi="Times New Roman"/>
                <w:sz w:val="9"/>
                <w:szCs w:val="9"/>
                <w:b w:val="1"/>
                <w:bCs w:val="1"/>
                <w:color w:val="auto"/>
              </w:rPr>
              <w:t>Deficit</w:t>
            </w:r>
          </w:p>
        </w:tc>
        <w:tc>
          <w:tcPr>
            <w:tcW w:w="1080" w:type="dxa"/>
            <w:vAlign w:val="bottom"/>
            <w:gridSpan w:val="3"/>
          </w:tcPr>
          <w:p>
            <w:pPr>
              <w:jc w:val="center"/>
              <w:ind w:right="80"/>
              <w:spacing w:after="0" w:line="84"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100" w:type="dxa"/>
            <w:vAlign w:val="bottom"/>
          </w:tcPr>
          <w:p>
            <w:pPr>
              <w:spacing w:after="0"/>
              <w:rPr>
                <w:sz w:val="7"/>
                <w:szCs w:val="7"/>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Barinthus</w:t>
            </w:r>
          </w:p>
        </w:tc>
        <w:tc>
          <w:tcPr>
            <w:tcW w:w="180" w:type="dxa"/>
            <w:vAlign w:val="bottom"/>
          </w:tcPr>
          <w:p>
            <w:pPr>
              <w:spacing w:after="0"/>
              <w:rPr>
                <w:sz w:val="7"/>
                <w:szCs w:val="7"/>
                <w:color w:val="auto"/>
              </w:rPr>
            </w:pPr>
          </w:p>
        </w:tc>
        <w:tc>
          <w:tcPr>
            <w:tcW w:w="880" w:type="dxa"/>
            <w:vAlign w:val="bottom"/>
            <w:gridSpan w:val="2"/>
          </w:tcPr>
          <w:p>
            <w:pPr>
              <w:ind w:left="60"/>
              <w:spacing w:after="0" w:line="84" w:lineRule="exact"/>
              <w:rPr>
                <w:sz w:val="20"/>
                <w:szCs w:val="20"/>
                <w:color w:val="auto"/>
              </w:rPr>
            </w:pPr>
            <w:r>
              <w:rPr>
                <w:rFonts w:ascii="Times New Roman" w:cs="Times New Roman" w:eastAsia="Times New Roman" w:hAnsi="Times New Roman"/>
                <w:sz w:val="9"/>
                <w:szCs w:val="9"/>
                <w:b w:val="1"/>
                <w:bCs w:val="1"/>
                <w:color w:val="auto"/>
              </w:rPr>
              <w:t>Interest</w:t>
            </w:r>
          </w:p>
        </w:tc>
        <w:tc>
          <w:tcPr>
            <w:tcW w:w="160" w:type="dxa"/>
            <w:vAlign w:val="bottom"/>
          </w:tcPr>
          <w:p>
            <w:pPr>
              <w:spacing w:after="0"/>
              <w:rPr>
                <w:sz w:val="7"/>
                <w:szCs w:val="7"/>
                <w:color w:val="auto"/>
              </w:rPr>
            </w:pPr>
          </w:p>
        </w:tc>
        <w:tc>
          <w:tcPr>
            <w:tcW w:w="7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8"/>
        </w:trPr>
        <w:tc>
          <w:tcPr>
            <w:tcW w:w="86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Biotherapeutics</w:t>
            </w: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plc stockholders</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38,643,540</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63,443</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386,602</w:t>
            </w:r>
          </w:p>
        </w:tc>
        <w:tc>
          <w:tcPr>
            <w:tcW w:w="16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(176,590)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(23,315)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186,784</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211</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186,995</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4,709</w:t>
            </w:r>
          </w:p>
        </w:tc>
        <w:tc>
          <w:tcPr>
            <w:tcW w:w="0" w:type="dxa"/>
            <w:vAlign w:val="bottom"/>
          </w:tcPr>
          <w:p>
            <w:pPr>
              <w:spacing w:after="0"/>
              <w:rPr>
                <w:sz w:val="1"/>
                <w:szCs w:val="1"/>
                <w:color w:val="auto"/>
              </w:rPr>
            </w:pPr>
          </w:p>
        </w:tc>
      </w:tr>
      <w:tr>
        <w:trPr>
          <w:trHeight w:val="297"/>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1,591,123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2,163</w:t>
            </w:r>
          </w:p>
        </w:tc>
        <w:tc>
          <w:tcPr>
            <w:tcW w:w="0" w:type="dxa"/>
            <w:vAlign w:val="bottom"/>
          </w:tcPr>
          <w:p>
            <w:pPr>
              <w:spacing w:after="0"/>
              <w:rPr>
                <w:sz w:val="1"/>
                <w:szCs w:val="1"/>
                <w:color w:val="auto"/>
              </w:rPr>
            </w:pPr>
          </w:p>
        </w:tc>
      </w:tr>
      <w:tr>
        <w:trPr>
          <w:trHeight w:val="378"/>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w:t>
            </w:r>
          </w:p>
        </w:tc>
        <w:tc>
          <w:tcPr>
            <w:tcW w:w="0" w:type="dxa"/>
            <w:vAlign w:val="bottom"/>
          </w:tcPr>
          <w:p>
            <w:pPr>
              <w:spacing w:after="0"/>
              <w:rPr>
                <w:sz w:val="1"/>
                <w:szCs w:val="1"/>
                <w:color w:val="auto"/>
              </w:rPr>
            </w:pPr>
          </w:p>
        </w:tc>
      </w:tr>
      <w:tr>
        <w:trPr>
          <w:trHeight w:val="297"/>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(61,074)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(61,074)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(61,183)</w:t>
            </w:r>
          </w:p>
        </w:tc>
        <w:tc>
          <w:tcPr>
            <w:tcW w:w="0" w:type="dxa"/>
            <w:vAlign w:val="bottom"/>
          </w:tcPr>
          <w:p>
            <w:pPr>
              <w:spacing w:after="0"/>
              <w:rPr>
                <w:sz w:val="1"/>
                <w:szCs w:val="1"/>
                <w:color w:val="auto"/>
              </w:rPr>
            </w:pPr>
          </w:p>
        </w:tc>
      </w:tr>
      <w:tr>
        <w:trPr>
          <w:trHeight w:val="23"/>
        </w:trPr>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40,234,663</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63,443</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393,474</w:t>
            </w:r>
          </w:p>
        </w:tc>
        <w:tc>
          <w:tcPr>
            <w:tcW w:w="16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(237,664)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(25,868)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130,029</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130,135</w:t>
            </w:r>
          </w:p>
        </w:tc>
        <w:tc>
          <w:tcPr>
            <w:tcW w:w="0" w:type="dxa"/>
            <w:vAlign w:val="bottom"/>
          </w:tcPr>
          <w:p>
            <w:pPr>
              <w:spacing w:after="0"/>
              <w:rPr>
                <w:sz w:val="1"/>
                <w:szCs w:val="1"/>
                <w:color w:val="auto"/>
              </w:rPr>
            </w:pPr>
          </w:p>
        </w:tc>
      </w:tr>
      <w:tr>
        <w:trPr>
          <w:trHeight w:val="23"/>
        </w:trPr>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-1079500</wp:posOffset>
            </wp:positionV>
            <wp:extent cx="7063740"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7063740" cy="14541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-796925</wp:posOffset>
            </wp:positionV>
            <wp:extent cx="7063740" cy="2400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7063740" cy="24003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-316865</wp:posOffset>
            </wp:positionV>
            <wp:extent cx="706374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p>
      <w:pPr>
        <w:spacing w:after="0" w:line="63" w:lineRule="exact"/>
        <w:rPr>
          <w:sz w:val="20"/>
          <w:szCs w:val="20"/>
          <w:color w:val="auto"/>
        </w:rPr>
      </w:pPr>
    </w:p>
    <w:p>
      <w:pPr>
        <w:sectPr>
          <w:pgSz w:w="11900" w:h="16838" w:orient="portrait"/>
          <w:cols w:equalWidth="0" w:num="2">
            <w:col w:w="1800" w:space="520"/>
            <w:col w:w="8900"/>
          </w:cols>
          <w:pgMar w:left="320" w:top="121" w:right="359" w:bottom="1440" w:gutter="0" w:footer="0" w:header="0"/>
        </w:sectPr>
      </w:pPr>
    </w:p>
    <w:tbl>
      <w:tblPr>
        <w:tblLayout w:type="fixed"/>
        <w:tblInd w:w="0" w:type="dxa"/>
        <w:tblCellMar>
          <w:top w:w="0" w:type="dxa"/>
          <w:left w:w="0" w:type="dxa"/>
          <w:bottom w:w="0" w:type="dxa"/>
          <w:right w:w="0" w:type="dxa"/>
        </w:tblCellMar>
      </w:tblPr>
      <w:tr>
        <w:trPr>
          <w:trHeight w:val="142"/>
        </w:trPr>
        <w:tc>
          <w:tcPr>
            <w:tcW w:w="1120" w:type="dxa"/>
            <w:vAlign w:val="bottom"/>
          </w:tcPr>
          <w:p>
            <w:pPr>
              <w:spacing w:after="0"/>
              <w:rPr>
                <w:sz w:val="12"/>
                <w:szCs w:val="12"/>
                <w:color w:val="auto"/>
              </w:rPr>
            </w:pPr>
          </w:p>
        </w:tc>
        <w:tc>
          <w:tcPr>
            <w:tcW w:w="1300" w:type="dxa"/>
            <w:vAlign w:val="bottom"/>
            <w:gridSpan w:val="5"/>
          </w:tcPr>
          <w:p>
            <w:pPr>
              <w:ind w:left="20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200" w:type="dxa"/>
            <w:vAlign w:val="bottom"/>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rPr>
              <w:t>Deferred A Shares</w:t>
            </w:r>
          </w:p>
        </w:tc>
        <w:tc>
          <w:tcPr>
            <w:tcW w:w="1240" w:type="dxa"/>
            <w:vAlign w:val="bottom"/>
            <w:gridSpan w:val="5"/>
          </w:tcPr>
          <w:p>
            <w:pPr>
              <w:ind w:left="160"/>
              <w:spacing w:after="0"/>
              <w:rPr>
                <w:sz w:val="20"/>
                <w:szCs w:val="20"/>
                <w:color w:val="auto"/>
              </w:rPr>
            </w:pPr>
            <w:r>
              <w:rPr>
                <w:rFonts w:ascii="Times New Roman" w:cs="Times New Roman" w:eastAsia="Times New Roman" w:hAnsi="Times New Roman"/>
                <w:sz w:val="11"/>
                <w:szCs w:val="11"/>
                <w:b w:val="1"/>
                <w:bCs w:val="1"/>
                <w:color w:val="auto"/>
              </w:rPr>
              <w:t>Deferred B Shares</w:t>
            </w:r>
          </w:p>
        </w:tc>
        <w:tc>
          <w:tcPr>
            <w:tcW w:w="1280" w:type="dxa"/>
            <w:vAlign w:val="bottom"/>
            <w:gridSpan w:val="4"/>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Deferred C 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1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1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1"/>
                <w:szCs w:val="11"/>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equity</w:t>
            </w: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restart"/>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8"/>
        </w:trPr>
        <w:tc>
          <w:tcPr>
            <w:tcW w:w="1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5"/>
                <w:szCs w:val="5"/>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20" w:type="dxa"/>
            <w:vAlign w:val="bottom"/>
          </w:tcPr>
          <w:p>
            <w:pPr>
              <w:spacing w:after="0"/>
              <w:rPr>
                <w:sz w:val="5"/>
                <w:szCs w:val="5"/>
                <w:color w:val="auto"/>
              </w:rPr>
            </w:pP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5"/>
                <w:szCs w:val="5"/>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7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attributable to</w:t>
            </w:r>
          </w:p>
        </w:tc>
        <w:tc>
          <w:tcPr>
            <w:tcW w:w="860" w:type="dxa"/>
            <w:vAlign w:val="bottom"/>
            <w:gridSpan w:val="3"/>
            <w:vMerge w:val="continue"/>
          </w:tcPr>
          <w:p>
            <w:pPr>
              <w:spacing w:after="0"/>
              <w:rPr>
                <w:sz w:val="5"/>
                <w:szCs w:val="5"/>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68"/>
        </w:trPr>
        <w:tc>
          <w:tcPr>
            <w:tcW w:w="11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gridSpan w:val="2"/>
            <w:vMerge w:val="restart"/>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Deficit</w:t>
            </w:r>
          </w:p>
        </w:tc>
        <w:tc>
          <w:tcPr>
            <w:tcW w:w="84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Barinthus</w:t>
            </w:r>
          </w:p>
        </w:tc>
        <w:tc>
          <w:tcPr>
            <w:tcW w:w="1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restart"/>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2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Biotherapeutics</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plc stockholders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112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112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rPr>
              <w:t>Balance, January 1,</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37,683,531</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w w:val="99"/>
              </w:rPr>
              <w:t>63,443</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86</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570,987</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1"/>
                <w:szCs w:val="11"/>
                <w:b w:val="1"/>
                <w:bCs w:val="1"/>
                <w:color w:val="auto"/>
                <w:w w:val="96"/>
              </w:rPr>
              <w:t>27,828,231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rPr>
              <w:t>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379,504</w:t>
            </w:r>
          </w:p>
        </w:tc>
        <w:tc>
          <w:tcPr>
            <w:tcW w:w="1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(103,243)</w:t>
            </w:r>
          </w:p>
        </w:tc>
        <w:tc>
          <w:tcPr>
            <w:tcW w:w="8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(33,460)</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242,896</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305</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243,201</w:t>
            </w:r>
          </w:p>
        </w:tc>
        <w:tc>
          <w:tcPr>
            <w:tcW w:w="0" w:type="dxa"/>
            <w:vAlign w:val="bottom"/>
          </w:tcPr>
          <w:p>
            <w:pPr>
              <w:spacing w:after="0"/>
              <w:rPr>
                <w:sz w:val="1"/>
                <w:szCs w:val="1"/>
                <w:color w:val="auto"/>
              </w:rPr>
            </w:pPr>
          </w:p>
        </w:tc>
      </w:tr>
      <w:tr>
        <w:trPr>
          <w:trHeight w:val="88"/>
        </w:trPr>
        <w:tc>
          <w:tcPr>
            <w:tcW w:w="1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4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4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4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1120" w:type="dxa"/>
            <w:vAlign w:val="bottom"/>
            <w:tcBorders>
              <w:bottom w:val="single" w:sz="8" w:color="CCEEFF"/>
            </w:tcBorders>
            <w:vMerge w:val="continue"/>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5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76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 based</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3"/>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5,055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5,055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5,055</w:t>
            </w:r>
          </w:p>
        </w:tc>
        <w:tc>
          <w:tcPr>
            <w:tcW w:w="0" w:type="dxa"/>
            <w:vAlign w:val="bottom"/>
          </w:tcPr>
          <w:p>
            <w:pPr>
              <w:spacing w:after="0"/>
              <w:rPr>
                <w:sz w:val="1"/>
                <w:szCs w:val="1"/>
                <w:color w:val="auto"/>
              </w:rPr>
            </w:pPr>
          </w:p>
        </w:tc>
      </w:tr>
      <w:tr>
        <w:trPr>
          <w:trHeight w:val="73"/>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compensation</w:t>
            </w: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1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Issue of ordinary shares,</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960,009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0  1</w:t>
            </w:r>
          </w:p>
        </w:tc>
        <w:tc>
          <w:tcPr>
            <w:tcW w:w="5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73"/>
        </w:trPr>
        <w:tc>
          <w:tcPr>
            <w:tcW w:w="1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of issuance costs</w:t>
            </w:r>
          </w:p>
        </w:tc>
        <w:tc>
          <w:tcPr>
            <w:tcW w:w="56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CCEEFF"/>
            </w:tcBorders>
            <w:vMerge w:val="continue"/>
            <w:shd w:val="clear" w:color="auto" w:fill="CCEEFF"/>
          </w:tcPr>
          <w:p>
            <w:pPr>
              <w:spacing w:after="0"/>
              <w:rPr>
                <w:sz w:val="7"/>
                <w:szCs w:val="7"/>
                <w:color w:val="auto"/>
              </w:rPr>
            </w:pPr>
          </w:p>
        </w:tc>
        <w:tc>
          <w:tcPr>
            <w:tcW w:w="5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6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3"/>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10,145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10,145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10,151</w:t>
            </w:r>
          </w:p>
        </w:tc>
        <w:tc>
          <w:tcPr>
            <w:tcW w:w="0" w:type="dxa"/>
            <w:vAlign w:val="bottom"/>
          </w:tcPr>
          <w:p>
            <w:pPr>
              <w:spacing w:after="0"/>
              <w:rPr>
                <w:sz w:val="1"/>
                <w:szCs w:val="1"/>
                <w:color w:val="auto"/>
              </w:rPr>
            </w:pPr>
          </w:p>
        </w:tc>
      </w:tr>
      <w:tr>
        <w:trPr>
          <w:trHeight w:val="73"/>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translation adjustments</w:t>
            </w: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1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Cancellation of deferred</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97"/>
              </w:rPr>
              <w:t>(570,987)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98"/>
              </w:rPr>
              <w:t>(27,828,231)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w:t>
            </w:r>
          </w:p>
        </w:tc>
        <w:tc>
          <w:tcPr>
            <w:tcW w:w="640" w:type="dxa"/>
            <w:vAlign w:val="bottom"/>
            <w:gridSpan w:val="2"/>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CCEEFF"/>
            </w:tcBorders>
            <w:vMerge w:val="continue"/>
            <w:shd w:val="clear" w:color="auto" w:fill="CCEEFF"/>
          </w:tcPr>
          <w:p>
            <w:pPr>
              <w:spacing w:after="0"/>
              <w:rPr>
                <w:sz w:val="7"/>
                <w:szCs w:val="7"/>
                <w:color w:val="auto"/>
              </w:rPr>
            </w:pPr>
          </w:p>
        </w:tc>
        <w:tc>
          <w:tcPr>
            <w:tcW w:w="5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6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3"/>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(73,347)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(73,347)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(73,447)</w:t>
            </w:r>
          </w:p>
        </w:tc>
        <w:tc>
          <w:tcPr>
            <w:tcW w:w="0" w:type="dxa"/>
            <w:vAlign w:val="bottom"/>
          </w:tcPr>
          <w:p>
            <w:pPr>
              <w:spacing w:after="0"/>
              <w:rPr>
                <w:sz w:val="1"/>
                <w:szCs w:val="1"/>
                <w:color w:val="auto"/>
              </w:rPr>
            </w:pPr>
          </w:p>
        </w:tc>
      </w:tr>
      <w:tr>
        <w:trPr>
          <w:trHeight w:val="35"/>
        </w:trPr>
        <w:tc>
          <w:tcPr>
            <w:tcW w:w="112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112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Balance, December 31,</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38,643,540</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w w:val="99"/>
              </w:rPr>
              <w:t>63,443</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86</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gridSpan w:val="3"/>
            <w:vMerge w:val="restart"/>
            <w:shd w:val="clear" w:color="auto" w:fill="CCEEFF"/>
          </w:tcPr>
          <w:p>
            <w:pPr>
              <w:ind w:left="540"/>
              <w:spacing w:after="0"/>
              <w:rPr>
                <w:sz w:val="20"/>
                <w:szCs w:val="20"/>
                <w:color w:val="auto"/>
              </w:rPr>
            </w:pPr>
            <w:r>
              <w:rPr>
                <w:rFonts w:ascii="Times New Roman" w:cs="Times New Roman" w:eastAsia="Times New Roman" w:hAnsi="Times New Roman"/>
                <w:sz w:val="21"/>
                <w:szCs w:val="21"/>
                <w:b w:val="1"/>
                <w:bCs w:val="1"/>
                <w:color w:val="auto"/>
                <w:vertAlign w:val="superscript"/>
              </w:rPr>
              <w:t>—</w:t>
            </w:r>
            <w:r>
              <w:rPr>
                <w:rFonts w:ascii="Times New Roman" w:cs="Times New Roman" w:eastAsia="Times New Roman" w:hAnsi="Times New Roman"/>
                <w:sz w:val="11"/>
                <w:szCs w:val="11"/>
                <w:b w:val="1"/>
                <w:bCs w:val="1"/>
                <w:color w:val="auto"/>
              </w:rPr>
              <w:t xml:space="preserve">  $</w:t>
            </w:r>
          </w:p>
        </w:tc>
        <w:tc>
          <w:tcPr>
            <w:tcW w:w="4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386,602</w:t>
            </w:r>
          </w:p>
        </w:tc>
        <w:tc>
          <w:tcPr>
            <w:tcW w:w="16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(176,590)</w:t>
            </w:r>
          </w:p>
        </w:tc>
        <w:tc>
          <w:tcPr>
            <w:tcW w:w="80" w:type="dxa"/>
            <w:vAlign w:val="bottom"/>
            <w:shd w:val="clear" w:color="auto" w:fill="CCEEFF"/>
          </w:tcPr>
          <w:p>
            <w:pPr>
              <w:spacing w:after="0"/>
              <w:rPr>
                <w:sz w:val="9"/>
                <w:szCs w:val="9"/>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(23,315)</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186,784</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211</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186,995</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33" w:lineRule="exact"/>
        <w:rPr>
          <w:sz w:val="20"/>
          <w:szCs w:val="20"/>
          <w:color w:val="auto"/>
        </w:rPr>
      </w:pPr>
    </w:p>
    <w:p>
      <w:pPr>
        <w:ind w:left="120" w:hanging="112"/>
        <w:spacing w:after="0"/>
        <w:tabs>
          <w:tab w:leader="none" w:pos="120"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amount less than one thousand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r>
      <w:tr>
        <w:trPr>
          <w:trHeight w:val="190"/>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17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r>
      <w:tr>
        <w:trPr>
          <w:trHeight w:val="193"/>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(61,183)</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(73,447)</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(loss)/income to net cash used in operating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5,260</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of goodwill</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5,429</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lease expenses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foreign exchange (gain)/loss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7,531</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contingent consideration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interest expense</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benefit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(including related parties)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 incentives receivable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income</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186"/>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(28,940)</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(50,925)</w:t>
            </w:r>
          </w:p>
        </w:tc>
        <w:tc>
          <w:tcPr>
            <w:tcW w:w="220" w:type="dxa"/>
            <w:vAlign w:val="bottom"/>
          </w:tcPr>
          <w:p>
            <w:pPr>
              <w:spacing w:after="0"/>
              <w:rPr>
                <w:sz w:val="16"/>
                <w:szCs w:val="16"/>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189"/>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r>
      <w:tr>
        <w:trPr>
          <w:trHeight w:val="193"/>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(5,413)</w:t>
            </w:r>
          </w:p>
        </w:tc>
        <w:tc>
          <w:tcPr>
            <w:tcW w:w="220" w:type="dxa"/>
            <w:vAlign w:val="bottom"/>
          </w:tcPr>
          <w:p>
            <w:pPr>
              <w:spacing w:after="0"/>
              <w:rPr>
                <w:sz w:val="16"/>
                <w:szCs w:val="16"/>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09"/>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(5,413)</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18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Issue of shares from the exercise of stock options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9"/>
                <w:szCs w:val="9"/>
                <w:color w:val="auto"/>
                <w:w w:val="87"/>
              </w:rPr>
              <w:t>1</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color w:val="auto"/>
                <w:w w:val="87"/>
              </w:rPr>
              <w:t>1</w:t>
            </w:r>
          </w:p>
        </w:tc>
      </w:tr>
      <w:tr>
        <w:trPr>
          <w:trHeight w:val="193"/>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issue of ordinary shares, net of issuance costs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186"/>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220" w:type="dxa"/>
            <w:vAlign w:val="bottom"/>
          </w:tcPr>
          <w:p>
            <w:pPr>
              <w:spacing w:after="0"/>
              <w:rPr>
                <w:sz w:val="16"/>
                <w:szCs w:val="16"/>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19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cash equivalents and restricted cash</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220" w:type="dxa"/>
            <w:vAlign w:val="bottom"/>
            <w:tcBorders>
              <w:bottom w:val="single" w:sz="8" w:color="CCEEFF"/>
            </w:tcBorders>
            <w:shd w:val="clear" w:color="auto" w:fill="CCEEFF"/>
          </w:tcPr>
          <w:p>
            <w:pPr>
              <w:spacing w:after="0"/>
              <w:rPr>
                <w:sz w:val="16"/>
                <w:szCs w:val="16"/>
                <w:color w:val="auto"/>
              </w:rPr>
            </w:pPr>
          </w:p>
        </w:tc>
      </w:tr>
      <w:tr>
        <w:trPr>
          <w:trHeight w:val="19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(29,690)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(52,295)</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the period</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142,090</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194,385</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the period</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112,400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142,090</w:t>
            </w:r>
          </w:p>
        </w:tc>
        <w:tc>
          <w:tcPr>
            <w:tcW w:w="220" w:type="dxa"/>
            <w:vAlign w:val="bottom"/>
          </w:tcPr>
          <w:p>
            <w:pPr>
              <w:spacing w:after="0"/>
              <w:rPr>
                <w:sz w:val="18"/>
                <w:szCs w:val="18"/>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19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cash flow disclosures: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r>
      <w:tr>
        <w:trPr>
          <w:trHeight w:val="19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liabilities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3"/>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3"/>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to right-of-use asset resulting from lease reassessment event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20" w:type="dxa"/>
            <w:vAlign w:val="bottom"/>
            <w:shd w:val="clear" w:color="auto" w:fill="CCEEFF"/>
          </w:tcPr>
          <w:p>
            <w:pPr>
              <w:spacing w:after="0"/>
              <w:rPr>
                <w:sz w:val="16"/>
                <w:szCs w:val="16"/>
                <w:color w:val="auto"/>
              </w:rPr>
            </w:pPr>
          </w:p>
        </w:tc>
      </w:tr>
      <w:tr>
        <w:trPr>
          <w:trHeight w:val="23"/>
        </w:trPr>
        <w:tc>
          <w:tcPr>
            <w:tcW w:w="7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ind w:left="160" w:hanging="152"/>
        <w:spacing w:after="0" w:line="208" w:lineRule="auto"/>
        <w:tabs>
          <w:tab w:leader="none" w:pos="160"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amount less than one thousand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Barinthus Biotherapeutics plc is a public limited company incorporated pursuant to the laws of England and Wales in March 2021. Barinthus Biotherapeutics plc and its direct and indirect subsidiaries, Barinthus Biotherapeutics (U.K.) Limited, Barinthus Biotherapeutics Pty Limited, Vaccitech Oncology Limited (“VOLT”), Barinthus Biotherapeutics North America, Inc., Barinthus Biotherapeutics Switzerland GmbH and Barinthus Biotherapeutics S.R.L. (Barinthus Biotherapeutics S.R.L. was liquidated as at January 16, 2025) are collectively referred to as the “Company” or “Barinthus Bio”. The Company is a clinical-stage biopharmaceutical company focused on developing novel immunotherapeutic drug candidates for treating auto-immune and inflammatory diseases within the immunology and inflammation ("I&amp;I") space. The Company is also evaluating two product candidates to treat infectious diseases and cancer that harness our proprietary viral vector platform technologies, consisting of ChAdOx and MVA, which are designed to increase disease-specific CD8+ T cells. The Company is headquartered in Harwell, Oxfordshire, United Kingdom.</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operates in an environment of rapid technological change and substantial competition from pharmaceutical and biotechnology companies. The Company is subject to risks common to companies in the biopharmaceutical industry in a similar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its products that are approved, and protection of proprietary technology. There can be no assurance that the Company’s research and development will be successfully completed, that adequate protection for the Company’s intellectual property will be obtained, that any products developed will obtain required regulatory approval or that any approved products will be commercially viable. Even if the Company’s development efforts are successful, it is uncertain when, if ever, the Company will generate significant product sales. If the Company does not successfully commercialize any of its products or mitigate any of these other risks, it will be unable to generate revenue or achieve profitability.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and pursuant to the rules and regulations of the Securities and Exchange Commission for annual financial reporting. The Company’s reporting currency is the U.S. dollar.</w:t>
      </w:r>
    </w:p>
    <w:p>
      <w:pPr>
        <w:spacing w:after="0" w:line="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of December 31, 2024, the Company had cash, cash equivalents and restricted cash of $112.4 million and an accumulated deficit of $237.7 million and the Company expects to incur losses for the foreseeable future. The Company expects that its cash, cash equivalents and restricted cash will be sufficient to fund current operations for at least the next twelve months from the issuance of the consolidated financial statements. The Company expects to seek additional funding through equity financing, government or private-party grants, debt financings or other capital sources, including collaborations with other companies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 If the Company is unable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the Company will continue as a going concern, which contemplates, among other things, the realization of assets and the satisfaction of liabilities and commitments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permitted under the laws of England and Wales, the Company indemnifies its officers, directors, consultants and employees for certain events or occurrences that happen by reason of the relationship with, or position held at, the Company. Through the years ended December 31, 2024 and 2023,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Barinthus Biotherapeutics plc and those entities in which it has a controlling interest. Intercompany amounts are eliminated on consolidation. Amounts attributable to the noncontrolling interest are presented as a separate element of equity in the accompanying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the disclosure of contingent assets and liabilities at the date of the consolidated financial statements and the reported amounts of revenue, income and expenses during the reporting period. The Company bases estimates and assumptions on historical experience when available and on various factors that it believes to be reasonable under the circumstances. The Company evaluates its estimates and assumptions on an ongoing basis, including those related to fair value of contingent consideration and fair value models used in the impairment assessments of goodwill, intangible assets, operating lease right-of-use asset and property and equipment. The Company’s actual results may differ from these estimates under different assumptions or conditions.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the date of issuance of these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loss for all periods presented is comprised primarily of net loss and other comprehensive loss, which solely relates to foreign currency translation adjustments.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Company’s reporting currency is the United States dollar. The functional currency of the parent and each subsidiary is the currency of the country and economic environment in which it is located. Assets and liabilities of each legal entity denominated or measured in a currency other than British Pounds are first translated into British pounds and consolidated. The consolidated balances are then converted into United States dollars at period-end exchange rates. Revenues and expenses are translated into British pounds, then into U.S. dollars at average exchange rates for each reporting period. Translation adjustments are reflected as accumulated other comprehensive loss within stockholders’ equity. Gains and losses on foreign currency transactions are included in the consolidated statements of operations and comprehensive loss in general and administrative expenses. The aggregate net foreign exchange gain or loss included in determining net loss was a gain of $2.4 million and loss of $7.6 million for the years ended December 31, 2024 and 2023,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2018, Barinthus Biotherapeutics plc established VOLT with a related party. As of December 31, 2021, Barinthus Biotherapeutics plc had contributed cash and intellectual property with an aggregate value of $11.9 million for a 76% controlling interest. The related party had contributed cash and intellectual property with an aggregate value of $3.8 million for a 24% noncontrolling interest. There were no further contributions in subsequent financial years. The contributed intellectual properties were initially recorded at investment date fair value by VOLT and immediately expensed as research and development costs. The Company accounts for the noncontrolling interest in the accompanying consolidated financial statements initially at fair value with the subsequent carrying value adjusted for the noncontrolling share of VOLT’s comprehensive loss.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remaining maturities of three months or less on the purchase date to be cash and cash equivalents. Cash and cash equivalents include bank demand deposits and money market funds that are actively traded (a Level 1 input). As of December 31, 2024, and 2023 there were no cash equivalents.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entity expects to receive in exchange for those goods or services.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Company has entered into collaboration and license agreements, which are within the scope of Financial Accounting Standards Board (“FASB”)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to discover, develop, manufacture and commercialize product candidates. The terms of these agreements typically contain multiple promises or obligations, which may include licenses, or options to obtain licenses, to product candidates or future product candidates.</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recognized as revenue, but not yet received are generally recognized as accounts receivable or contract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Company’s arrangements may provide the collaboration partner with the right to select a target for licensing either at the inception of the arrangement or in the future. Under these arrangements, fees may be due to the Company (i) at the inception of the arrangement as an upfront fee or payment, (ii) upon the exercise of an option to acquire a license or (iii) upon extending the selection period as an extension fee or payment. If an arrangement is determined to contain customer options that allow the customer to acquire additional goods or services at their standalone selling prices,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arrangements that include sales-based milestones and royalties,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This could require management to estimate the amount of revenue to recognize in the period if the actual data for the period has not been provided.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promises under the Company’s collaboration and license agreements generally include research and development services to be performed by the Company on behalf of the collaboration partner. For performance obligations that include research and development services, the Company recognizes revenue allocated to such performance obligations based on an appropriate measure of progress. The Company utilizes judgment to determine the appropriate method of measuring progress for the purposes of recognizing revenue, which may include an input measure such as costs incurred during the reporting period or ratably over the service period. Reimbursements from the partner are evaluated as to whether the Company acts as a principal or an agent in such relationships. The Company evaluates whether control over the underlying goods or services were obtained prior to transferring these goods or services to the collaboration partner. Where the Company does not control the goods or services prior to transferring these goods or services to the collaboration partner, such reimbursements are presented net of costs. At the inception of each arrangement that includes development milestone payments in respect of development efforts, the Company evaluates whether the development milestones are considered probable of being achieved and estimates the amount to be included in the transaction price using the most likely amount method. If it is probable that a significant revenue reversal would not occur, the associated development milestone value is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included in the transaction price. Development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development milestone in making this assessment. There is judgment involved in determining whether it is probable that a significant revenue reversal would not occur. At the end of each reporting period, the Company reevaluates the probability of achievement of all development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 To date, the Company has not recognized any development milestone revenue resulting from any of its arrangements.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Other operating income includes grant income from the CEPI Funding Agreement pursuant to which CEPI will provide funding to us to advance the development of VTP-500, our vaccine candidate against MERS. When there is reasonable assurance that we will comply with the conditions attached to a received grant, and when there is reasonable assurance that the grant will be received, grant income is recognized as other operating income on a gross basis in the consolidated statements of operations and comprehensive loss on a systematic basis over the periods in which we recognize expenses for the related costs for which the grants are intended to compensate. Payments received in advance of incurring reimbursable expenses are recorded as deferred income. Any remaining unused amounts of the cash payments received will be disclosed as restricted cash in the consolidated balance sheets.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 of credit risk consist primarily of cash and cash equivalents and accounts receivable. Periodically, the Company maintains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in these deposits. The Company’s standard payment terms are typically 30 days.</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recognizes revenue earned in connection with the license and services provided to customers. The Company provides credit to licensees in the normal course of providing such services based on evaluations of their financial condition and generally does not require collateral. To manage accounts receivable credit risk, the Company monitors the creditworthiness of its licensees. Historically, the Company has not experienced any credit losses related to accounts receivable and does not maintain allowances for uncollectible amounts.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Licensees that represented 10% or more of the Company’s revenue are presented below:</w:t>
      </w:r>
    </w:p>
    <w:p>
      <w:pPr>
        <w:spacing w:after="0" w:line="259"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80" w:type="dxa"/>
            <w:vAlign w:val="bottom"/>
            <w:vMerge w:val="restart"/>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0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Oxford University Innovation</w:t>
            </w: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U.K.</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evaluates its cash equivalents and accounts receivable for expected credit losses. Expected credit losses represent the portion of the amortized cost basis of a financial asset that an entity does not expect to collect. An allowance for expected credit losses is meant to reflect a risk of loss even if remote, irrespective of the expectation of collection from a particular issuer or debt security. The Company has not historically experienced any credit losses on any of its financial assets. With respect to cash equivalents and accounts receivable, given consideration of their short maturity, historical losses and the current market environment, the Company concluded there are no expected credit losses for these financial assets.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accumulated impairment losses. Expenditures for maintenance and repairs are charged to operating expenses as incurred, whereas major betterments are capitalized as additions to property and equipment. Impairment losses are recorded within general and administrative expenses. Depreciation is recorded using the straight-line method over the estimated useful lives of the assets as follows:</w:t>
      </w:r>
    </w:p>
    <w:p>
      <w:pPr>
        <w:sectPr>
          <w:pgSz w:w="11900" w:h="16838" w:orient="portrait"/>
          <w:cols w:equalWidth="0" w:num="1">
            <w:col w:w="11240"/>
          </w:cols>
          <w:pgMar w:left="320" w:top="121" w:right="339" w:bottom="1440" w:gutter="0" w:footer="0" w:header="0"/>
        </w:sectPr>
      </w:pPr>
    </w:p>
    <w:p>
      <w:pPr>
        <w:spacing w:after="0" w:line="23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Asset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33655</wp:posOffset>
            </wp:positionV>
            <wp:extent cx="561467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5614670" cy="171450"/>
                    </a:xfrm>
                    <a:prstGeom prst="rect">
                      <a:avLst/>
                    </a:prstGeom>
                    <a:noFill/>
                  </pic:spPr>
                </pic:pic>
              </a:graphicData>
            </a:graphic>
          </wp:anchor>
        </w:drawing>
      </w:r>
    </w:p>
    <w:p>
      <w:pPr>
        <w:spacing w:after="0" w:line="5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Office furniture and equipment</w:t>
      </w:r>
    </w:p>
    <w:p>
      <w:pPr>
        <w:spacing w:after="0" w:line="5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Laboratory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26035</wp:posOffset>
            </wp:positionV>
            <wp:extent cx="5614670" cy="291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5614670" cy="291465"/>
                    </a:xfrm>
                    <a:prstGeom prst="rect">
                      <a:avLst/>
                    </a:prstGeom>
                    <a:noFill/>
                  </pic:spPr>
                </pic:pic>
              </a:graphicData>
            </a:graphic>
          </wp:anchor>
        </w:drawing>
      </w:r>
    </w:p>
    <w:p>
      <w:pPr>
        <w:spacing w:after="0" w:line="1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acquired through business combinations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Estimated Useful Life</w:t>
      </w:r>
    </w:p>
    <w:p>
      <w:pPr>
        <w:spacing w:after="0" w:line="75" w:lineRule="exact"/>
        <w:rPr>
          <w:sz w:val="20"/>
          <w:szCs w:val="20"/>
          <w:color w:val="auto"/>
        </w:rPr>
      </w:pPr>
    </w:p>
    <w:p>
      <w:pPr>
        <w:ind w:left="680" w:hanging="126"/>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w:t>
      </w:r>
    </w:p>
    <w:p>
      <w:pPr>
        <w:spacing w:after="0" w:line="4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Lesser of lease term or</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estimated useful lives</w:t>
      </w:r>
    </w:p>
    <w:p>
      <w:pPr>
        <w:spacing w:after="0" w:line="702" w:lineRule="exact"/>
        <w:rPr>
          <w:sz w:val="20"/>
          <w:szCs w:val="20"/>
          <w:color w:val="auto"/>
        </w:rPr>
      </w:pPr>
    </w:p>
    <w:p>
      <w:pPr>
        <w:sectPr>
          <w:pgSz w:w="11900" w:h="16838" w:orient="portrait"/>
          <w:cols w:equalWidth="0" w:num="2">
            <w:col w:w="7380" w:space="720"/>
            <w:col w:w="3140"/>
          </w:cols>
          <w:pgMar w:left="320" w:top="121"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acquired developed technology. Intangible assets are stated at cost less accumulated amortization and impairment losses.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is computed using the straight-line method over the estimated useful lives of the respective assets, which is 10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reviews long-lived assets to be held and used, including property and equipment, intangible assets and operating lease right-of-use assets, for impairment whenever events or changes in circumstances indicate that the carrying amount of the assets or asset group may not be recoverable. Evaluation of recoverability is first based on an estimate of undiscounted future cash flows resulting from the use of the asset or asset group and its eventual disposition. In the event such cash flows are not expected to be sufficient to recover the carrying amount of the asset or asset group, the assets are written down to their estimated fair values. There were impairments recorded during the year ended December 31, 2024 (December 31 2023: nil).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the net tangible and intangible assets of businesses acquired in a business combination. Goodwill is not amortized but rather is tested for impairment at least annually, or more frequently if events or changes in circumstances indicate that the carrying amount of goodwill may not be recoverable. The Company has elected to first assess the qualitative factors to determine whether it is more likely than not that the fair value of a reporting unit is less than its carrying amount as a basis of determining whether it is necessary to perform the quantitative goodwill impairment test. If the Company determines that it is more likely than not that its fair value is less than its carrying amount, then the quantitative goodwill impairment test will be performed. The quantitative goodwill impairment test identifies and measures the amount of goodwill impairment loss, if any, to be recognized by comparing the fair value of a reporting unit with its carrying amount. If the fair value exceeds the carrying amount, no further analysis is required; otherwise, if the fair value is less than the carrying amount, the difference is recognized as a goodwill impairment loss not to exceed the carrying amount of the goodwill. For the year ended December 31, 2024 an impairment charge of $12.2 million was recorded (December 31, 2023: nil).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of cash, cash equivalents, restricted cash, accounts receivable, accounts payable, certain accrued expenses and contingent consideration. The carrying amounts of cash, cash equivalents, accounts receivable, security deposits, accounts payable and accrued expenses approximate their fair value due to the short-term nature of those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89" w:lineRule="exact"/>
        <w:rPr>
          <w:sz w:val="20"/>
          <w:szCs w:val="20"/>
          <w:color w:val="auto"/>
        </w:rPr>
      </w:pPr>
    </w:p>
    <w:p>
      <w:pPr>
        <w:ind w:left="660" w:hanging="328"/>
        <w:spacing w:after="0" w:line="246" w:lineRule="auto"/>
        <w:tabs>
          <w:tab w:leader="none" w:pos="6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quoted prices (unadjusted) in active markets for identical assets or liabilities that the reporting entity has the ability to access at the measurement date.</w:t>
      </w:r>
    </w:p>
    <w:p>
      <w:pPr>
        <w:ind w:left="660" w:right="460" w:hanging="328"/>
        <w:spacing w:after="0" w:line="249" w:lineRule="auto"/>
        <w:tabs>
          <w:tab w:leader="none" w:pos="6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in markets that are not active or for which all significant inputs are observable, either directly or indirectly.</w:t>
      </w:r>
    </w:p>
    <w:p>
      <w:pPr>
        <w:ind w:left="640" w:hanging="308"/>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years ended December 31, 2024 and 2023.</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recognizes a contingent consideration liability related to the acquisition of Avidea Technologies, Inc. The liability is remeasured to fair value at each reporting date until the contingency is resolved. The fair value of the contingent consideration is a Level 3 valuation determined using significant unobservable inputs being the probability of success of achievement of the milestones and the expected date of the milestone achievement. Changes in fair value are recognized in general and administrative expenses in the consolidated statements of operations and comprehensive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Leases are accounted for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resulting in the recognition of lease liabilities and right-of-use assets. The Company only has operating leases. The Company has elected the practical expedient allowed under ASC 842 to account for each lease component (e.g., the right to use office space) and the associated non-lease components (e.g., maintenance services) as a single lease component. The Company also elected the short-term lease accounting policy for all asset classes; therefore, the Company is not recognizing a lease liability or right-of-use asset for any lease that, at the commencement date, has a lease term of 12 months or less and does not include an option to purchase the underlying asset that the Company is reasonably certain to exercise.</w:t>
      </w:r>
    </w:p>
    <w:p>
      <w:pPr>
        <w:spacing w:after="0" w:line="1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Variable lease payments such as the Company’s share of real estate taxes, utilities, and common area maintenance, are reported as non-lease operating expenses.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Company’s obligation to make lease payments arising from the lease. Right-of-use assets and liabilities are recognized at the lease commencement date based on the present value of lease payments over the lease term. 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Right-of-use assets also include the effect of any lease payments made and exclude lease incentives. The lease terms may include options to extend or terminate the lease when it is reasonably certain that the Company will exercise that option. Operating lease expense is recognized as part of total operating expenses on a straight-line basis over the lease term. The difference between the value of the right of use asset and lease liability is due to the reclassification of prepaid rent and unamortized lease incentives.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costs are expensed as incurred on an accrual basis. Research and development costs include payroll and personnel expense (including share-based compensation), consulting costs, external contract research and development expenses, raw materials, drug product manufacturing costs, and allocated overheads including depreciation and amortization, facility costs, and utilities. Research and development costs that are paid in advance of performance are capitalized as a prepaid expense and amortized over the service period as the services are provided.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costs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and licensing costs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and licensing costs are expensed as incurred because their is uncertainty as to any future economic benefits arising from these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are classified in stockholders’ equity and represent issued share capital.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paid-in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paid-in capital is classified in stockholders’ equity and represents the share premium account, where the difference between the price paid per share and the nominal value is recognized. The equity element of share based compensation is also recognized in additional paid in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based compensation</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grants options over ordinary shares and restricted shares units to employees or non-executive directors and accounts for share based compensation using the grant date fair value. Share based compensation awards are classified in the accompanying statements of operations and comprehensive loss based on the function to which the related services are provided. For service-based awards, compensation expense is generally recognized over the requisite service period of the awards, usually the vesting period. The Company applies the “multiple option” method of allocating expense. In applying this method, each vesting tranche of an award is treated as a separate grant and recognized on a straight-line basis over that tranche’s vesting period. For performance-based awards where the vesting of the awards may be accelerated upon the achievement of certain milestones, vesting and the related share-based compensation is recognized as an expense when it is probable the milestone will be met. Assumptions used in the option pricing model include the following:</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Previously there was insufficient trading history for the Company’s ordinary shares, therefore the expected price volatility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ordinary shares was estimated using the average historical volatility of industry peers’ shares as of the grant date of the Company's options over a period of history commensurate with the expected life of the options. When selecting industry peers used in measuring implied volatility, the Company considered the similarity of their products and business lines, as well as their stage of development, size and financial leverage. The Company applied this process consistently using the same or similar public companies until 2023. For options granted in 2023 and 2024, the Company determined that there is sufficient historical information on volatility of its share price available and the expected volatility used in the fair value calculation of new option grants is calculated based on a blended volatility of both historical volatility of the Company's share price and the average historical volatility of industry peers’ shares.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of the Company’s share options has been determined utilizing the “simplified” method for awards that qualify as “plain-vanilla” options. The “simplified” method was determined to be appropriate as the Company does not have sufficient historical exercise data to provide a reasonable basis upon which to estimate expected term due to the limited period of time its equity shares have been publicly traded.</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determined by reference to the U.S. Treasury yield curve in effect at the time of grant of the award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periods that are approximately equal to the expected term of the award.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Expected dividend yield of zero is based on the fact that the Company has never paid cash dividends on ordinary shares and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to pay any cash dividends in the foreseeable future.</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to recognize the effect of forfeitures on share-based compensation when they occur. Any differences in compensation recognized at the time of forfeiture are recorded as a cumulative adjustment in the period where the forfeiture occurs.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awards are modified, the Company compares the fair value of the affected award measured immediately prior to modification to its value after modification. To the extent that the fair value of the modified award exceeds the original award, the incremental fair value of the modified award is recognized as compensation on the date of modification for vested awards, and over the remaining vesting period for unvested awards.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financial statements reflect provisions for income taxes in the United Kingdom and foreign jurisdictions. Deferred tax assets and liabilities represent future tax consequences of temporary differences between the financial statement carrying amounts and the tax basis of assets and liabilities and for loss carryforwards using enacted tax rates expected to be in effect in the years in which the differences reverse. A valuation allowance is recorded when it is more likely than not that some or all of the deferred tax assets will not be realized.</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 nor has it recorded any unrecognized tax benefits.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incentives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the United Kingdom, the Company had previously been entitled to a research and development tax credit regime, being the Small and Medium-sized Enterprises R&amp;D tax relief program, or SME Program, and, to the extent that our projects are grant funded or relate to work subcontracted to us by third parties, the Research and Development Expenditure Credit program, or RDEC Program. Qualifying expenditures largely comprise employment costs for research staff, consumables, outsourced contract research organization costs, externally provided workers and utilities costs incurred as part of research projects. A large portion of costs relating to research and development, clinical trials and manufacturing activities are eligible for inclusion within these tax credit cash rebate claims. From March 2023, under the SME program, the Company is able to surrender some of its trading losses that arise from qualifying research and development activities for a cash rebate of up to 18.6% of such qualifying research and development expenditure, as the SME additional deduction is 86% and the SME credit rate is 10%, unless the SME qualifies as an R&amp;D intensive business; that is, R&amp;D expenditure constitutes at least 40% (from April 1, 2023) or 30% (from accounting periods starting on or after April 1, 2024) of total expenditure. From the analysis performed, the Company has not and do not currently expect to claim under the loss-making R&amp;D Intensive Scheme for SMEs primarily due to the proportion of total relevant expenditure occurring outside the United Kingdom. If the Company incurs tax losses, the Company is entitled to surrender the lesser of unrelieved tax loss sustained and the tax relief. As the realization of the tax relief does not depend on our generation of future taxable income or the Company’s ongoing tax status or tax position, the Company does not consider the tax relief as an element of income tax accounting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and records the tax relief as a form of government grant or assistance. For the years ended December 31, 2024 and 2023, the Company recognized research and development incentives of $4.0 million and $3.5 million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ordinary shareholders by the weighted-average number of ordinary shares outstanding for the reporting period without consideration for potentially dilutive securities. Net loss attributable to ordinary shareholders is computed as if all net loss for the period had been distributed. During periods in which the Company incurred a net loss, the Company allocates no net loss to participating securities because they do not have a contractual obligation to share in the net loss of the Company.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diluted net loss per ordinary share after giving consideration to all potentially dilutive ordinary equivalents, including stock options outstanding during the period, except where the effect of such non-participating securities would be antidilutive.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net loss per share is computed by dividing the net loss attributable to ordinary shareholders by the weighted-average number of ordinary shares and dilutive ordinary share equivalents outstanding for the period, determined using the treasury-stock and if-converted methods.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provision for contingent liabilities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The Company is a party to certain litigation and disputes arising in the normal course of business. As of December 31, 2024, the Company does not expect that such matters will have a material adverse effect on the Company’s business, financial position, results of operations, or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or other standard 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applications dates for public and nonpublic companies, the Company can adopt the new or revised standard at the time nonpublic companies adopt the new or revised standard and can do so until such time the Company either (i) irrevocably elects to “opt out” of such extended transition period or (ii) no longer qualifies as an emerging growth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reviewed all recently issued standards and have determined that such standards do not or will not have a material impact on our consolidated financial statements or do not otherwise apply to our current operations.</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 Disclosures. The amendments require incremental disclosures related to a public entity’s reportable segments but does not change the definition of a segment, the method for determining segments, or the criteria for aggregating operating segments into reportable segments. The most significant change required by the ASU is for a public entity to disclose its significant segment expense categories and amounts for each reportable segment. The Company adopted this standard for the year ended December 31, 2024 on a retrospective basis and the adoption did not have a material impact on its consolidated financial statements and related disclosures as this information was already publicly disclosed.</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which requires disaggregation of specific expense categories in the notes to the financial statements and a qualitative description of the remaining expense amounts not separately disaggregated. This standard is effective for annual reporting periods beginning after December 15, 2026, and requires prospective application with the option to apply it retrospectively. We are currently evaluating the impact of adopting this standard to determine its impact on our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Segment information</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("CODM"), the Company’s Chief Executive Officer, in making decisions regarding resource allocation and assessing performance. The CODM approves key operating and strategic decisions, including key decisions in clinical development and clinical operating activities, entering into significant contracts and approves the Company's consolidated operating budget. The Company views its operations and manages its business as one operating segment, the research and development of immunotherapies and vaccines. The chief operating decision maker uses loss before income tax to monitor budget versus actual results and decide how to use the Company's resources. As the Company operates in one operating segment, all required financial segment information can be found in these consolidated financial statements. The following table is a summary of our significant segment expenses:</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4"/>
                <w:szCs w:val="14"/>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r>
      <w:tr>
        <w:trPr>
          <w:trHeight w:val="190"/>
        </w:trPr>
        <w:tc>
          <w:tcPr>
            <w:tcW w:w="7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7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VTP-1000 Celiac</w:t>
            </w:r>
            <w:r>
              <w:rPr>
                <w:rFonts w:ascii="Times New Roman" w:cs="Times New Roman" w:eastAsia="Times New Roman" w:hAnsi="Times New Roman"/>
                <w:sz w:val="23"/>
                <w:szCs w:val="23"/>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w:t>
            </w:r>
          </w:p>
        </w:tc>
      </w:tr>
      <w:tr>
        <w:trPr>
          <w:trHeight w:val="257"/>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VTP-300 HBV</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w:t>
            </w:r>
          </w:p>
        </w:tc>
      </w:tr>
      <w:tr>
        <w:trPr>
          <w:trHeight w:val="24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VTP-850 Prostate cancer</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r>
      <w:tr>
        <w:trPr>
          <w:trHeight w:val="27"/>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VTP-200 HPV</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27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VTP-600 NSCLC</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7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VTP-500 MERS</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and earlier stage programs</w:t>
            </w:r>
            <w:r>
              <w:rPr>
                <w:rFonts w:ascii="Times New Roman" w:cs="Times New Roman" w:eastAsia="Times New Roman" w:hAnsi="Times New Roman"/>
                <w:sz w:val="23"/>
                <w:szCs w:val="23"/>
                <w:color w:val="auto"/>
                <w:vertAlign w:val="superscript"/>
              </w:rPr>
              <w:t>4</w:t>
            </w:r>
          </w:p>
        </w:tc>
        <w:tc>
          <w:tcPr>
            <w:tcW w:w="1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5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29,756</w:t>
            </w:r>
          </w:p>
        </w:tc>
      </w:tr>
      <w:tr>
        <w:trPr>
          <w:trHeight w:val="25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7"/>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Personnel-related (including share-based compensation)</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w:t>
            </w:r>
          </w:p>
        </w:tc>
      </w:tr>
      <w:tr>
        <w:trPr>
          <w:trHeight w:val="25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Facility related</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57"/>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indirect costs</w:t>
            </w:r>
          </w:p>
        </w:tc>
        <w:tc>
          <w:tcPr>
            <w:tcW w:w="10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50"/>
        </w:trPr>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15,118</w:t>
            </w:r>
          </w:p>
        </w:tc>
      </w:tr>
      <w:tr>
        <w:trPr>
          <w:trHeight w:val="282"/>
        </w:trPr>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44,874</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left="20" w:right="20"/>
        <w:spacing w:after="0" w:line="281" w:lineRule="auto"/>
        <w:rPr>
          <w:sz w:val="20"/>
          <w:szCs w:val="20"/>
          <w:color w:val="auto"/>
        </w:rPr>
      </w:pPr>
      <w:r>
        <w:rPr>
          <w:rFonts w:ascii="Times New Roman" w:cs="Times New Roman" w:eastAsia="Times New Roman" w:hAnsi="Times New Roman"/>
          <w:sz w:val="14"/>
          <w:szCs w:val="14"/>
          <w:i w:val="1"/>
          <w:iCs w:val="1"/>
          <w:color w:val="auto"/>
        </w:rPr>
        <w:t>1 Research and development expenses related to VTP-1100 HPV Cancer were presented together with VTP-1000 Celiac in the prior period comparative, because our SNAP product candidates were both preclinical. Expenses related to VTP-1100 HPV Cancer are now included in "Other and earlier stage programs," because we are deferring the planned IND application for VTP-1100 in HPV cancer and we have initiated the clinical trial for VTP-1000 Celiac.</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2 The VTP-600 NSCLC/ESCC Phase 1/2a trial is sponsored by Cancer Research U.K.</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3 The development of VTP-500 is funded pursuant to an agreement with the Coalition for Epidemic Preparedness Innovations (CEPI).</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4 This includes $0.9 million of personnel-related indirect expenses relating to time spent progressing the VTP-500 MERS program, which is funded by CEPI.</w:t>
      </w:r>
    </w:p>
    <w:p>
      <w:pPr>
        <w:spacing w:after="0" w:line="34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operates in two geographic regions: the U.S. and the U.K. The following table summarizes the Company’s long-lived assets, which include the Company’s intangible assets, property and equipment, net and right-of-use assets by geography: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0"/>
        </w:trPr>
        <w:tc>
          <w:tcPr>
            <w:tcW w:w="33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r>
      <w:tr>
        <w:trPr>
          <w:trHeight w:val="23"/>
        </w:trPr>
        <w:tc>
          <w:tcPr>
            <w:tcW w:w="33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32,805</w:t>
            </w:r>
          </w:p>
        </w:tc>
        <w:tc>
          <w:tcPr>
            <w:tcW w:w="440" w:type="dxa"/>
            <w:vAlign w:val="bottom"/>
          </w:tcPr>
          <w:p>
            <w:pPr>
              <w:spacing w:after="0"/>
              <w:rPr>
                <w:sz w:val="21"/>
                <w:szCs w:val="21"/>
                <w:color w:val="auto"/>
              </w:rPr>
            </w:pPr>
          </w:p>
        </w:tc>
      </w:tr>
      <w:tr>
        <w:trPr>
          <w:trHeight w:val="25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8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440" w:type="dxa"/>
            <w:vAlign w:val="bottom"/>
          </w:tcPr>
          <w:p>
            <w:pPr>
              <w:spacing w:after="0"/>
              <w:rPr>
                <w:sz w:val="21"/>
                <w:szCs w:val="21"/>
                <w:color w:val="auto"/>
              </w:rPr>
            </w:pPr>
          </w:p>
        </w:tc>
      </w:tr>
      <w:tr>
        <w:trPr>
          <w:trHeight w:val="270"/>
        </w:trPr>
        <w:tc>
          <w:tcPr>
            <w:tcW w:w="3340" w:type="dxa"/>
            <w:vAlign w:val="bottom"/>
            <w:shd w:val="clear" w:color="auto" w:fill="CCEEFF"/>
          </w:tcPr>
          <w:p>
            <w:pPr>
              <w:spacing w:after="0"/>
              <w:rPr>
                <w:sz w:val="23"/>
                <w:szCs w:val="23"/>
                <w:color w:val="auto"/>
              </w:rPr>
            </w:pP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44,510</w:t>
            </w:r>
          </w:p>
        </w:tc>
        <w:tc>
          <w:tcPr>
            <w:tcW w:w="440" w:type="dxa"/>
            <w:vAlign w:val="bottom"/>
          </w:tcPr>
          <w:p>
            <w:pPr>
              <w:spacing w:after="0"/>
              <w:rPr>
                <w:sz w:val="23"/>
                <w:szCs w:val="23"/>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885"/>
        </w:trPr>
        <w:tc>
          <w:tcPr>
            <w:tcW w:w="3340" w:type="dxa"/>
            <w:vAlign w:val="bottom"/>
          </w:tcPr>
          <w:p>
            <w:pPr>
              <w:spacing w:after="0"/>
              <w:rPr>
                <w:sz w:val="24"/>
                <w:szCs w:val="24"/>
                <w:color w:val="auto"/>
              </w:rPr>
            </w:pPr>
          </w:p>
        </w:tc>
        <w:tc>
          <w:tcPr>
            <w:tcW w:w="3900" w:type="dxa"/>
            <w:vAlign w:val="bottom"/>
            <w:gridSpan w:val="2"/>
          </w:tcPr>
          <w:p>
            <w:pPr>
              <w:jc w:val="right"/>
              <w:ind w:right="1440"/>
              <w:spacing w:after="0"/>
              <w:rPr>
                <w:sz w:val="20"/>
                <w:szCs w:val="20"/>
                <w:color w:val="auto"/>
              </w:rPr>
            </w:pPr>
            <w:r>
              <w:rPr>
                <w:rFonts w:ascii="Times New Roman" w:cs="Times New Roman" w:eastAsia="Times New Roman" w:hAnsi="Times New Roman"/>
                <w:sz w:val="18"/>
                <w:szCs w:val="18"/>
                <w:color w:val="auto"/>
              </w:rPr>
              <w:t>F-14</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Foreign Currency Translation in General and Administrative Expenses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net foreign exchange gain or loss recognized in general and administrative expenses for the year ended December 31, 2024, and 2023, was a gain of $2.4 million and a loss of $7.6 million,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Loss Per Share</w:t>
      </w:r>
    </w:p>
    <w:p>
      <w:pPr>
        <w:spacing w:after="0" w:line="21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years ended December 31, 2024 and 2023 (in thousands, except number of shares and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8"/>
                <w:szCs w:val="18"/>
                <w:color w:val="auto"/>
              </w:rPr>
            </w:pP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attributable to Barinthus Biotherapeutics plc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ordinary shares outstanding, basic</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39,348,240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38,386,491</w:t>
            </w:r>
          </w:p>
        </w:tc>
        <w:tc>
          <w:tcPr>
            <w:tcW w:w="0" w:type="dxa"/>
            <w:vAlign w:val="bottom"/>
          </w:tcPr>
          <w:p>
            <w:pPr>
              <w:spacing w:after="0"/>
              <w:rPr>
                <w:sz w:val="1"/>
                <w:szCs w:val="1"/>
                <w:color w:val="auto"/>
              </w:rPr>
            </w:pPr>
          </w:p>
        </w:tc>
      </w:tr>
      <w:tr>
        <w:trPr>
          <w:trHeight w:val="25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ordinary shares outstanding, diluted</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39,348,240</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38,386,491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 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the Company was in a loss position for all periods presented, basic net loss per share is the same as diluted net loss per share, as the inclusion of all potential ordinary share equivalents outstanding would have been anti-dilutive. For the year ended December 31, 2024, 7,285,275 (December 31, 2023: 6,207,664) potential ordinary shares issuable for stock options were excluded from the computation of diluted weighted-average shares outstanding because including them would have had an anti-dilutive effect.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15,509</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impairment charges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w:t>
            </w:r>
          </w:p>
        </w:tc>
      </w:tr>
      <w:tr>
        <w:trPr>
          <w:trHeight w:val="21"/>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 ended December 31, 2024 was $2.6 million (December 31, 2023: $2.3 million).</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identified circumstances that could indicate that the carrying amount of the property and equipment located in the U.K. and the U.K. operating lease right-of-use asset may not be recoverable as of December 31, 2024, as it was more likely than not that the Company would cease the operating activities undertaken in the laboratory and office space in Harwell, Oxfordshire in 2025, significantly before the end of the previously estimated useful lives. The Company performed an impairment assessment of the property and equipment within the U.K. asset group using the income approach as of December 31, 2024 and recorded an impairment charge within general and administrative expenses of $2.7 million to write down assets to their estimated recoverable amount. The impairment charge is subject to a number of assumptions and actual results may differ. The Company will continue to refine these assumptions as additional information becomes available. The significant assumptions used in determining the estimated fair value of the property and equipment located in the U.K. are which assets that will be either sold, disposed of or transferred and, if relevant, the price that will be achieved upon a successful sales transaction. Significant changes in these inputs could have a material effect on the fair value measurement. See Note 17 Commitments and Contingencies for details of the impairment assessment performed over the U.K. operating lease right-of-use asset, which is part of the U.K. asset group.</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 Net</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gross amount of amortizable intangible assets, consisting of acquired developed technology, was $31.6 million at both December 31, 2024 and 2023 and accumulated amortization was $9.7 million and $6.5 million as of December 31, 2024 and 2023, respectively. The amortization expense for the year ended December 31, 2024 was $3.2 million (December 31, 2023: $3.2 million). The estimated annual amortization expense is $3.2 million for the years 2025 through to 2031.</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reviews long-lived assets to be held and used, including intangible assets, for impairment whenever events or changes in circumstances indicate that the carrying amount of the assets or asset group may not be recoverable. The Company has identified circumstances that could indicate that the carrying amount of the Company's intangible assets may not be recoverable, being a sustained decline in the price of the Company’s ADSs, whereby the market capitalization continues to be below the value of the net assets of the Company, and during 2024, the strategic expected use of the SNAP platform shifted from being a complementary platform to the viral vector platform to being solely used in the development of novel immunotherapeutic candidates for treating autoimmune and inflammatory diseases, and being called SNAP-TI (Tolerance Immunotherapy). Therefore, the Company performed a quantitative impairment assessment using the income approach as of December 31, 2024, and determined that the carrying amount of the Company's intangible assets are recoverable, hence no impairment loss related to long-lived assets has been recognized.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carrying amount of goodwill was nil at December 31, 2024 (December 31, 2023: $12.2 million). The Company has performed the annual impairment assessment and identified qualitative indicators of impairment, most notably the share price drop in November 2024, including the lack of recovery thereof, and the strategic considerations to partner VTP-300 for future clinical development. Therefore, the Company performed a qualitative impairment assessment and determined that it was more likely than not that the fair value of the reporting unit is less than its carrying amount. The reporting unit comprises the net assets of the Company. The Company then performed a quantitative impairment assessment using the income approach to determine the fair value of the reporting unit, including the net present value of clinical stage assets and overhead costs. Based on the quantitative assessment, the Company determined that the fair value of the reporting unit is less than its carrying amount as of December 31, 2024, and, as a result, recognized a goodwill impairment charge of $12.2 million.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impairment charges</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impairment charges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6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Prepaid and Other Current Assets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8"/>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current assets consist of the following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4"/>
        </w:trPr>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Tax receivable</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5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9,907</w:t>
            </w: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 and Other Current Liabilities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manufacturing and clinical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Tax payable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81"/>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Out-licenses and Grants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OUI license</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April 2020, the Company entered into an Amendment, Assignment and Revenue Sharing Agreement (“License Agreement Amendment”) with Oxford University Innovation, or OUI, which vested and assigned all intellectual property rights in relation to any ChAdOx1 or ChAdOx2 vector-based vaccine jointly owned by the Company and OUI in order to facilitate the license of vaccines based on the ChAdOx1 by OUI to AstraZeneca plc (“AstraZeneca”). Under this agreement, the Company is entitled to receive from OUI a share of all payments received by OUI from AstraZeneca in respect of the vaccine based on the ChAdOx1. On December 30, 2020, AstraZeneca announced that vaccine based on the ChAdOx1 which the Company refers to as Vaxzevria had been approved for emergency supply in the United Kingdom by the United Kingdom Medicines and Healthcare products Regulatory Agency (MHRA).</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determined that the intellectual property vested and assigned under the License Agreement Amendment is a functional intellectual property (that is, it has significant standalone functionality in the form of its ability to treat a disease or condition) and there is no expectation under the License Agreement Amendment that the Company will undertake activities to change the functionality. Consequently, the Company concluded that the nature of the Company’s promise in transferring the intellectual property is to provide a right to use the Company’s functional intellectual property. Accordingly, the Company recognizes revenue in a manner that depicts the Company satisfying its performance obligation of allowing use of its intellectual property based on the terms of OUI’s agreement with AstraZeneca.</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March 28, 2022, pursuant to the OUI License Agreement Amendment, the Company was notified of the commencement of payments to us arising from AstraZeneca’s commercial sales of Vaxzevria. Under the terms of an exclusive worldwide license agreement between OUI and AstraZeneca, OUI is entitled to milestone payments and royalties on commercial sales of Vaxzevria that began after the pandemic period. As part of the assignment to OUI, the company is entitled to receive approximately 24% of payments received by OUI from AstraZeneca. In October 2024, the Company was informed of additional amounts due to the Company from Oxford University Innovation (OUI) in relation to the Company's share of royalties received by OUI as a result of prior commercial sales of Vaxzevria by AstraZeneca. As a result, for the year ended December 31, 2024, the Company recognized approximately $15.0 million as revenue (year ended December 31, 2023: $0.8 million) and had an outstanding receivable of nil as of December 31, 2024 (2023: nil). In 2024, AstraZeneca announced its planned withdrawal of Vaxzevria as demand had declined, and therefore the Company does not expect to receive any further payments relating to future commercial sales of Vaxzevria and, if such payments are due, that the Company will be notified of such payments in a timely manner.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Coalition for Epidemic Preparedness Innovations (“CEPI”) Funding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20, 2023, Barinthus Biotherapeutics (U.K.) Limited (the “Company”), the Chancellors, Masters and Scholars of the University of Oxford (“Oxford,” together with the Company, the “Partners”) and the Coalition for Epidemic Preparedness Innovations (“CEPI”) entered into a Funding Agreement (the “Funding Agreement”) pursuant to which CEPI will provide funding of up to $34.8 million to the Company to advance the development of VTP-500, the Company’s vaccine candidate against Middle East Respiratory Syndrome (“MERS,” and such development activities, the “Project”). In December 2023, VTP-500 received PRIME (PRIority MEdicines) designation by the European Medicines Agency.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Funding Agreement, the Company has agreed to pay CEPI on a country-by-country basis increasing mid-single digit percentage royalties of net sales and net income with respect to future cash sales of VTP-500, less certain deductions, for a period starting on December 20, 2023 (“Effective Date”) and ending the later of: (i) the expiration of the last valid patent claim included in intellectual property developed under the Project covering VTP-500 in such country, (ii) the expiration of Regulatory Exclusivity (as defined in the Funding Agreement) for VTP-500 in such country, and (iii) the tenth (10th) anniversary of the first commercial sale of VTP-500 (the “Royalty Term”). The Company shall also pay CEPI a mid-double digit percentage of net revenue earned on VTP-500 until CEPI has received payments from the Company under the Funding Agreement equaling the total amount of funding paid by CEPI to the Company and a low double-digit percentage of such net revenue thereafter. Sales for the benefit of end users in specified low and middle income countries (“LMICs”) and upper and middle income countries (“UMICs”) are excluded from the calculations of net sales and net revenue. Sales of product for the benefit of end users in LMICs and UMICs are subject to tiered discounted pricing requirements under the Funding Agreement. The Company is further required to pay a mid-double digit percentage of any proceeds earned on any priority review voucher related to VTP-500 during the Royalty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$3.0 million proceeds have been received and $1.2 million income has been recognized in relation to this contract.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presented as other operating income in the consolidated statements of operations and comprehensive loss.</w:t>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Funding Agreement cash payments are restricted as to the use and management of the funds. The remaining unused amounts of the Funding Agreement cash payments of $1.7 million as of December 31, 2024, are reflected in restricted cash in the consolidated balance sheets until expenditures contemplated in the Funding Agreement are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w:t>
      </w:r>
    </w:p>
    <w:p>
      <w:pPr>
        <w:spacing w:after="0" w:line="2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Payments received from CEPI in advance of the eligible research and development expenses being incurred are disclosed as deferred income separately in the consolidated balance sheets. Deferred income is released to the consolidated statements of operations and comprehensive loss in the period in which such research and development activities are actually performed in a manner that satisfies the conditions of the Funding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income during the years ended December 31, 2024 and 2023,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 received</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recognized related to the Funding Agreement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Ordinary Shares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4, 2021, the Company closed its initial public offering (“IPO”) of 6,500,000 ADS representing 6,500,000 ordinary shares having a nominal value of £0.000025 per share, at a public offering price of $17.00 per share, for aggregate net proceeds of $102.8 million after deducting underwriting commissions of $7.7 million and incurred offering costs of $2.2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ordinary shares rank pari passu as a single class. The following is a summary of the rights and privileges of the holders of ordinary shares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Liquidation preference: </w:t>
      </w:r>
      <w:r>
        <w:rPr>
          <w:rFonts w:ascii="Times New Roman" w:cs="Times New Roman" w:eastAsia="Times New Roman" w:hAnsi="Times New Roman"/>
          <w:sz w:val="18"/>
          <w:szCs w:val="18"/>
          <w:color w:val="auto"/>
        </w:rPr>
        <w:t>In the event of the liquidation, dissolution or winding up of the Company, the assets of the Company available for distribution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the ordinary shares shall be distributed amongst all holders of the ordinary shares in proportion to the number of shares held irrespective of the amount paid or credited as paid on any share.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the ordinary shares are entitled to dividends, as may be recommended from time to time by the Board and declared by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out of legally available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holder of ordinary shares is entitled to one vote for each share on all matters to be voted on by ordinary shareholders.</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Preemption rights: </w:t>
      </w:r>
      <w:r>
        <w:rPr>
          <w:rFonts w:ascii="Times New Roman" w:cs="Times New Roman" w:eastAsia="Times New Roman" w:hAnsi="Times New Roman"/>
          <w:sz w:val="18"/>
          <w:szCs w:val="18"/>
          <w:color w:val="auto"/>
        </w:rPr>
        <w:t>Pursuant to section 561 of the Companies Act 2006, shareholders are granted preemptive rights when new shares are issued for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it is possible for our Articles, or shareholders at a general meeting representing at least 75% of our ordinary shares present (in person or by proxy) and eligible to vote at that general meeting, to disapply these preemptive rights. Such a disapplication of preemption rights may be for a maximum period of up to five years from the date of the shareholder special resolution. In either case, this disapplication would need to be renewed by our shareholders upon its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to remain effective.</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21, 2021, our shareholders approved the disapplication of preemptive rights for a period of five years from the date of approval by way of a special resolution of our shareholders. This included the disapplication of preemption rights in relation to the allotment of our ordinary shares in connection with the IPO. This disapplication will need to be renewed upon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to remain effective, but may be sought more frequently for additional five-year terms (or any shorter period).</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November 6, 2023, the Company held a general meeting where our shareholders approved resolutions granting our board of directors or any duly authorized committee of the board of directors the authority to allot shares in the Company or grant rights to subscribe for or to convert any security into shares in the Company free from preemption rights. Pursuant to such approval, our board of directors was authorized to allot shares up to an aggregate nominal amount of £1,928 free from statutory preemption rights.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has reserved the following ordinary shares for future issuance: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7,285,275</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available for future stock incentive plan awards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1,906,080</w:t>
            </w:r>
          </w:p>
        </w:tc>
      </w:tr>
      <w:tr>
        <w:trPr>
          <w:trHeight w:val="282"/>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9,191,355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Deferred Shares</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All deferred shares rank pari passu as a single class. The deferred shares do not have rights to dividends or to participate in profits on a return of assets on liquidation, the deferred shares confer on the holders thereof an entitlement to receive out of the assets of the Company available for distribution amongst the shareholders (subject to the rights of any new class of shares with preferred rights) the amount credited as paid up on the deferred shares held by them respectively after (but only after) payment shall have been made to the holders of the ordinary shares of the amounts paid up or credited as paid up on such shares and the sum of £1.0 million ($1.4 million) in respect of each ordinary share held by them respectively. The deferred shares shall confer on the holders thereof no further right to participate in the assets of the Company.</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March 29, 2023, all deferred B shares (nominal value of £0.01 each) and deferred C shares (nominal value of £0.00000736245954692556 each) previously in issue were transferred back to the Company and subsequently cancelled. These deferred shares had previously been issued to certain pre-IPO shareholders in connection with the implementation of certain stages of the Company’s pre-IPO share capital reorganization. The Company received shareholder pre-approval on April 21, 2021 (pursuant to the shareholder resolutions passed on that date) in order to effect the transfer back and cancellation of the deferred shares for nil consideration in accordance with sections 659 and 662 of the Companies Act 2006.</w:t>
      </w:r>
    </w:p>
    <w:p>
      <w:pPr>
        <w:spacing w:after="0" w:line="208"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Company’s deferred A shares with a nominal value of £1.00 each remain in issue for the purposes of satisfying the minimum share capital requirements for a public limited company as prescribed by the Companies Act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of cash, cash equivalents and restricted cash, accounts receivable, accounts payable, certain accrued expenses, and contingent consideration. The carrying amounts of cash, cash equivalents and restricted cash, accounts receivable, accounts payable, and accrued expenses approximated their respective fair value due to the short-term nature and maturity of these instruments.</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of December 31, 2024, the Company had a contingent consideration liability of $2.7 million related to the acquisition of Avidea Technologies, Inc. Avidea’s stockholders may be entitled to receive an aggregate of up to $40.0 million in additional payments, payable in a combination of cash and ADSs, upon the achievement of certain milestones. To date, the Company has made settlement payments of $0.5 million. The fair value of the contingent consideration is a Level 3 valuation and determined using the cost approach. The significant unobservable inputs used in the fair value measurement of the contingent consideration are the probability of success of achievement of the milestones and the expected date of the milestone achievement, significant judgment is employed in determining the appropriateness of certain of these inputs. Significant increases (decreases) in the probability of success of achievement of the milestones would have resulted in a significantly higher (lower) fair value measurement. Significant extension (reduction) in the expected date of the milestone achievement would have resulted in a significantly lower (higher) fair value measurement.</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changes to our financial instruments carried at fair value and classified within Level 3 the fair value hierarchy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Pr>
          <w:p>
            <w:pPr>
              <w:spacing w:after="0"/>
              <w:rPr>
                <w:sz w:val="14"/>
                <w:szCs w:val="14"/>
                <w:color w:val="auto"/>
              </w:rPr>
            </w:pPr>
          </w:p>
        </w:tc>
        <w:tc>
          <w:tcPr>
            <w:tcW w:w="12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6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net loss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contingency</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translation recognized in other comprehensive loss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Share-Based Compensation</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April 8, 2021, the Board of the Company adopted the Barinthus Biotherapeutics plc Share Award Plan 2021 (“the Plan”) and the Barinthus Biotherapeutics plc Non-Employee Sub-Plan which is a sub-plan of the Plan. Under the terms of the Plan, the Board is permitted to grant awards to employees as restricted share units, options, share appreciation rights and restricted shares. The aggregate number of shares initially available for issuance under the Plan and the Barinthus Biotherapeutics plc Non-Employee Sub-Plan cannot exceed 3,675,680 ordinary shares (the “Initial Limit”). Beginning calendar year 2022, the total number of ordinary shares available for issuance under the Plan shall be increased on January 1 of each year in an amount equal to the lesser of (i) 4% of the Company’s issued and outstanding ordinary shares (which 4% limit shall be measured as of January 1 of such year) and</w:t>
      </w:r>
    </w:p>
    <w:p>
      <w:pPr>
        <w:spacing w:after="0" w:line="3" w:lineRule="exact"/>
        <w:rPr>
          <w:sz w:val="20"/>
          <w:szCs w:val="20"/>
          <w:color w:val="auto"/>
        </w:rPr>
      </w:pPr>
    </w:p>
    <w:p>
      <w:pPr>
        <w:jc w:val="both"/>
        <w:ind w:firstLine="8"/>
        <w:spacing w:after="0" w:line="241" w:lineRule="auto"/>
        <w:tabs>
          <w:tab w:leader="none" w:pos="27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ordinary shares as determined by the Compensation Committee of the Board in its discretion (the “Annual Increase”). In accordance with the terms of the Annual Increase, the total number of ordinary shares available for issuance under the Plan increased by 1,544,282 as of January 1, 2024. The awards generally vest based on the grantee’s continued service with the Company during a specified period following grant as determined by the Board and generally expire ten years from the grant date. Option awards generally vest over three years, but vesting conditions can vary at the discretion of the Company’s Board. As of December 31, 2024 and 2023, 1,906,080 and 1,623,840 ordinary shares are available for future grants, respectively.</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2018, the Company’s board of directors adopted the Enterprise Management Incentive Share Option Scheme (the “EMI Plan”) which provided for the grant of incentive stock options and nonqualified stock options to non-director employees of the Company. The Company also has a nonqualified stock option plan for officers and directors. The awards generally vest based on the grantee’s continued service with the Company during a specified period following grant as determined by the board of directors and generally expire ten years from the grant date. Option awards generally vest over three years, but vesting conditions can vary at the discretion of the Company’s board of directors. A total of 3,530,634 ordinary shares were reserved for issuance in accordance with the provisions of the EMI Plan and restricted stock unit (“RSUs”) plan. Upon adoption of the Plan, no further awards are to be made under the EMI Plan.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issued to employees was estimated at the date of grant using Black-Scholes with the following weighted-average assumptions:</w:t>
      </w:r>
    </w:p>
    <w:p>
      <w:pPr>
        <w:spacing w:after="0" w:line="223"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18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00" w:type="dxa"/>
            <w:vAlign w:val="bottom"/>
          </w:tcPr>
          <w:p>
            <w:pPr>
              <w:spacing w:after="0"/>
              <w:rPr>
                <w:sz w:val="16"/>
                <w:szCs w:val="16"/>
                <w:color w:val="auto"/>
              </w:rPr>
            </w:pPr>
          </w:p>
        </w:tc>
      </w:tr>
      <w:tr>
        <w:trPr>
          <w:trHeight w:val="216"/>
        </w:trPr>
        <w:tc>
          <w:tcPr>
            <w:tcW w:w="5740" w:type="dxa"/>
            <w:vAlign w:val="bottom"/>
          </w:tcPr>
          <w:p>
            <w:pPr>
              <w:spacing w:after="0"/>
              <w:rPr>
                <w:sz w:val="18"/>
                <w:szCs w:val="18"/>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7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108.73 %</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97.1 %</w:t>
            </w:r>
          </w:p>
        </w:tc>
      </w:tr>
      <w:tr>
        <w:trPr>
          <w:trHeight w:val="25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1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3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Previously there was insufficient trading history for the Company’s ordinary shares, therefore the expected price volatility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was estimated using the average historical volatility of industry peers’ shares as of the grant date of our options over a period of history commensurate with the expected life of the options. When selecting industry peers used in measuring implied volatility, the Company considered the similarity of their products and business lines, as well as their stage of development, size and financial leverage. The Company applied this process consistently using the same or similar public companies until 2023. For options granted in 2023 and 2024, the Company determined that there is sufficient historical information on volatility of its share price available and the expected volatility used in the fair value calculation of new option grants is calculated based on a blended volatility of both historical volatility of the Company's share price and the expected volatility of the average historical volatility of industry peers’ shares.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Expected term (years): </w:t>
      </w:r>
      <w:r>
        <w:rPr>
          <w:rFonts w:ascii="Times New Roman" w:cs="Times New Roman" w:eastAsia="Times New Roman" w:hAnsi="Times New Roman"/>
          <w:sz w:val="18"/>
          <w:szCs w:val="18"/>
          <w:color w:val="auto"/>
        </w:rPr>
        <w:t>Expected term represents the period that the Company’s option grants are expected to be outstanding. There is not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share exercise data to calculate the expected term of the stock options. Therefore, the Company elected to utilize the simplified method to value option grants. Under this approach, the weighted-average expected life is presumed to be the average of the vesting term and the contractual term of the option.</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Company determined the risk-free interest rate by using a weighted-average equivalent to the expected term based on the daily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Treasury yield curve rate in effect as of the date of grant.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does not anticipate paying any dividends in the foreseeable future.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is presented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040" w:type="dxa"/>
            <w:vAlign w:val="bottom"/>
          </w:tcPr>
          <w:p>
            <w:pPr>
              <w:spacing w:after="0"/>
              <w:rPr>
                <w:sz w:val="14"/>
                <w:szCs w:val="14"/>
                <w:color w:val="auto"/>
              </w:rPr>
            </w:pPr>
          </w:p>
        </w:tc>
        <w:tc>
          <w:tcPr>
            <w:tcW w:w="14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0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4"/>
        </w:trPr>
        <w:tc>
          <w:tcPr>
            <w:tcW w:w="5040" w:type="dxa"/>
            <w:vAlign w:val="bottom"/>
          </w:tcPr>
          <w:p>
            <w:pPr>
              <w:spacing w:after="0"/>
              <w:rPr>
                <w:sz w:val="17"/>
                <w:szCs w:val="17"/>
                <w:color w:val="auto"/>
              </w:rPr>
            </w:pPr>
          </w:p>
        </w:tc>
        <w:tc>
          <w:tcPr>
            <w:tcW w:w="14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0" w:type="dxa"/>
            <w:vAlign w:val="bottom"/>
          </w:tcPr>
          <w:p>
            <w:pPr>
              <w:spacing w:after="0"/>
              <w:rPr>
                <w:sz w:val="17"/>
                <w:szCs w:val="17"/>
                <w:color w:val="auto"/>
              </w:rPr>
            </w:pPr>
          </w:p>
        </w:tc>
        <w:tc>
          <w:tcPr>
            <w:tcW w:w="10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6,207,664</w:t>
            </w:r>
          </w:p>
        </w:tc>
        <w:tc>
          <w:tcPr>
            <w:tcW w:w="116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6.91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r>
      <w:tr>
        <w:trPr>
          <w:trHeight w:val="250"/>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2,170,352</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(171,981)</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0.00034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Forfeited/expired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(920,760)</w:t>
            </w: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8.54</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r>
      <w:tr>
        <w:trPr>
          <w:trHeight w:val="28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7,285,275</w:t>
            </w:r>
          </w:p>
        </w:tc>
        <w:tc>
          <w:tcPr>
            <w:tcW w:w="1160" w:type="dxa"/>
            <w:vAlign w:val="bottom"/>
            <w:tcBorders>
              <w:bottom w:val="single" w:sz="8" w:color="CCEEFF"/>
            </w:tcBorders>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5.76</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7.61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December 31,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3,629,105</w:t>
            </w:r>
          </w:p>
        </w:tc>
        <w:tc>
          <w:tcPr>
            <w:tcW w:w="116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7.93</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7.13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weighted-average grant date per-share fair value of stock options granted during the year ended December 31, 2024 was $2.66 per share (December 31, 2023: $1.99 per share). The aggregate intrinsic value of stock options exercised during the year ended December 31, 2024 was $0.4 million (December 31, 2023: $0.2 million). As of December 31, 2024, there was $3.1 million (2023: $3.0 million) of unrecognized compensation cost related to stock options, which is expected to be recognized over a weighted-average period of 1.46 years (2023: 1.60 years).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based compensation expense is classified in the consolidated statements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163195</wp:posOffset>
            </wp:positionV>
            <wp:extent cx="19456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75"/>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5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w:t>
            </w:r>
          </w:p>
        </w:tc>
      </w:tr>
      <w:tr>
        <w:trPr>
          <w:trHeight w:val="28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before income taxes are as follows (in thousands):</w:t>
      </w:r>
    </w:p>
    <w:p>
      <w:pPr>
        <w:spacing w:after="0" w:line="273" w:lineRule="exact"/>
        <w:rPr>
          <w:sz w:val="20"/>
          <w:szCs w:val="20"/>
          <w:color w:val="auto"/>
        </w:rPr>
      </w:pPr>
    </w:p>
    <w:tbl>
      <w:tblPr>
        <w:tblLayout w:type="fixed"/>
        <w:tblInd w:w="8480" w:type="dxa"/>
        <w:tblCellMar>
          <w:top w:w="0" w:type="dxa"/>
          <w:left w:w="0" w:type="dxa"/>
          <w:bottom w:w="0" w:type="dxa"/>
          <w:right w:w="0" w:type="dxa"/>
        </w:tblCellMar>
      </w:tblPr>
      <w:tr>
        <w:trPr>
          <w:trHeight w:val="162"/>
        </w:trPr>
        <w:tc>
          <w:tcPr>
            <w:tcW w:w="122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62"/>
        </w:trPr>
        <w:tc>
          <w:tcPr>
            <w:tcW w:w="122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122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Kingdom</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foreign</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benefit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62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(27,510)</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(50,534)</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(24,507)</w:t>
            </w:r>
          </w:p>
        </w:tc>
      </w:tr>
      <w:tr>
        <w:trPr>
          <w:trHeight w:val="263"/>
        </w:trPr>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50"/>
        </w:trPr>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(61,227)</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(76,522)</w:t>
            </w:r>
          </w:p>
        </w:tc>
      </w:tr>
      <w:tr>
        <w:trPr>
          <w:trHeight w:val="27"/>
        </w:trPr>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120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2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62"/>
        </w:trPr>
        <w:tc>
          <w:tcPr>
            <w:tcW w:w="120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120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2023</w:t>
            </w:r>
          </w:p>
        </w:tc>
      </w:tr>
    </w:tbl>
    <w:p>
      <w:pPr>
        <w:spacing w:after="0" w:line="32" w:lineRule="exact"/>
        <w:rPr>
          <w:sz w:val="20"/>
          <w:szCs w:val="20"/>
          <w:color w:val="auto"/>
        </w:rPr>
      </w:pPr>
    </w:p>
    <w:p>
      <w:pPr>
        <w:sectPr>
          <w:pgSz w:w="11900" w:h="16838" w:orient="portrait"/>
          <w:cols w:equalWidth="0" w:num="2">
            <w:col w:w="7440" w:space="720"/>
            <w:col w:w="308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Current income tax benefit/(expense):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Foreign</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6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benefit</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r>
      <w:tr>
        <w:trPr>
          <w:trHeight w:val="21"/>
        </w:trPr>
        <w:tc>
          <w:tcPr>
            <w:tcW w:w="8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U.K. statutory income tax rate to the Company's effective tax rate as reflected in the consolidated financial statements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62"/>
        </w:trPr>
        <w:tc>
          <w:tcPr>
            <w:tcW w:w="794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9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23.52 %</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(decreases) resulting from:</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3"/>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Permanent differences</w:t>
            </w:r>
          </w:p>
        </w:tc>
        <w:tc>
          <w:tcPr>
            <w:tcW w:w="1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1.03</w:t>
            </w:r>
          </w:p>
        </w:tc>
      </w:tr>
      <w:tr>
        <w:trPr>
          <w:trHeight w:val="250"/>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(4.09)</w:t>
            </w:r>
          </w:p>
        </w:tc>
      </w:tr>
      <w:tr>
        <w:trPr>
          <w:trHeight w:val="263"/>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(4.94)</w:t>
            </w:r>
          </w:p>
        </w:tc>
      </w:tr>
      <w:tr>
        <w:trPr>
          <w:trHeight w:val="250"/>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6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16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1.23</w:t>
            </w:r>
          </w:p>
        </w:tc>
      </w:tr>
      <w:tr>
        <w:trPr>
          <w:trHeight w:val="263"/>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(11.84)</w:t>
            </w:r>
          </w:p>
        </w:tc>
      </w:tr>
      <w:tr>
        <w:trPr>
          <w:trHeight w:val="250"/>
        </w:trPr>
        <w:tc>
          <w:tcPr>
            <w:tcW w:w="7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6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(0.84)</w:t>
            </w:r>
          </w:p>
        </w:tc>
      </w:tr>
      <w:tr>
        <w:trPr>
          <w:trHeight w:val="281"/>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and for tax carryforwards. Significant components of the Company’s deferred tax assets and liabilities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23,589</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 based compensation</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Research and Development expenditure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36,233</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Right-of-use lease asset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Undistributed earnings of subsidiaries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Specified research and experimentation costs under Section 174 of the Internal Revenue Code are required to be capitalized and amortized ratably over five years for domestic expenditures and over 15 years for foreign expenditures. This provision of Section 174 became effective for tax years beginning after December 31, 2021. As a result of the capitalization of these costs in the current year, the Company has recorded a $6.2 million deferred tax asset (2023: $4.2 million).</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of December 31, 2024, the Company had a valuation allowance of $30.8 million (2023: $25.1 million) against its deferred tax assets, which consisted principally of net operating loss and research and development credit carryforwards. The Company considered the positive and negative evidence bearing upon its ability to realize the deferred tax assets. In addition to the Company’s history of cumulative losses, the Company cannot be certain that future taxable income will be sufficient to realize its deferred tax assets. Accordingly, a valuation allowance has been provided against its deferred tax assets. When the Company changes its determination as to the amount of its deferred tax assets that can be realized, the valuation allowance is adjusted with a corresponding impact to the provision for income taxes in the period in which such determination is made.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December 31, 2024 and 2023 related primarily to the increase in net operating loss and credit carryforwards, and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620" w:type="dxa"/>
            <w:vAlign w:val="bottom"/>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2"/>
        </w:trPr>
        <w:tc>
          <w:tcPr>
            <w:tcW w:w="6620" w:type="dxa"/>
            <w:vAlign w:val="bottom"/>
          </w:tcPr>
          <w:p>
            <w:pPr>
              <w:spacing w:after="0"/>
              <w:rPr>
                <w:sz w:val="14"/>
                <w:szCs w:val="14"/>
                <w:color w:val="auto"/>
              </w:rPr>
            </w:pPr>
          </w:p>
        </w:tc>
        <w:tc>
          <w:tcPr>
            <w:tcW w:w="1620" w:type="dxa"/>
            <w:vAlign w:val="bottom"/>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620" w:type="dxa"/>
            <w:vAlign w:val="bottom"/>
          </w:tcPr>
          <w:p>
            <w:pPr>
              <w:spacing w:after="0"/>
              <w:rPr>
                <w:sz w:val="16"/>
                <w:szCs w:val="16"/>
                <w:color w:val="auto"/>
              </w:rPr>
            </w:pPr>
          </w:p>
        </w:tc>
        <w:tc>
          <w:tcPr>
            <w:tcW w:w="1620" w:type="dxa"/>
            <w:vAlign w:val="bottom"/>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40" w:type="dxa"/>
            <w:vAlign w:val="bottom"/>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6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Valuations allowance at beginning of year</w:t>
            </w:r>
          </w:p>
        </w:tc>
        <w:tc>
          <w:tcPr>
            <w:tcW w:w="1620" w:type="dxa"/>
            <w:vAlign w:val="bottom"/>
            <w:shd w:val="clear" w:color="auto" w:fill="CCEEFF"/>
          </w:tcPr>
          <w:p>
            <w:pPr>
              <w:jc w:val="right"/>
              <w:ind w:right="14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13,707</w:t>
            </w:r>
          </w:p>
        </w:tc>
      </w:tr>
      <w:tr>
        <w:trPr>
          <w:trHeight w:val="250"/>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valuation allowance arising from in-year additions</w:t>
            </w:r>
          </w:p>
        </w:tc>
        <w:tc>
          <w:tcPr>
            <w:tcW w:w="162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6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16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w:t>
            </w:r>
          </w:p>
        </w:tc>
      </w:tr>
      <w:tr>
        <w:trPr>
          <w:trHeight w:val="250"/>
        </w:trPr>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16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81"/>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1620" w:type="dxa"/>
            <w:vAlign w:val="bottom"/>
            <w:tcBorders>
              <w:bottom w:val="single" w:sz="8" w:color="auto"/>
            </w:tcBorders>
            <w:shd w:val="clear" w:color="auto" w:fill="CCEEFF"/>
          </w:tcPr>
          <w:p>
            <w:pPr>
              <w:jc w:val="right"/>
              <w:ind w:right="14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net operating loss ("NOL") carryforwards totaling approximately $101.7 million which have an unlimited carryforward period, of which $75.6 million originate in the United Kingdom. As of December 31, 2024, the Company had $0.1 million of research and development tax credit carryforwards which also have an unlimited carryforward period.</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NOL carryforwards totaling approximately $92.7 million which have an unlimited carryforward period, of which $74.2 million originate in the United Kingdom. As of December 31, 2023, the Company had $0.4 million of research and development tax credit carryforwards which also have an unlimited carryforward period.</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of December 31, 2024 and 2023, the Company does not have any material unrecognized tax benefit liabilities. The Company files corporation/income tax returns in the United Kingdom, the United States, Switzerland, Australia and Italy. The associated tax filings remain subject to examination by applicable tax authorities for a certain length of time following the tax year to which those filings relate. In the United Kingdom, tax years from 2021 remain subject to examination by HMRC. In all other jurisdictions, the tax years since inception remain subject to examination by the applicable taxing authorities as of December 31, 2024 and 2023.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In-License Agreements</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is party to a number of licensing agreements, these agreements serve to provide the Company with the right to develop and exploit the counterparties’ intellectual property for certain medical indications. As part of execution of these arrangements, the Company paid certain upfront fees, which have been expensed as incurred because the developing technology has not yet reached technical feasibility, the lack of alternative use, and the lack of proof of potential value. The agreements cover a variety of fields, including influenza, cancer, HPV, HBV and MERS. The Company’s obligations for future payments under these arrangements are dependent on its ability to develop promising drug candidates, the potential market for these candidates and potential competing products, and the payment mechanisms in place in countries where the Company retains the right to sell. Each agreement provides for specific milestone payments, typically triggered by achievement of certain testing phases in human candidates, and future royalties ranging from 1 to 5% for direct sales of a covered product to 3 to 7% of net payments received for allowable sublicenses of technology developed by the Company. The obligation to make these payments is contingent upon the Company’s ability to develop candidates for submission for phased testing and approvals, and for the development of markets for the products developed by the Company. The Company has not made any material payments under these license agreements during the years ended December 31, 2024, and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certain laboratory and office space under operating leases, which are described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Harwell Science and Innovation Campus, Oxfordshire</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September 3, 2021, the Company entered into a lease agreement for the lease of approximately 31,000 square feet of laboratory and office space in Harwell, Oxfordshire, which expires in September 2031. As the Company’s leases typically do not provide an implicit rate, the Company uses an estimate of its incremental borrowing rate based on the information available at the lease commencement date, being the rate incurred to borrow on a collateralized basis over a similar term at an amount equal to the lease payments in a similar economic environment. The Company has provided the lessor with a refundable security deposit of $0.7 million which is included in Other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Germantown, Maryland</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June 14, 2022, the Company entered into a lease agreement for the lease of approximately 19,700 square feet in Germantown, Maryland. The site houses the Company’s state-of-the-art wet laboratory and office space in the United States of America. The lease expires on February 28, 2034, with the Company having a single right to extend for an additional five years on the same terms and conditions other than for the base rent. The Company had a rent-free period up to February 29, 2024 and is entitled to up to $3.5 million for leasehold improvements to the premises desired by the Company. The Company has provided the lessor with a refundable security deposit of $0.2 million which is included in Other assets.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recorded a right-of-use asset and a lease liability on the effective date of the lease term. The Company’s right-of-use assets and lease liabilities are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4"/>
                <w:szCs w:val="14"/>
                <w:color w:val="auto"/>
              </w:rPr>
            </w:pPr>
          </w:p>
        </w:tc>
        <w:tc>
          <w:tcPr>
            <w:tcW w:w="13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7,581</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current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1,785</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10,087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11,191</w:t>
            </w:r>
          </w:p>
        </w:tc>
      </w:tr>
      <w:tr>
        <w:trPr>
          <w:trHeight w:val="270"/>
        </w:trPr>
        <w:tc>
          <w:tcPr>
            <w:tcW w:w="7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639</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77"/>
        </w:trPr>
        <w:tc>
          <w:tcPr>
            <w:tcW w:w="79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lease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189</w:t>
            </w:r>
          </w:p>
        </w:tc>
      </w:tr>
      <w:tr>
        <w:trPr>
          <w:trHeight w:val="250"/>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883</w:t>
            </w:r>
          </w:p>
        </w:tc>
      </w:tr>
      <w:tr>
        <w:trPr>
          <w:trHeight w:val="281"/>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1,072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identified circumstances that could indicate that the carrying amount of the U.K. operating lease right-of-use asset and the property and equipment located in the U.K. may not be recoverable as of December 31, 2024, as it was more likely than not that the Company would cease the operating activities undertaken in the laboratory and office space in Harwell, Oxfordshire in 2025, significantly before the end of the previously estimated useful lives. The Company performed an impairment assessment of the U.K. operating lease right-of-use asset, which is part of the U.K. asset group, using the income approach and recorded an impairment charge within general and administrative expenses of $2.6 million to write down the asset to the estimated recoverable amount. The impairment charge is subject to a number of assumptions and actual results may differ. The Company will continue to refine these assumptions as additional information becomes available. The significant assumptions used in determining the estimated fair value of the U.K. operating lease right-of-use asset are the timing of successful termination of the Company's U.K. lease obligations and the value of any charges associated with terminating the Company's U.K. lease obligations. Significant changes in these inputs could have a material effect on the fair value measurement. See Note 6 Property and Equipment, Net for details of the impairment assessment performed over the property and equipment within the U.K. asset group.</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the Company’s minimum lease liabilities as of December 31, 2024 were as follows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7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Maturity of lease liabilities: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15,781</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w:t>
            </w:r>
          </w:p>
        </w:tc>
      </w:tr>
      <w:tr>
        <w:trPr>
          <w:trHeight w:val="281"/>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Non-lease and other costs paid to the lessors are primarily related to services provided by the lessors in operating the premises that includes fees, operating costs, taxes, and insurance related to the leased premises.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party to various contractual disputes, litigation, and potential claims arising in the ordinary course of business. The Company does not believe that the resolution of these matters will have a material adverse effect on its financial position or results of operations.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CROs and other third parties for clinical trials and preclinical research studies and testing. These contracts are generally cancellable by us upon prior notice. Payments due upon cancellation consist only of payments for services provided or expenses incurred, including noncancellable obligations of our service providers, up to the date of cancellation.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Employee Benefit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Kingdom, the Company has adopted a defined contribution plan (the U.K. Plan) which qualifies under the rules established by HM Revenue</w:t>
      </w:r>
    </w:p>
    <w:p>
      <w:pPr>
        <w:spacing w:after="0" w:line="27" w:lineRule="exact"/>
        <w:rPr>
          <w:sz w:val="20"/>
          <w:szCs w:val="20"/>
          <w:color w:val="auto"/>
        </w:rPr>
      </w:pPr>
    </w:p>
    <w:p>
      <w:pPr>
        <w:ind w:firstLine="8"/>
        <w:spacing w:after="0" w:line="245" w:lineRule="auto"/>
        <w:tabs>
          <w:tab w:leader="none" w:pos="20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Contributions to the U.K. Plan are charged to the consolidated statements of operations and comprehensive loss in the year to which they relate.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401(k) defined contribution retirement plans in which all its employees located in the United States are eligible to participate. Eligible employees may elect to contribute up to the maximum limits, as set by the Internal Revenue Service, of their eligible compensation. Contributions to the plans are charged to the consolidated statements of operations and comprehensive loss in the year to which they relate.</w:t>
      </w:r>
    </w:p>
    <w:p>
      <w:pPr>
        <w:spacing w:after="0" w:line="1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provided a total of $0.8 million (December 31, 2023: $0.7 million) in contributions under both the U.K. Plan and the 401(k) plans.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incurred expenses of nil (December 31, 2023: $0.4 million) from its shareholder, the University of Oxford, related to clinical study costs.</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incurred expenses of $0.8 million (December 31, 2023: $0.6 million) from OUI which is a wholly owned subsidiary of the Company’s shareholder, the University of Oxford, primarily related to patent costs.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license revenue of $15.0 million (December 31, 2023: $0.8 million) from OUI which is a wholly owned subsidiary of the Company’s shareholder, the University of Oxford.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Annual Increase of the Barinthus Biotherapeutics plc Share Award Plan 2021, the total number of ordinary shares available for issuance under the Plan increased by 4% of the Company’s issued and outstanding ordinary shares as of January 1, 2025.</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January 10, 2025, the Company announced that it will prioritize I&amp;I indications, including antigen-specific immune tolerance. As a result, the Company has extended the cash runway to the start of 2027 by reducing forecasted costs, including a reduction in headcount by approximately 65% across both the U.K. and U.S. sites, and streamlining the operating costs of the business. The Company estimates that the pre-tax costs of such reduction in workforce relating to employee severance and other employee-related costs may be in the region of $2.5 million with the majority of such costs being incurred in the first half of 2025. The estimates of the restructuring costs that the Company expects to incur and potential operating expense reductions, and the timing thereof, are subject to a number of assumptions and actual results may differ. As part of the restructuring, two of the executive leadership team members based in the U.K., the Chief Operating Officer, Graham Griffiths, and Chief Financial Officer, Gemma Brown, will leave the Company. The Company will not invest in VTP -300 in chronic hepatitis B beyond the completion of the ongoing Phase 2b HBV003 clinical trial and will seek potential partners able to take advantage of its differentiated ability to achieve sustained HBsAg loss and functional cure in patients with low levels of HBsAg.</w:t>
      </w:r>
    </w:p>
    <w:p>
      <w:pPr>
        <w:spacing w:after="0" w:line="13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January 16, 2025, the liquidation process of Barinthus Biotherapeutics S.r.l. was completed and the company was cancelled from the Italian Business Register.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2025, the Company granted a total of 1,341,802 share options to employees with a weighted average exercise price of $1.00.</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21" w:right="339" w:bottom="1440" w:gutter="0" w:footer="0" w:header="0"/>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33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This Employment Agreement (“Agreement”) is made by and between Barinthus Biotherapeutics Limited (“Parent”), Barinthus Biotherapeutics, Inc., a Delaware corporation (the “U.S. Subsidiary”), and Dr. Geoffrey Lynn, M.D., Ph.D. (the “Executive”) and is effective as of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December,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Parent, the U.S. Subsidiary, and their respective subsidiaries and other affiliates are collectively referred to herein as the “Company,” and the duties of the Company set forth in this Agreement may be discharged by any entity within that definition. In the interest of clarity, any intercompany transfer shall not be deemed a termination of the employment relationship unless otherwise specified at the time of the transfer.</w:t>
      </w:r>
    </w:p>
    <w:p>
      <w:pPr>
        <w:spacing w:after="0" w:line="195"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17"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400" w:firstLine="1304"/>
        <w:spacing w:after="0" w:line="227" w:lineRule="auto"/>
        <w:tabs>
          <w:tab w:leader="none" w:pos="1941"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Company shall employ the Executive and the Executive shall be employed by the Company pursuant to this Agreement commencing as of the Effective Date and continuing until such employment is terminated in accordance with the provisions hereof (the “Term”). The U.S. Subsidiary will maintain and distribute employment-related records. The Executive’s employment with the Company will be “at will,” meaning that the Executive’s employment may be terminated by the Company or the Executive at any time and for any reason subject to the terms of this Agreement.</w:t>
      </w:r>
    </w:p>
    <w:p>
      <w:pPr>
        <w:spacing w:after="0" w:line="153" w:lineRule="exact"/>
        <w:rPr>
          <w:rFonts w:ascii="Times New Roman" w:cs="Times New Roman" w:eastAsia="Times New Roman" w:hAnsi="Times New Roman"/>
          <w:sz w:val="21"/>
          <w:szCs w:val="21"/>
          <w:color w:val="auto"/>
        </w:rPr>
      </w:pPr>
    </w:p>
    <w:p>
      <w:pPr>
        <w:ind w:right="220" w:firstLine="1304"/>
        <w:spacing w:after="0" w:line="225" w:lineRule="auto"/>
        <w:tabs>
          <w:tab w:leader="none" w:pos="1939"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Position and Duties</w:t>
      </w:r>
      <w:r>
        <w:rPr>
          <w:rFonts w:ascii="Times New Roman" w:cs="Times New Roman" w:eastAsia="Times New Roman" w:hAnsi="Times New Roman"/>
          <w:sz w:val="21"/>
          <w:szCs w:val="21"/>
          <w:color w:val="auto"/>
        </w:rPr>
        <w:t>. The Executive shall serve as the Chief Scientific Officer of the Company and shall have such powers and duties as may from time to time be prescribed by the Chief Executive Officer (the “CEO”) or other duly authorized executive. The Executive shall devote the Executive’s full working time and efforts to the business and affairs of the Company. Notwithstanding the foregoing, the Executive may serve on other boards of directors, with the approval of Parent’s Board of Directors (the “Board”), or engage in religious, charitable or other community activities as long as such services and activities do not interfere with the Executive’s performance of the Executive’s duties to the Company.</w:t>
      </w:r>
    </w:p>
    <w:p>
      <w:pPr>
        <w:spacing w:after="0" w:line="153"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180" w:firstLine="1304"/>
        <w:spacing w:after="0" w:line="231" w:lineRule="auto"/>
        <w:tabs>
          <w:tab w:leader="none" w:pos="1941"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The Executive’s initial base salary shall be paid at the rate of $440,000 per year. The Executive’s base salary shall be subject to periodic review by the Board or the Compensation Committee of the Board (the “Compensation Committee”). The base salary in effect at any given time is referred to herein as “Base Salary.” The Base Salary shall be payable in a manner that is consistent with the Company’s usual payroll practices for its U.S. executive officers.</w:t>
      </w:r>
    </w:p>
    <w:p>
      <w:pPr>
        <w:spacing w:after="0" w:line="150" w:lineRule="exact"/>
        <w:rPr>
          <w:rFonts w:ascii="Times New Roman" w:cs="Times New Roman" w:eastAsia="Times New Roman" w:hAnsi="Times New Roman"/>
          <w:sz w:val="21"/>
          <w:szCs w:val="21"/>
          <w:color w:val="auto"/>
        </w:rPr>
      </w:pPr>
    </w:p>
    <w:p>
      <w:pPr>
        <w:ind w:firstLine="1304"/>
        <w:spacing w:after="0" w:line="225" w:lineRule="auto"/>
        <w:tabs>
          <w:tab w:leader="none" w:pos="1939"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Incentive Compensation</w:t>
      </w:r>
      <w:r>
        <w:rPr>
          <w:rFonts w:ascii="Times New Roman" w:cs="Times New Roman" w:eastAsia="Times New Roman" w:hAnsi="Times New Roman"/>
          <w:sz w:val="21"/>
          <w:szCs w:val="21"/>
          <w:color w:val="auto"/>
        </w:rPr>
        <w:t>. The Executive shall be eligible to receive cash incentive compensation as determined by the Board or the Compensation Committee from time to time. The Executive’s initial target annual incentive compensation shall be 40 percent of the Executive’s Base Salary. The target annual incentive compensation in effect at any given time is referred to herein as “Target Bonus.” The actual amount of the Executive’s annual incentive compensation, if any, shall be determined in the sole discretion of the Board or the Compensation Committee. Except as otherwise provided herein or as may be provided by the Board or the Compensation Committee, the Executive must be employed by the Company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ACTIVE/133839826.1</w:t>
      </w:r>
    </w:p>
    <w:p>
      <w:pPr>
        <w:sectPr>
          <w:pgSz w:w="11900" w:h="16838" w:orient="portrait"/>
          <w:cols w:equalWidth="0" w:num="1">
            <w:col w:w="11240"/>
          </w:cols>
          <w:pgMar w:left="320" w:top="1418"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2"/>
          <w:szCs w:val="22"/>
          <w:color w:val="auto"/>
        </w:rPr>
        <w:t>date such incentive compensation is paid in order to earn or receive any annual incentive compensation.</w:t>
      </w:r>
    </w:p>
    <w:p>
      <w:pPr>
        <w:spacing w:after="0" w:line="179" w:lineRule="exact"/>
        <w:rPr>
          <w:sz w:val="20"/>
          <w:szCs w:val="20"/>
          <w:color w:val="auto"/>
        </w:rPr>
      </w:pPr>
    </w:p>
    <w:p>
      <w:pPr>
        <w:ind w:right="80" w:firstLine="1304"/>
        <w:spacing w:after="0" w:line="225" w:lineRule="auto"/>
        <w:tabs>
          <w:tab w:leader="none" w:pos="194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U.S. executive officers.</w:t>
      </w:r>
    </w:p>
    <w:p>
      <w:pPr>
        <w:spacing w:after="0" w:line="152" w:lineRule="exact"/>
        <w:rPr>
          <w:rFonts w:ascii="Times New Roman" w:cs="Times New Roman" w:eastAsia="Times New Roman" w:hAnsi="Times New Roman"/>
          <w:sz w:val="22"/>
          <w:szCs w:val="22"/>
          <w:color w:val="auto"/>
        </w:rPr>
      </w:pPr>
    </w:p>
    <w:p>
      <w:pPr>
        <w:ind w:right="240" w:firstLine="1304"/>
        <w:spacing w:after="0" w:line="236" w:lineRule="auto"/>
        <w:tabs>
          <w:tab w:leader="none" w:pos="1939"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Location</w:t>
      </w:r>
      <w:r>
        <w:rPr>
          <w:rFonts w:ascii="Times New Roman" w:cs="Times New Roman" w:eastAsia="Times New Roman" w:hAnsi="Times New Roman"/>
          <w:sz w:val="21"/>
          <w:szCs w:val="21"/>
          <w:color w:val="auto"/>
        </w:rPr>
        <w:t>. The Executive shall primarily work from the U.S. office at 20400 Century Blvd., Germantown Maryland 20874; provided, however, that the Executive shall be required to regularly travel to Parent’s offices in the United Kingdom and will also be required to travel nationally and internationally on business as is necessary from time to time.</w:t>
      </w:r>
    </w:p>
    <w:p>
      <w:pPr>
        <w:spacing w:after="0" w:line="151" w:lineRule="exact"/>
        <w:rPr>
          <w:rFonts w:ascii="Times New Roman" w:cs="Times New Roman" w:eastAsia="Times New Roman" w:hAnsi="Times New Roman"/>
          <w:sz w:val="21"/>
          <w:szCs w:val="21"/>
          <w:color w:val="auto"/>
        </w:rPr>
      </w:pPr>
    </w:p>
    <w:p>
      <w:pPr>
        <w:ind w:right="40" w:firstLine="1304"/>
        <w:spacing w:after="0" w:line="220" w:lineRule="auto"/>
        <w:tabs>
          <w:tab w:leader="none" w:pos="194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 Executive shall be eligible to participate in or receive benefits under the Company’s employee benefit plans in effect from time to time for its U.S. employees, subject to the terms of such plans. For the avoidance of doubt, the Company shall not be obligated to contribute to any U.K. pension on behalf of the Executive, nor shall the Executive be eligible for any other U.K.-specific employment benefits.</w:t>
      </w:r>
    </w:p>
    <w:p>
      <w:pPr>
        <w:spacing w:after="0" w:line="152" w:lineRule="exact"/>
        <w:rPr>
          <w:rFonts w:ascii="Times New Roman" w:cs="Times New Roman" w:eastAsia="Times New Roman" w:hAnsi="Times New Roman"/>
          <w:sz w:val="22"/>
          <w:szCs w:val="22"/>
          <w:color w:val="auto"/>
        </w:rPr>
      </w:pPr>
    </w:p>
    <w:p>
      <w:pPr>
        <w:ind w:right="360" w:firstLine="1304"/>
        <w:spacing w:after="0" w:line="225" w:lineRule="auto"/>
        <w:tabs>
          <w:tab w:leader="none" w:pos="194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The Executive shall initially be eligible to ratably accrue up to 30 days of vacation each calendar year, which may be used in accordance with the Company’s applicable paid time off policy for its U.S. executive officers, as may be in effect from time to time.</w:t>
      </w:r>
    </w:p>
    <w:p>
      <w:pPr>
        <w:spacing w:after="0" w:line="152" w:lineRule="exact"/>
        <w:rPr>
          <w:rFonts w:ascii="Times New Roman" w:cs="Times New Roman" w:eastAsia="Times New Roman" w:hAnsi="Times New Roman"/>
          <w:sz w:val="22"/>
          <w:szCs w:val="22"/>
          <w:color w:val="auto"/>
        </w:rPr>
      </w:pPr>
    </w:p>
    <w:p>
      <w:pPr>
        <w:ind w:firstLine="1304"/>
        <w:spacing w:after="0" w:line="210" w:lineRule="auto"/>
        <w:tabs>
          <w:tab w:leader="none" w:pos="1939"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The Company shall ask the Board to approve a grant to Executive of 200,000 options over common shares of Parent (the “Options”), at an exercise price that is no less than the fair market value of a common share as of the date of grant of the Options. The Options will vest in three equal annual installments, with the first installment vesting on the first anniversary of the Effective Date and the remainder vesting in equal parts on the next two anniversaries of the Effective Date, subject to Executive’s continued employment with the Company as of each such vesting date. Any equity awards held by Executive shall be governed by the terms and conditions of the Company’s applicable equity incentive plan(s) and the applicable award agreement(s) governing the terms of such equity awards held by the Executive (collectively, the “Equity Documents”); provided, however, and notwithstanding anything to the contrary in the Equity Documents, in the event of a termination by the Company without Cause or by the Executive for Good Reason, in either event within the Change in Control Period (as such terms are defined below), all stock options and other stock-based awards held by the Executive that are subject solely to time-based vesting shall immediately accelerate and become fully vested and exercisable or nonforfeitable as of the Date of Termination (as defined below).</w:t>
      </w:r>
    </w:p>
    <w:p>
      <w:pPr>
        <w:spacing w:after="0" w:line="151" w:lineRule="exact"/>
        <w:rPr>
          <w:rFonts w:ascii="Times New Roman" w:cs="Times New Roman" w:eastAsia="Times New Roman" w:hAnsi="Times New Roman"/>
          <w:sz w:val="22"/>
          <w:szCs w:val="22"/>
          <w:color w:val="auto"/>
        </w:rPr>
      </w:pPr>
    </w:p>
    <w:p>
      <w:pPr>
        <w:ind w:right="340" w:firstLine="656"/>
        <w:spacing w:after="0" w:line="236"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Executive’s employment hereunder may be terminated without any breach of this Agreement under the following circumstances: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The Executive’s employment hereunder shall terminate upon death.</w:t>
      </w:r>
    </w:p>
    <w:p>
      <w:pPr>
        <w:spacing w:after="0" w:line="179" w:lineRule="exact"/>
        <w:rPr>
          <w:rFonts w:ascii="Times New Roman" w:cs="Times New Roman" w:eastAsia="Times New Roman" w:hAnsi="Times New Roman"/>
          <w:sz w:val="22"/>
          <w:szCs w:val="22"/>
          <w:color w:val="auto"/>
        </w:rPr>
      </w:pPr>
    </w:p>
    <w:p>
      <w:pPr>
        <w:ind w:right="540" w:firstLine="1304"/>
        <w:spacing w:after="0" w:line="213" w:lineRule="auto"/>
        <w:tabs>
          <w:tab w:leader="none" w:pos="1939"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twelve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ACTIVE/133839826.1</w:t>
      </w:r>
    </w:p>
    <w:p>
      <w:pPr>
        <w:sectPr>
          <w:pgSz w:w="11900" w:h="16838" w:orient="portrait"/>
          <w:cols w:equalWidth="0" w:num="1">
            <w:col w:w="11240"/>
          </w:cols>
          <w:pgMar w:left="320" w:top="1395" w:right="339" w:bottom="1440" w:gutter="0" w:footer="0" w:header="0"/>
        </w:sectPr>
      </w:pPr>
    </w:p>
    <w:bookmarkStart w:id="165" w:name="page166"/>
    <w:bookmarkEnd w:id="165"/>
    <w:p>
      <w:pPr>
        <w:ind w:right="40"/>
        <w:spacing w:after="0" w:line="213" w:lineRule="auto"/>
        <w:rPr>
          <w:sz w:val="20"/>
          <w:szCs w:val="20"/>
          <w:color w:val="auto"/>
        </w:rPr>
      </w:pPr>
      <w:r>
        <w:rPr>
          <w:rFonts w:ascii="Times New Roman" w:cs="Times New Roman" w:eastAsia="Times New Roman" w:hAnsi="Times New Roman"/>
          <w:sz w:val="22"/>
          <w:szCs w:val="22"/>
          <w:color w:val="auto"/>
        </w:rPr>
        <w:t xml:space="preserve">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and the Americans with Disabilities Act, 42 U.S.C. §12101 </w:t>
      </w:r>
      <w:r>
        <w:rPr>
          <w:rFonts w:ascii="Times New Roman" w:cs="Times New Roman" w:eastAsia="Times New Roman" w:hAnsi="Times New Roman"/>
          <w:sz w:val="22"/>
          <w:szCs w:val="22"/>
          <w:i w:val="1"/>
          <w:iCs w:val="1"/>
          <w:color w:val="auto"/>
        </w:rPr>
        <w:t>et seq.</w:t>
      </w:r>
    </w:p>
    <w:p>
      <w:pPr>
        <w:spacing w:after="0" w:line="156" w:lineRule="exact"/>
        <w:rPr>
          <w:sz w:val="20"/>
          <w:szCs w:val="20"/>
          <w:color w:val="auto"/>
        </w:rPr>
      </w:pPr>
    </w:p>
    <w:p>
      <w:pPr>
        <w:ind w:right="700" w:firstLine="1304"/>
        <w:spacing w:after="0" w:line="236" w:lineRule="auto"/>
        <w:tabs>
          <w:tab w:leader="none" w:pos="194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for Cause</w:t>
      </w:r>
      <w:r>
        <w:rPr>
          <w:rFonts w:ascii="Times New Roman" w:cs="Times New Roman" w:eastAsia="Times New Roman" w:hAnsi="Times New Roman"/>
          <w:sz w:val="22"/>
          <w:szCs w:val="22"/>
          <w:color w:val="auto"/>
        </w:rPr>
        <w:t>. The Company may terminate the Executive’s employment hereunder for Cause. For purposes of this Agreement, “Cause” shall mean any of the following:</w:t>
      </w:r>
    </w:p>
    <w:p>
      <w:pPr>
        <w:spacing w:after="0" w:line="150" w:lineRule="exact"/>
        <w:rPr>
          <w:rFonts w:ascii="Times New Roman" w:cs="Times New Roman" w:eastAsia="Times New Roman" w:hAnsi="Times New Roman"/>
          <w:sz w:val="22"/>
          <w:szCs w:val="22"/>
          <w:color w:val="auto"/>
        </w:rPr>
      </w:pPr>
    </w:p>
    <w:p>
      <w:pPr>
        <w:ind w:left="660" w:firstLine="1292"/>
        <w:spacing w:after="0" w:line="217" w:lineRule="auto"/>
        <w:tabs>
          <w:tab w:leader="none" w:pos="2592"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conduct by the Executive constituting a material act of misconduct in connection with the performance of the Executive’s duties, including, without limitation, (A) willful failure or refusal to perform material responsibilities that have been requested by the Board or the CEO; (B) dishonesty to the Board or the CEO with respect to any material matter; or (C) misappropriation of funds or property of the Company or any of its subsidiaries or affiliates other than the occasional, customary and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use of Company property for personal purposes;</w:t>
      </w:r>
    </w:p>
    <w:p>
      <w:pPr>
        <w:spacing w:after="0" w:line="152" w:lineRule="exact"/>
        <w:rPr>
          <w:rFonts w:ascii="Times New Roman" w:cs="Times New Roman" w:eastAsia="Times New Roman" w:hAnsi="Times New Roman"/>
          <w:sz w:val="22"/>
          <w:szCs w:val="22"/>
          <w:color w:val="auto"/>
        </w:rPr>
      </w:pPr>
    </w:p>
    <w:p>
      <w:pPr>
        <w:ind w:left="660" w:right="820" w:firstLine="1292"/>
        <w:spacing w:after="0" w:line="236" w:lineRule="auto"/>
        <w:tabs>
          <w:tab w:leader="none" w:pos="2598"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commission by the Executive of acts satisfying the elements of (A) any felony or (B) a misdemeanor involving moral turpitude, deceit, dishonesty or fraud;</w:t>
      </w:r>
    </w:p>
    <w:p>
      <w:pPr>
        <w:spacing w:after="0" w:line="150" w:lineRule="exact"/>
        <w:rPr>
          <w:rFonts w:ascii="Times New Roman" w:cs="Times New Roman" w:eastAsia="Times New Roman" w:hAnsi="Times New Roman"/>
          <w:sz w:val="22"/>
          <w:szCs w:val="22"/>
          <w:color w:val="auto"/>
        </w:rPr>
      </w:pPr>
    </w:p>
    <w:p>
      <w:pPr>
        <w:ind w:left="660" w:firstLine="1292"/>
        <w:spacing w:after="0" w:line="225" w:lineRule="auto"/>
        <w:tabs>
          <w:tab w:leader="none" w:pos="260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misconduct by the Executive, regardless of whether or not in the course of the Executive’s employment, that would reasonably be expected to result in material injury or reputational harm to the Company or any of its subsidiaries or affiliates if the Executive were to continue to be employed in the same position;</w:t>
      </w:r>
    </w:p>
    <w:p>
      <w:pPr>
        <w:spacing w:after="0" w:line="152" w:lineRule="exact"/>
        <w:rPr>
          <w:rFonts w:ascii="Times New Roman" w:cs="Times New Roman" w:eastAsia="Times New Roman" w:hAnsi="Times New Roman"/>
          <w:sz w:val="22"/>
          <w:szCs w:val="22"/>
          <w:color w:val="auto"/>
        </w:rPr>
      </w:pPr>
    </w:p>
    <w:p>
      <w:pPr>
        <w:ind w:left="660" w:right="280" w:firstLine="1292"/>
        <w:spacing w:after="0" w:line="220" w:lineRule="auto"/>
        <w:tabs>
          <w:tab w:leader="none" w:pos="2592"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unsatisfactory performance or non-performance by the Executive of the Executive’s duties hereunder (other than by reason of the Executive’s physical or mental illness, incapacity or disability) which has continued for more than 30 days following written notice of such unsatisfactory performance or non-performance from the Board or the CEO;</w:t>
      </w:r>
    </w:p>
    <w:p>
      <w:pPr>
        <w:spacing w:after="0" w:line="152" w:lineRule="exact"/>
        <w:rPr>
          <w:rFonts w:ascii="Times New Roman" w:cs="Times New Roman" w:eastAsia="Times New Roman" w:hAnsi="Times New Roman"/>
          <w:sz w:val="22"/>
          <w:szCs w:val="22"/>
          <w:color w:val="auto"/>
        </w:rPr>
      </w:pPr>
    </w:p>
    <w:p>
      <w:pPr>
        <w:ind w:left="660" w:right="140" w:firstLine="1292"/>
        <w:spacing w:after="0" w:line="236" w:lineRule="auto"/>
        <w:tabs>
          <w:tab w:leader="none" w:pos="2599"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breach by the Executive of any of the provisions contained in Section 8 of this Agreement or the Restrictive Covenants Agreement (as defined below);</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violation by the Executive of any of the Company’s written employment policies; or</w:t>
      </w:r>
    </w:p>
    <w:p>
      <w:pPr>
        <w:spacing w:after="0" w:line="179" w:lineRule="exact"/>
        <w:rPr>
          <w:rFonts w:ascii="Times New Roman" w:cs="Times New Roman" w:eastAsia="Times New Roman" w:hAnsi="Times New Roman"/>
          <w:sz w:val="22"/>
          <w:szCs w:val="22"/>
          <w:color w:val="auto"/>
        </w:rPr>
      </w:pPr>
    </w:p>
    <w:p>
      <w:pPr>
        <w:ind w:left="660" w:right="40" w:firstLine="1292"/>
        <w:spacing w:after="0" w:line="231" w:lineRule="auto"/>
        <w:tabs>
          <w:tab w:leader="none" w:pos="2598"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50" w:lineRule="exact"/>
        <w:rPr>
          <w:rFonts w:ascii="Times New Roman" w:cs="Times New Roman" w:eastAsia="Times New Roman" w:hAnsi="Times New Roman"/>
          <w:sz w:val="21"/>
          <w:szCs w:val="21"/>
          <w:color w:val="auto"/>
        </w:rPr>
      </w:pPr>
    </w:p>
    <w:p>
      <w:pPr>
        <w:jc w:val="both"/>
        <w:ind w:right="300" w:firstLine="1304"/>
        <w:spacing w:after="0" w:line="225" w:lineRule="auto"/>
        <w:tabs>
          <w:tab w:leader="none" w:pos="193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w:t>
      </w:r>
      <w:r>
        <w:rPr>
          <w:rFonts w:ascii="Times New Roman" w:cs="Times New Roman" w:eastAsia="Times New Roman" w:hAnsi="Times New Roman"/>
          <w:sz w:val="22"/>
          <w:szCs w:val="22"/>
          <w:color w:val="auto"/>
        </w:rPr>
        <w:t>. The Company may terminate the Executive’s employment hereunder at any time without Cause. Any termination by the Company of the Executive’s employment under this Agreement which does not constitute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ACTIVE/133839826.1</w:t>
      </w:r>
    </w:p>
    <w:p>
      <w:pPr>
        <w:sectPr>
          <w:pgSz w:w="11900" w:h="16838" w:orient="portrait"/>
          <w:cols w:equalWidth="0" w:num="1">
            <w:col w:w="11220"/>
          </w:cols>
          <w:pgMar w:left="320" w:top="1395"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2"/>
          <w:szCs w:val="22"/>
          <w:color w:val="auto"/>
        </w:rPr>
        <w:t>termination for Cause under Section 3(c) and does not result from the death or disability of the Executive under Section 3(a) or</w:t>
      </w:r>
    </w:p>
    <w:p>
      <w:pPr>
        <w:ind w:left="320" w:hanging="312"/>
        <w:spacing w:after="0"/>
        <w:tabs>
          <w:tab w:leader="none" w:pos="3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deemed a termination without Cause.</w:t>
      </w:r>
    </w:p>
    <w:p>
      <w:pPr>
        <w:spacing w:after="0" w:line="155" w:lineRule="exact"/>
        <w:rPr>
          <w:rFonts w:ascii="Times New Roman" w:cs="Times New Roman" w:eastAsia="Times New Roman" w:hAnsi="Times New Roman"/>
          <w:sz w:val="22"/>
          <w:szCs w:val="22"/>
          <w:color w:val="auto"/>
        </w:rPr>
      </w:pPr>
    </w:p>
    <w:p>
      <w:pPr>
        <w:ind w:firstLine="1304"/>
        <w:spacing w:after="0" w:line="220" w:lineRule="auto"/>
        <w:tabs>
          <w:tab w:leader="none" w:pos="1941"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Executive</w:t>
      </w:r>
      <w:r>
        <w:rPr>
          <w:rFonts w:ascii="Times New Roman" w:cs="Times New Roman" w:eastAsia="Times New Roman" w:hAnsi="Times New Roman"/>
          <w:sz w:val="22"/>
          <w:szCs w:val="22"/>
          <w:color w:val="auto"/>
        </w:rPr>
        <w:t>. The Executive may terminate employment hereunder at any time for any reason, including but not limited to, Good Reason. For purposes of this Agreement, “Good Reason” shall mean that the Executive has completed all steps of the Good Reason Process (hereinafter defined) following the occurrence of any of the following events without the Executive’s consent (each, a “Good Reason Condition”):</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Executive’s responsibilities, authority or duties;</w:t>
      </w:r>
    </w:p>
    <w:p>
      <w:pPr>
        <w:spacing w:after="0" w:line="179" w:lineRule="exact"/>
        <w:rPr>
          <w:rFonts w:ascii="Times New Roman" w:cs="Times New Roman" w:eastAsia="Times New Roman" w:hAnsi="Times New Roman"/>
          <w:sz w:val="22"/>
          <w:szCs w:val="22"/>
          <w:color w:val="auto"/>
        </w:rPr>
      </w:pPr>
    </w:p>
    <w:p>
      <w:pPr>
        <w:ind w:left="660" w:firstLine="1292"/>
        <w:spacing w:after="0" w:line="225" w:lineRule="auto"/>
        <w:tabs>
          <w:tab w:leader="none" w:pos="2598"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Executive’s Base Salary except for across-the-board salary reductions based on the Company’s financial performance similarly affecting all or substantially all senior management employees of the Company occurring greater than 12 months after execution of this Agreement;</w:t>
      </w:r>
    </w:p>
    <w:p>
      <w:pPr>
        <w:spacing w:after="0" w:line="152" w:lineRule="exact"/>
        <w:rPr>
          <w:rFonts w:ascii="Times New Roman" w:cs="Times New Roman" w:eastAsia="Times New Roman" w:hAnsi="Times New Roman"/>
          <w:sz w:val="22"/>
          <w:szCs w:val="22"/>
          <w:color w:val="auto"/>
        </w:rPr>
      </w:pPr>
    </w:p>
    <w:p>
      <w:pPr>
        <w:ind w:left="660" w:right="160" w:firstLine="1292"/>
        <w:spacing w:after="0" w:line="225" w:lineRule="auto"/>
        <w:tabs>
          <w:tab w:leader="none" w:pos="2604"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at which the Executive primarily provides services to the Company, such that the Executive is required to relocate the Executive’s principal residence as a result of such change; or</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Agreement by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“Good Reason Process” consists of the following steps:</w:t>
      </w:r>
    </w:p>
    <w:p>
      <w:pPr>
        <w:spacing w:after="0" w:line="193" w:lineRule="exact"/>
        <w:rPr>
          <w:sz w:val="20"/>
          <w:szCs w:val="20"/>
          <w:color w:val="auto"/>
        </w:rPr>
      </w:pPr>
    </w:p>
    <w:p>
      <w:pPr>
        <w:ind w:left="2580" w:hanging="628"/>
        <w:spacing w:after="0"/>
        <w:tabs>
          <w:tab w:leader="none" w:pos="25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reasonably determines in good faith that a Good Reason Condition has occurred;</w:t>
      </w:r>
    </w:p>
    <w:p>
      <w:pPr>
        <w:spacing w:after="0" w:line="179" w:lineRule="exact"/>
        <w:rPr>
          <w:rFonts w:ascii="Times New Roman" w:cs="Times New Roman" w:eastAsia="Times New Roman" w:hAnsi="Times New Roman"/>
          <w:sz w:val="22"/>
          <w:szCs w:val="22"/>
          <w:color w:val="auto"/>
        </w:rPr>
      </w:pPr>
    </w:p>
    <w:p>
      <w:pPr>
        <w:ind w:left="660" w:right="920" w:firstLine="1292"/>
        <w:spacing w:after="0" w:line="236" w:lineRule="auto"/>
        <w:tabs>
          <w:tab w:leader="none" w:pos="259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notifies the Company in writing of the first occurrence of the Good Reason Condition within 60 days of the first occurrence of such condition;</w:t>
      </w:r>
    </w:p>
    <w:p>
      <w:pPr>
        <w:spacing w:after="0" w:line="150" w:lineRule="exact"/>
        <w:rPr>
          <w:rFonts w:ascii="Times New Roman" w:cs="Times New Roman" w:eastAsia="Times New Roman" w:hAnsi="Times New Roman"/>
          <w:sz w:val="22"/>
          <w:szCs w:val="22"/>
          <w:color w:val="auto"/>
        </w:rPr>
      </w:pPr>
    </w:p>
    <w:p>
      <w:pPr>
        <w:ind w:left="660" w:right="160" w:firstLine="1292"/>
        <w:spacing w:after="0" w:line="236" w:lineRule="auto"/>
        <w:tabs>
          <w:tab w:leader="none" w:pos="260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cooperates in good faith with the Company’s efforts, for a period of not less than 30 days following such notice (the “Cure Period”), to remedy the Good Reason Condition;</w:t>
      </w:r>
    </w:p>
    <w:p>
      <w:pPr>
        <w:spacing w:after="0" w:line="13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such efforts, the Good Reason Condition continues to exist at the end of the Cure</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 and</w:t>
      </w:r>
    </w:p>
    <w:p>
      <w:pPr>
        <w:spacing w:after="0" w:line="15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terminates employment within 60 days after the end of the Cure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 Company cures the Good Reason Condition during the Cure Period, Good Reason shall be deemed not to have occurred.</w:t>
      </w:r>
    </w:p>
    <w:p>
      <w:pPr>
        <w:spacing w:after="0" w:line="193" w:lineRule="exact"/>
        <w:rPr>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Matters related to Termination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80" w:firstLine="1304"/>
        <w:spacing w:after="0" w:line="220" w:lineRule="auto"/>
        <w:tabs>
          <w:tab w:leader="none" w:pos="194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ACTIVE/133839826.1</w:t>
      </w:r>
    </w:p>
    <w:p>
      <w:pPr>
        <w:sectPr>
          <w:pgSz w:w="11900" w:h="16838" w:orient="portrait"/>
          <w:cols w:equalWidth="0" w:num="1">
            <w:col w:w="11240"/>
          </w:cols>
          <w:pgMar w:left="320" w:top="1382" w:right="339" w:bottom="1440" w:gutter="0" w:footer="0" w:header="0"/>
        </w:sectPr>
      </w:pPr>
    </w:p>
    <w:bookmarkStart w:id="167" w:name="page168"/>
    <w:bookmarkEnd w:id="167"/>
    <w:p>
      <w:pPr>
        <w:ind w:left="-8" w:right="40" w:firstLine="1304"/>
        <w:spacing w:after="0" w:line="218" w:lineRule="auto"/>
        <w:tabs>
          <w:tab w:leader="none" w:pos="1931" w:val="left"/>
        </w:tabs>
        <w:numPr>
          <w:ilvl w:val="2"/>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“Date of Termination” shall mean: (i) if the Executive’s employment is terminated by death, the date of death; (ii) 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w:t>
      </w:r>
    </w:p>
    <w:p>
      <w:pPr>
        <w:spacing w:after="0" w:line="3" w:lineRule="exact"/>
        <w:rPr>
          <w:rFonts w:ascii="Times New Roman" w:cs="Times New Roman" w:eastAsia="Times New Roman" w:hAnsi="Times New Roman"/>
          <w:sz w:val="21"/>
          <w:szCs w:val="21"/>
          <w:color w:val="auto"/>
        </w:rPr>
      </w:pPr>
    </w:p>
    <w:p>
      <w:pPr>
        <w:ind w:left="-8" w:firstLine="8"/>
        <w:spacing w:after="0" w:line="214" w:lineRule="auto"/>
        <w:tabs>
          <w:tab w:leader="none" w:pos="29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53" w:lineRule="exact"/>
        <w:rPr>
          <w:rFonts w:ascii="Times New Roman" w:cs="Times New Roman" w:eastAsia="Times New Roman" w:hAnsi="Times New Roman"/>
          <w:sz w:val="22"/>
          <w:szCs w:val="22"/>
          <w:color w:val="auto"/>
        </w:rPr>
      </w:pPr>
    </w:p>
    <w:p>
      <w:pPr>
        <w:ind w:left="-8" w:firstLine="1304"/>
        <w:spacing w:after="0" w:line="213" w:lineRule="auto"/>
        <w:tabs>
          <w:tab w:leader="none" w:pos="1933"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If the Executive’s employment with the Company is terminated for any reason, the Company shall pay or provide to the Executive (or to the Executive’s authorized representative or estate) (i) any Base Salary earned through the Date of Termination and, if applicable, any accrued but unused vacation through the Date of Termination; (ii) unpaid expense reimbursements (subject to, and in accordance with, Section 2(c) of this Agreement); and (iii) any vested benefits the Executive may have under any employee benefit plan of the Company through the Date of Termination, which vested benefits shall be paid and/or provided in accordance with the terms of such employee benefit plans (collectively, the “Accrued Obligations”).</w:t>
      </w:r>
    </w:p>
    <w:p>
      <w:pPr>
        <w:spacing w:after="0" w:line="156" w:lineRule="exact"/>
        <w:rPr>
          <w:rFonts w:ascii="Times New Roman" w:cs="Times New Roman" w:eastAsia="Times New Roman" w:hAnsi="Times New Roman"/>
          <w:sz w:val="22"/>
          <w:szCs w:val="22"/>
          <w:color w:val="auto"/>
        </w:rPr>
      </w:pPr>
    </w:p>
    <w:p>
      <w:pPr>
        <w:ind w:left="-8" w:right="240" w:firstLine="1304"/>
        <w:spacing w:after="0" w:line="220" w:lineRule="auto"/>
        <w:tabs>
          <w:tab w:leader="none" w:pos="1931"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of All Other Positions</w:t>
      </w:r>
      <w:r>
        <w:rPr>
          <w:rFonts w:ascii="Times New Roman" w:cs="Times New Roman" w:eastAsia="Times New Roman" w:hAnsi="Times New Roman"/>
          <w:sz w:val="22"/>
          <w:szCs w:val="22"/>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52" w:lineRule="exact"/>
        <w:rPr>
          <w:rFonts w:ascii="Times New Roman" w:cs="Times New Roman" w:eastAsia="Times New Roman" w:hAnsi="Times New Roman"/>
          <w:sz w:val="22"/>
          <w:szCs w:val="22"/>
          <w:color w:val="auto"/>
        </w:rPr>
      </w:pPr>
    </w:p>
    <w:p>
      <w:pPr>
        <w:ind w:left="-8" w:firstLine="656"/>
        <w:spacing w:after="0" w:line="210" w:lineRule="auto"/>
        <w:tabs>
          <w:tab w:leader="none" w:pos="1288"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 Upon Termination by the Company without Cause or by the Executive for Good Reason Outside the Change in Control Period</w:t>
      </w:r>
      <w:r>
        <w:rPr>
          <w:rFonts w:ascii="Times New Roman" w:cs="Times New Roman" w:eastAsia="Times New Roman" w:hAnsi="Times New Roman"/>
          <w:sz w:val="22"/>
          <w:szCs w:val="22"/>
          <w:color w:val="auto"/>
        </w:rPr>
        <w:t>. If the Executive’s employment is terminated by the Company without Cause as provided in Section 3(d), or the Executive terminates employment for Good Reason as provided in Section 3(e), in each case outside of the Change in Control Period (as defined below), then, in addition to the Accrued Obligations, and subject to (i) the Executive signing a separation agreement and release in a form and manner satisfactory to the Company, which shall include, without limitation, a general release of claims against the Company and all related persons and entities, a reaffirmation of all of the Executive’s Continuing Obligations (as defined below), and shall provide that if the Executive breaches any of the Continuing Obligations, all payments of the Severance Amount shall immediately cease (the “Separation Agreement”), (ii) the Separation Agreement becoming irrevocable, all within 60 days after the Date of Termination (or such shorter period as set forth in the Separation Agreement), which shall include a seven (7) business day revocation period and (iii) if so requested by the Company, the Executive signing a U.K. settlement agreement:</w:t>
      </w:r>
    </w:p>
    <w:p>
      <w:pPr>
        <w:spacing w:after="0" w:line="157" w:lineRule="exact"/>
        <w:rPr>
          <w:rFonts w:ascii="Times New Roman" w:cs="Times New Roman" w:eastAsia="Times New Roman" w:hAnsi="Times New Roman"/>
          <w:sz w:val="22"/>
          <w:szCs w:val="22"/>
          <w:color w:val="auto"/>
        </w:rPr>
      </w:pPr>
    </w:p>
    <w:p>
      <w:pPr>
        <w:ind w:left="-8" w:right="380" w:firstLine="1304"/>
        <w:spacing w:after="0" w:line="236" w:lineRule="auto"/>
        <w:tabs>
          <w:tab w:leader="none" w:pos="1933"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an amount equal to six (6) months of the Executive’s Base Salary (the “Severance Amount”); and</w:t>
      </w:r>
    </w:p>
    <w:p>
      <w:pPr>
        <w:spacing w:after="0" w:line="150" w:lineRule="exact"/>
        <w:rPr>
          <w:rFonts w:ascii="Times New Roman" w:cs="Times New Roman" w:eastAsia="Times New Roman" w:hAnsi="Times New Roman"/>
          <w:sz w:val="22"/>
          <w:szCs w:val="22"/>
          <w:color w:val="auto"/>
        </w:rPr>
      </w:pPr>
    </w:p>
    <w:p>
      <w:pPr>
        <w:jc w:val="both"/>
        <w:ind w:left="-8" w:right="80" w:firstLine="1304"/>
        <w:spacing w:after="0" w:line="225" w:lineRule="auto"/>
        <w:tabs>
          <w:tab w:leader="none" w:pos="1931"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Executive’s copayment of premium amounts at the applicable active employees’ rate and the Executive’s proper election to receive benefits under the Consolidated Omnibus Budget Reconciliation Act of 1985, as amended (“COBRA”), the Company shall pay to the group health plan provider or the COBRA provider a monthly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5</w:t>
      </w:r>
    </w:p>
    <w:p>
      <w:pPr>
        <w:spacing w:after="0" w:line="3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4"/>
          <w:szCs w:val="14"/>
          <w:color w:val="auto"/>
        </w:rPr>
        <w:t>ACTIVE/133839826.1</w:t>
      </w:r>
    </w:p>
    <w:p>
      <w:pPr>
        <w:sectPr>
          <w:pgSz w:w="11900" w:h="16838" w:orient="portrait"/>
          <w:cols w:equalWidth="0" w:num="1">
            <w:col w:w="11232"/>
          </w:cols>
          <w:pgMar w:left="328" w:top="1395" w:right="339" w:bottom="1440" w:gutter="0" w:footer="0" w:header="0"/>
        </w:sectPr>
      </w:pPr>
    </w:p>
    <w:bookmarkStart w:id="168" w:name="page169"/>
    <w:bookmarkEnd w:id="168"/>
    <w:p>
      <w:pPr>
        <w:spacing w:after="0" w:line="211" w:lineRule="auto"/>
        <w:rPr>
          <w:sz w:val="20"/>
          <w:szCs w:val="20"/>
          <w:color w:val="auto"/>
        </w:rPr>
      </w:pPr>
      <w:r>
        <w:rPr>
          <w:rFonts w:ascii="Times New Roman" w:cs="Times New Roman" w:eastAsia="Times New Roman" w:hAnsi="Times New Roman"/>
          <w:sz w:val="22"/>
          <w:szCs w:val="22"/>
          <w:color w:val="auto"/>
        </w:rPr>
        <w:t>equal to the monthly employer contribution that the Company would have made to provide health insurance to the Executive if the Executive had remained employed by the Company until the earliest of (A) the six (6)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85" w:lineRule="exact"/>
        <w:rPr>
          <w:sz w:val="20"/>
          <w:szCs w:val="20"/>
          <w:color w:val="auto"/>
        </w:rPr>
      </w:pPr>
    </w:p>
    <w:p>
      <w:pPr>
        <w:ind w:left="640" w:hanging="632"/>
        <w:spacing w:after="0"/>
        <w:tabs>
          <w:tab w:leader="none" w:pos="6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payable under Section 5, to the extent taxable, shall be paid out in substantially equal installments in</w:t>
      </w:r>
    </w:p>
    <w:p>
      <w:pPr>
        <w:spacing w:after="0" w:line="27" w:lineRule="exact"/>
        <w:rPr>
          <w:rFonts w:ascii="Times New Roman" w:cs="Times New Roman" w:eastAsia="Times New Roman" w:hAnsi="Times New Roman"/>
          <w:sz w:val="22"/>
          <w:szCs w:val="22"/>
          <w:color w:val="auto"/>
        </w:rPr>
      </w:pPr>
    </w:p>
    <w:p>
      <w:pPr>
        <w:ind w:right="6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the Company’s payroll practice over nine (9) months commencing within 60 days after the Date of Termination; provided, however, that if the 60-day period begins in one calendar year and ends in a second calendar year, such payments, to the extent they qualify as “non-qualified deferred compensation” within the meaning of Section 409A of the Internal Revenue Code of 1986, as amended (the “Code”),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72" w:lineRule="exact"/>
        <w:rPr>
          <w:rFonts w:ascii="Times New Roman" w:cs="Times New Roman" w:eastAsia="Times New Roman" w:hAnsi="Times New Roman"/>
          <w:sz w:val="22"/>
          <w:szCs w:val="22"/>
          <w:color w:val="auto"/>
        </w:rPr>
      </w:pPr>
    </w:p>
    <w:p>
      <w:pPr>
        <w:ind w:right="120" w:firstLine="656"/>
        <w:spacing w:after="0" w:line="213" w:lineRule="auto"/>
        <w:tabs>
          <w:tab w:leader="none" w:pos="129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 Upon Termination by the Company without Cause or by the Executive for Good Reason within the Change in Control Period</w:t>
      </w:r>
      <w:r>
        <w:rPr>
          <w:rFonts w:ascii="Times New Roman" w:cs="Times New Roman" w:eastAsia="Times New Roman" w:hAnsi="Times New Roman"/>
          <w:sz w:val="22"/>
          <w:szCs w:val="22"/>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on or within twelve (12) months after the occurrence of the first event constituting a Change in Control of Parent (such period, the “Change in Control Period”). These provisions shall terminate and be of no further force or effect after the Change in Control Period.</w:t>
      </w:r>
    </w:p>
    <w:p>
      <w:pPr>
        <w:spacing w:after="0" w:line="156" w:lineRule="exact"/>
        <w:rPr>
          <w:rFonts w:ascii="Times New Roman" w:cs="Times New Roman" w:eastAsia="Times New Roman" w:hAnsi="Times New Roman"/>
          <w:sz w:val="22"/>
          <w:szCs w:val="22"/>
          <w:color w:val="auto"/>
        </w:rPr>
      </w:pPr>
    </w:p>
    <w:p>
      <w:pPr>
        <w:ind w:right="40" w:firstLine="1304"/>
        <w:spacing w:after="0" w:line="217" w:lineRule="auto"/>
        <w:tabs>
          <w:tab w:leader="none" w:pos="1941"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the Separation Agreement by the Executive and the Separation Agreement becoming fully effective, all within the time frame set forth in the Separation Agreement but in no event more than 60 days after the Date of Termination:</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17" w:lineRule="auto"/>
        <w:tabs>
          <w:tab w:leader="none" w:pos="2592" w:val="left"/>
        </w:tabs>
        <w:numPr>
          <w:ilvl w:val="3"/>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 lump sum in cash in an amount equal to one (1) times the sum of (A) the Executive’s then-current Base Salary (or the Executive’s Base Salary in effect immediately prior to the Change in Control of Parent, if higher) plus (B) the Executive’s Target Bonus for the then-current year (or the Executive’s Target Bonus in effect immediately prior to the Change in Control of Parent, if higher) (the “Change in Control Payment”); and</w:t>
      </w:r>
    </w:p>
    <w:p>
      <w:pPr>
        <w:spacing w:after="0" w:line="152" w:lineRule="exact"/>
        <w:rPr>
          <w:rFonts w:ascii="Times New Roman" w:cs="Times New Roman" w:eastAsia="Times New Roman" w:hAnsi="Times New Roman"/>
          <w:sz w:val="22"/>
          <w:szCs w:val="22"/>
          <w:color w:val="auto"/>
        </w:rPr>
      </w:pPr>
    </w:p>
    <w:p>
      <w:pPr>
        <w:ind w:left="660" w:right="80" w:firstLine="1292"/>
        <w:spacing w:after="0" w:line="220" w:lineRule="auto"/>
        <w:tabs>
          <w:tab w:leader="none" w:pos="2598" w:val="left"/>
        </w:tabs>
        <w:numPr>
          <w:ilvl w:val="3"/>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ACTIVE/133839826.1</w:t>
      </w:r>
    </w:p>
    <w:p>
      <w:pPr>
        <w:sectPr>
          <w:pgSz w:w="11900" w:h="16838" w:orient="portrait"/>
          <w:cols w:equalWidth="0" w:num="1">
            <w:col w:w="11220"/>
          </w:cols>
          <w:pgMar w:left="320" w:top="1395" w:right="359" w:bottom="1440" w:gutter="0" w:footer="0" w:header="0"/>
        </w:sectPr>
      </w:pPr>
    </w:p>
    <w:bookmarkStart w:id="169" w:name="page170"/>
    <w:bookmarkEnd w:id="169"/>
    <w:p>
      <w:pPr>
        <w:ind w:left="652"/>
        <w:spacing w:after="0" w:line="212" w:lineRule="auto"/>
        <w:rPr>
          <w:sz w:val="20"/>
          <w:szCs w:val="20"/>
          <w:color w:val="auto"/>
        </w:rPr>
      </w:pPr>
      <w:r>
        <w:rPr>
          <w:rFonts w:ascii="Times New Roman" w:cs="Times New Roman" w:eastAsia="Times New Roman" w:hAnsi="Times New Roman"/>
          <w:sz w:val="22"/>
          <w:szCs w:val="22"/>
          <w:color w:val="auto"/>
        </w:rPr>
        <w:t>had remained employed by the Company until the earliest of (A) the twelve (12)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83" w:lineRule="exact"/>
        <w:rPr>
          <w:sz w:val="20"/>
          <w:szCs w:val="20"/>
          <w:color w:val="auto"/>
        </w:rPr>
      </w:pPr>
    </w:p>
    <w:p>
      <w:pPr>
        <w:ind w:left="-8" w:right="120" w:firstLine="8"/>
        <w:spacing w:after="0" w:line="272" w:lineRule="auto"/>
        <w:tabs>
          <w:tab w:leader="none" w:pos="64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amounts payable under this Section 6(a), to the extent taxable, shall be paid or commence to be paid within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33" w:lineRule="exact"/>
        <w:rPr>
          <w:rFonts w:ascii="Times New Roman" w:cs="Times New Roman" w:eastAsia="Times New Roman" w:hAnsi="Times New Roman"/>
          <w:sz w:val="21"/>
          <w:szCs w:val="21"/>
          <w:color w:val="auto"/>
        </w:rPr>
      </w:pPr>
    </w:p>
    <w:p>
      <w:pPr>
        <w:ind w:left="1932" w:hanging="636"/>
        <w:spacing w:after="0"/>
        <w:tabs>
          <w:tab w:leader="none" w:pos="1932"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Limitation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52" w:firstLine="1292"/>
        <w:spacing w:after="0" w:line="219" w:lineRule="auto"/>
        <w:tabs>
          <w:tab w:leader="none" w:pos="2584" w:val="left"/>
        </w:tabs>
        <w:numPr>
          <w:ilvl w:val="2"/>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50" w:lineRule="exact"/>
        <w:rPr>
          <w:rFonts w:ascii="Times New Roman" w:cs="Times New Roman" w:eastAsia="Times New Roman" w:hAnsi="Times New Roman"/>
          <w:sz w:val="21"/>
          <w:szCs w:val="21"/>
          <w:color w:val="auto"/>
        </w:rPr>
      </w:pPr>
    </w:p>
    <w:p>
      <w:pPr>
        <w:ind w:left="652" w:firstLine="1292"/>
        <w:spacing w:after="0" w:line="213" w:lineRule="auto"/>
        <w:tabs>
          <w:tab w:leader="none" w:pos="2590"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6(b),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7</w:t>
      </w:r>
    </w:p>
    <w:p>
      <w:pPr>
        <w:spacing w:after="0" w:line="3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4"/>
          <w:szCs w:val="14"/>
          <w:color w:val="auto"/>
        </w:rPr>
        <w:t>ACTIVE/133839826.1</w:t>
      </w:r>
    </w:p>
    <w:p>
      <w:pPr>
        <w:sectPr>
          <w:pgSz w:w="11900" w:h="16838" w:orient="portrait"/>
          <w:cols w:equalWidth="0" w:num="1">
            <w:col w:w="11192"/>
          </w:cols>
          <w:pgMar w:left="328" w:top="1395" w:right="379" w:bottom="1440" w:gutter="0" w:footer="0" w:header="0"/>
        </w:sectPr>
      </w:pPr>
    </w:p>
    <w:bookmarkStart w:id="170" w:name="page171"/>
    <w:bookmarkEnd w:id="170"/>
    <w:p>
      <w:pPr>
        <w:ind w:left="640" w:right="180" w:firstLine="1292"/>
        <w:spacing w:after="0" w:line="227" w:lineRule="auto"/>
        <w:tabs>
          <w:tab w:leader="none" w:pos="2584" w:val="left"/>
        </w:tabs>
        <w:numPr>
          <w:ilvl w:val="2"/>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53" w:lineRule="exact"/>
        <w:rPr>
          <w:rFonts w:ascii="Times New Roman" w:cs="Times New Roman" w:eastAsia="Times New Roman" w:hAnsi="Times New Roman"/>
          <w:sz w:val="21"/>
          <w:szCs w:val="21"/>
          <w:color w:val="auto"/>
        </w:rPr>
      </w:pPr>
    </w:p>
    <w:p>
      <w:pPr>
        <w:jc w:val="both"/>
        <w:ind w:left="-20" w:right="20" w:firstLine="1304"/>
        <w:spacing w:after="0" w:line="220" w:lineRule="auto"/>
        <w:tabs>
          <w:tab w:leader="none" w:pos="1921"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 the term “Change in Control of Parent” shall mean a “change in Control” under Sections 10.1 or 10.2 in Parent’s Share Award Plan 2021 (as the same may be amended from time to time), but only to the extent such Change in Control of Parent is also a “change in control event” within the meaning of Section 409A of the Code and the regulations promulgated thereunder.</w:t>
      </w:r>
    </w:p>
    <w:p>
      <w:pPr>
        <w:spacing w:after="0" w:line="152"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0" w:right="40" w:firstLine="1304"/>
        <w:spacing w:after="0" w:line="221" w:lineRule="auto"/>
        <w:tabs>
          <w:tab w:leader="none" w:pos="1921"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or otherwise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52" w:lineRule="exact"/>
        <w:rPr>
          <w:rFonts w:ascii="Times New Roman" w:cs="Times New Roman" w:eastAsia="Times New Roman" w:hAnsi="Times New Roman"/>
          <w:sz w:val="21"/>
          <w:szCs w:val="21"/>
          <w:color w:val="auto"/>
        </w:rPr>
      </w:pPr>
    </w:p>
    <w:p>
      <w:pPr>
        <w:ind w:left="-20" w:right="40" w:firstLine="1304"/>
        <w:spacing w:after="0" w:line="224" w:lineRule="auto"/>
        <w:tabs>
          <w:tab w:leader="none" w:pos="1919"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0" w:lineRule="exact"/>
        <w:rPr>
          <w:rFonts w:ascii="Times New Roman" w:cs="Times New Roman" w:eastAsia="Times New Roman" w:hAnsi="Times New Roman"/>
          <w:sz w:val="21"/>
          <w:szCs w:val="21"/>
          <w:color w:val="auto"/>
        </w:rPr>
      </w:pPr>
    </w:p>
    <w:p>
      <w:pPr>
        <w:ind w:left="-20" w:firstLine="1304"/>
        <w:spacing w:after="0" w:line="217" w:lineRule="auto"/>
        <w:tabs>
          <w:tab w:leader="none" w:pos="1921"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52" w:lineRule="exact"/>
        <w:rPr>
          <w:rFonts w:ascii="Times New Roman" w:cs="Times New Roman" w:eastAsia="Times New Roman" w:hAnsi="Times New Roman"/>
          <w:sz w:val="22"/>
          <w:szCs w:val="22"/>
          <w:color w:val="auto"/>
        </w:rPr>
      </w:pPr>
    </w:p>
    <w:p>
      <w:pPr>
        <w:ind w:left="-20" w:right="120" w:firstLine="1304"/>
        <w:spacing w:after="0" w:line="220" w:lineRule="auto"/>
        <w:tabs>
          <w:tab w:leader="none" w:pos="1919"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8</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ACTIVE/133839826.1</w:t>
      </w:r>
    </w:p>
    <w:p>
      <w:pPr>
        <w:sectPr>
          <w:pgSz w:w="11900" w:h="16838" w:orient="portrait"/>
          <w:cols w:equalWidth="0" w:num="1">
            <w:col w:w="11220"/>
          </w:cols>
          <w:pgMar w:left="340" w:top="1395" w:right="339" w:bottom="1440" w:gutter="0" w:footer="0" w:header="0"/>
        </w:sectPr>
      </w:pPr>
    </w:p>
    <w:bookmarkStart w:id="171" w:name="page172"/>
    <w:bookmarkEnd w:id="171"/>
    <w:p>
      <w:pPr>
        <w:ind w:right="140"/>
        <w:spacing w:after="0" w:line="220" w:lineRule="auto"/>
        <w:rPr>
          <w:sz w:val="20"/>
          <w:szCs w:val="20"/>
          <w:color w:val="auto"/>
        </w:rPr>
      </w:pPr>
      <w:r>
        <w:rPr>
          <w:rFonts w:ascii="Times New Roman" w:cs="Times New Roman" w:eastAsia="Times New Roman" w:hAnsi="Times New Roman"/>
          <w:sz w:val="22"/>
          <w:szCs w:val="22"/>
          <w:color w:val="auto"/>
        </w:rPr>
        <w:t>to this Agreement or the Restrictive Covenants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52" w:lineRule="exact"/>
        <w:rPr>
          <w:sz w:val="20"/>
          <w:szCs w:val="20"/>
          <w:color w:val="auto"/>
        </w:rPr>
      </w:pPr>
    </w:p>
    <w:p>
      <w:pPr>
        <w:ind w:firstLine="1304"/>
        <w:spacing w:after="0" w:line="225" w:lineRule="auto"/>
        <w:tabs>
          <w:tab w:leader="none" w:pos="194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60" w:firstLine="1304"/>
        <w:spacing w:after="0" w:line="211" w:lineRule="auto"/>
        <w:tabs>
          <w:tab w:leader="none" w:pos="1941"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 Agreement</w:t>
      </w:r>
      <w:r>
        <w:rPr>
          <w:rFonts w:ascii="Times New Roman" w:cs="Times New Roman" w:eastAsia="Times New Roman" w:hAnsi="Times New Roman"/>
          <w:sz w:val="22"/>
          <w:szCs w:val="22"/>
          <w:color w:val="auto"/>
        </w:rPr>
        <w:t xml:space="preserve">. As a condition of employment, the Executive is required to enter into the Employee Confidentiality, Assignment, Nonsolicitation and Noncompetition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“Restrictive Covenants Agreement”). For purposes of this Agreement, the obligations in this Section 8 and those that arise in the Restrictive Covenants Agreement and any other agreement relating to confidentiality, assignment of inventions, or other restrictive covenants shall collectively be referred to as the “Continuing Obligations.” For the avoidance of doubt, the Restrictive Covenants Agreement is supplemental to, and not in lieu of, and shall not limit or reduce any rights, restrictions or obligations under, any other agreement between the Executive and the Company relating to noncompetition, nonsolicitation, confidential information or any other similar restrictive covenant. In the event of any conflict between the Restrictive Covenants Agreement and any other such restrictive covenant, the most restrictive provision that is enforceable shall govern.</w:t>
      </w:r>
    </w:p>
    <w:p>
      <w:pPr>
        <w:spacing w:after="0" w:line="158" w:lineRule="exact"/>
        <w:rPr>
          <w:rFonts w:ascii="Times New Roman" w:cs="Times New Roman" w:eastAsia="Times New Roman" w:hAnsi="Times New Roman"/>
          <w:sz w:val="22"/>
          <w:szCs w:val="22"/>
          <w:color w:val="auto"/>
        </w:rPr>
      </w:pPr>
    </w:p>
    <w:p>
      <w:pPr>
        <w:ind w:right="40" w:firstLine="1304"/>
        <w:spacing w:after="0" w:line="211" w:lineRule="auto"/>
        <w:tabs>
          <w:tab w:leader="none" w:pos="1939"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Agreements and Rights</w:t>
      </w:r>
      <w:r>
        <w:rPr>
          <w:rFonts w:ascii="Times New Roman" w:cs="Times New Roman" w:eastAsia="Times New Roman" w:hAnsi="Times New Roman"/>
          <w:sz w:val="22"/>
          <w:szCs w:val="22"/>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58" w:lineRule="exact"/>
        <w:rPr>
          <w:rFonts w:ascii="Times New Roman" w:cs="Times New Roman" w:eastAsia="Times New Roman" w:hAnsi="Times New Roman"/>
          <w:sz w:val="22"/>
          <w:szCs w:val="22"/>
          <w:color w:val="auto"/>
        </w:rPr>
      </w:pPr>
    </w:p>
    <w:p>
      <w:pPr>
        <w:ind w:right="80" w:firstLine="1304"/>
        <w:spacing w:after="0" w:line="220" w:lineRule="auto"/>
        <w:tabs>
          <w:tab w:leader="none" w:pos="1941"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Litigation and Regulatory Cooperation</w:t>
      </w:r>
      <w:r>
        <w:rPr>
          <w:rFonts w:ascii="Times New Roman" w:cs="Times New Roman" w:eastAsia="Times New Roman" w:hAnsi="Times New Roman"/>
          <w:sz w:val="21"/>
          <w:szCs w:val="21"/>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ACTIVE/133839826.1</w:t>
      </w:r>
    </w:p>
    <w:p>
      <w:pPr>
        <w:sectPr>
          <w:pgSz w:w="11900" w:h="16838" w:orient="portrait"/>
          <w:cols w:equalWidth="0" w:num="1">
            <w:col w:w="11220"/>
          </w:cols>
          <w:pgMar w:left="320" w:top="1395" w:right="359" w:bottom="1440" w:gutter="0" w:footer="0" w:header="0"/>
        </w:sectPr>
      </w:pPr>
    </w:p>
    <w:bookmarkStart w:id="172" w:name="page173"/>
    <w:bookmarkEnd w:id="172"/>
    <w:p>
      <w:pPr>
        <w:ind w:left="-20" w:firstLine="1304"/>
        <w:spacing w:after="0" w:line="215" w:lineRule="auto"/>
        <w:tabs>
          <w:tab w:leader="none" w:pos="1919"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Relief</w:t>
      </w:r>
      <w:r>
        <w:rPr>
          <w:rFonts w:ascii="Times New Roman" w:cs="Times New Roman" w:eastAsia="Times New Roman" w:hAnsi="Times New Roman"/>
          <w:sz w:val="22"/>
          <w:szCs w:val="22"/>
          <w:color w:val="auto"/>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52" w:lineRule="exact"/>
        <w:rPr>
          <w:rFonts w:ascii="Times New Roman" w:cs="Times New Roman" w:eastAsia="Times New Roman" w:hAnsi="Times New Roman"/>
          <w:sz w:val="22"/>
          <w:szCs w:val="22"/>
          <w:color w:val="auto"/>
        </w:rPr>
      </w:pPr>
    </w:p>
    <w:p>
      <w:pPr>
        <w:ind w:left="-20" w:right="20" w:firstLine="656"/>
        <w:spacing w:after="0" w:line="220" w:lineRule="auto"/>
        <w:tabs>
          <w:tab w:leader="none" w:pos="127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The parties hereby consent to the jurisdiction of the state and federal courts of the State of Delaware.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52" w:lineRule="exact"/>
        <w:rPr>
          <w:rFonts w:ascii="Times New Roman" w:cs="Times New Roman" w:eastAsia="Times New Roman" w:hAnsi="Times New Roman"/>
          <w:sz w:val="22"/>
          <w:szCs w:val="22"/>
          <w:color w:val="auto"/>
        </w:rPr>
      </w:pPr>
    </w:p>
    <w:p>
      <w:pPr>
        <w:ind w:left="-20" w:right="20" w:firstLine="656"/>
        <w:spacing w:after="0" w:line="225" w:lineRule="auto"/>
        <w:tabs>
          <w:tab w:leader="none" w:pos="127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the subject matter hereof and supersedes all prior agreements between the parties concerning such subject matter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provided that the Equity Documents remain in full force and effect.</w:t>
      </w:r>
    </w:p>
    <w:p>
      <w:pPr>
        <w:spacing w:after="0" w:line="152" w:lineRule="exact"/>
        <w:rPr>
          <w:rFonts w:ascii="Times New Roman" w:cs="Times New Roman" w:eastAsia="Times New Roman" w:hAnsi="Times New Roman"/>
          <w:sz w:val="22"/>
          <w:szCs w:val="22"/>
          <w:color w:val="auto"/>
        </w:rPr>
      </w:pPr>
    </w:p>
    <w:p>
      <w:pPr>
        <w:ind w:left="-20" w:right="100" w:firstLine="656"/>
        <w:spacing w:after="0" w:line="220" w:lineRule="auto"/>
        <w:tabs>
          <w:tab w:leader="none" w:pos="126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 Effect</w:t>
      </w:r>
      <w:r>
        <w:rPr>
          <w:rFonts w:ascii="Times New Roman" w:cs="Times New Roman" w:eastAsia="Times New Roman" w:hAnsi="Times New Roman"/>
          <w:sz w:val="22"/>
          <w:szCs w:val="22"/>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52" w:lineRule="exact"/>
        <w:rPr>
          <w:rFonts w:ascii="Times New Roman" w:cs="Times New Roman" w:eastAsia="Times New Roman" w:hAnsi="Times New Roman"/>
          <w:sz w:val="22"/>
          <w:szCs w:val="22"/>
          <w:color w:val="auto"/>
        </w:rPr>
      </w:pPr>
    </w:p>
    <w:p>
      <w:pPr>
        <w:ind w:left="-20" w:right="440" w:firstLine="656"/>
        <w:spacing w:after="0" w:line="236" w:lineRule="auto"/>
        <w:tabs>
          <w:tab w:leader="none" w:pos="127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Directors’ and Officers’ Insurance</w:t>
      </w:r>
      <w:r>
        <w:rPr>
          <w:rFonts w:ascii="Times New Roman" w:cs="Times New Roman" w:eastAsia="Times New Roman" w:hAnsi="Times New Roman"/>
          <w:sz w:val="22"/>
          <w:szCs w:val="22"/>
          <w:color w:val="auto"/>
        </w:rPr>
        <w:t>. The Executive shall be entitled to be covered by a policy of directors’ and officers’ liability insurance on terms no less favorable than those in place from time to time for other officers.</w:t>
      </w:r>
    </w:p>
    <w:p>
      <w:pPr>
        <w:spacing w:after="0" w:line="150" w:lineRule="exact"/>
        <w:rPr>
          <w:rFonts w:ascii="Times New Roman" w:cs="Times New Roman" w:eastAsia="Times New Roman" w:hAnsi="Times New Roman"/>
          <w:sz w:val="22"/>
          <w:szCs w:val="22"/>
          <w:color w:val="auto"/>
        </w:rPr>
      </w:pPr>
    </w:p>
    <w:p>
      <w:pPr>
        <w:ind w:left="-20" w:right="40" w:firstLine="656"/>
        <w:spacing w:after="0" w:line="219" w:lineRule="auto"/>
        <w:tabs>
          <w:tab w:leader="none" w:pos="127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Successors and Assigns</w:t>
      </w:r>
      <w:r>
        <w:rPr>
          <w:rFonts w:ascii="Times New Roman" w:cs="Times New Roman" w:eastAsia="Times New Roman" w:hAnsi="Times New Roman"/>
          <w:sz w:val="21"/>
          <w:szCs w:val="21"/>
          <w:color w:val="auto"/>
        </w:rPr>
        <w:t>. Neither the Executive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provided further that if the Executive remains employed or becomes employed by the Company, the purchaser or any of their affiliates in connection with any such transaction, then the Executive shall not be entitled to any payments, benefits or vesting pursuant to Sections 2(g), 5 or 6 of this Agreement solely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159" w:lineRule="exact"/>
        <w:rPr>
          <w:rFonts w:ascii="Times New Roman" w:cs="Times New Roman" w:eastAsia="Times New Roman" w:hAnsi="Times New Roman"/>
          <w:sz w:val="21"/>
          <w:szCs w:val="21"/>
          <w:color w:val="auto"/>
        </w:rPr>
      </w:pPr>
    </w:p>
    <w:p>
      <w:pPr>
        <w:ind w:left="-20" w:right="360" w:firstLine="656"/>
        <w:spacing w:after="0" w:line="220" w:lineRule="auto"/>
        <w:tabs>
          <w:tab w:leader="none" w:pos="127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10</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ACTIVE/133839826.1</w:t>
      </w:r>
    </w:p>
    <w:p>
      <w:pPr>
        <w:sectPr>
          <w:pgSz w:w="11900" w:h="16838" w:orient="portrait"/>
          <w:cols w:equalWidth="0" w:num="1">
            <w:col w:w="11180"/>
          </w:cols>
          <w:pgMar w:left="340" w:top="1395" w:right="379" w:bottom="1440" w:gutter="0" w:footer="0" w:header="0"/>
        </w:sectPr>
      </w:pPr>
    </w:p>
    <w:bookmarkStart w:id="173" w:name="page174"/>
    <w:bookmarkEnd w:id="173"/>
    <w:p>
      <w:pPr>
        <w:ind w:right="20"/>
        <w:spacing w:after="0" w:line="236" w:lineRule="auto"/>
        <w:rPr>
          <w:sz w:val="20"/>
          <w:szCs w:val="20"/>
          <w:color w:val="auto"/>
        </w:rPr>
      </w:pPr>
      <w:r>
        <w:rPr>
          <w:rFonts w:ascii="Times New Roman" w:cs="Times New Roman" w:eastAsia="Times New Roman" w:hAnsi="Times New Roman"/>
          <w:sz w:val="22"/>
          <w:szCs w:val="22"/>
          <w:color w:val="auto"/>
        </w:rPr>
        <w:t>to which it is so declared illegal or unenforceable, shall not be affected thereby, and each portion and provision of this Agreement shall be valid and enforceable to the fullest extent permitted by law.</w:t>
      </w:r>
    </w:p>
    <w:p>
      <w:pPr>
        <w:spacing w:after="0" w:line="150" w:lineRule="exact"/>
        <w:rPr>
          <w:sz w:val="20"/>
          <w:szCs w:val="20"/>
          <w:color w:val="auto"/>
        </w:rPr>
      </w:pPr>
    </w:p>
    <w:p>
      <w:pPr>
        <w:ind w:right="40" w:firstLine="656"/>
        <w:spacing w:after="0" w:line="236"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For the avoidance of doubt, this Agreement shall survive the termination of the Executive’s employment to the extent necessary to effectuate the terms contained herein.</w:t>
      </w:r>
    </w:p>
    <w:p>
      <w:pPr>
        <w:spacing w:after="0" w:line="150" w:lineRule="exact"/>
        <w:rPr>
          <w:rFonts w:ascii="Times New Roman" w:cs="Times New Roman" w:eastAsia="Times New Roman" w:hAnsi="Times New Roman"/>
          <w:sz w:val="22"/>
          <w:szCs w:val="22"/>
          <w:color w:val="auto"/>
        </w:rPr>
      </w:pPr>
    </w:p>
    <w:p>
      <w:pPr>
        <w:ind w:right="60" w:firstLine="656"/>
        <w:spacing w:after="0" w:line="220"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52" w:lineRule="exact"/>
        <w:rPr>
          <w:rFonts w:ascii="Times New Roman" w:cs="Times New Roman" w:eastAsia="Times New Roman" w:hAnsi="Times New Roman"/>
          <w:sz w:val="22"/>
          <w:szCs w:val="22"/>
          <w:color w:val="auto"/>
        </w:rPr>
      </w:pPr>
    </w:p>
    <w:p>
      <w:pPr>
        <w:ind w:right="400" w:firstLine="656"/>
        <w:spacing w:after="0" w:line="220"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52" w:lineRule="exact"/>
        <w:rPr>
          <w:rFonts w:ascii="Times New Roman" w:cs="Times New Roman" w:eastAsia="Times New Roman" w:hAnsi="Times New Roman"/>
          <w:sz w:val="22"/>
          <w:szCs w:val="22"/>
          <w:color w:val="auto"/>
        </w:rPr>
      </w:pPr>
    </w:p>
    <w:p>
      <w:pPr>
        <w:ind w:right="140" w:firstLine="656"/>
        <w:spacing w:after="0" w:line="236"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 duly authorized representative of the Company.</w:t>
      </w:r>
    </w:p>
    <w:p>
      <w:pPr>
        <w:spacing w:after="0" w:line="150" w:lineRule="exact"/>
        <w:rPr>
          <w:rFonts w:ascii="Times New Roman" w:cs="Times New Roman" w:eastAsia="Times New Roman" w:hAnsi="Times New Roman"/>
          <w:sz w:val="22"/>
          <w:szCs w:val="22"/>
          <w:color w:val="auto"/>
        </w:rPr>
      </w:pPr>
    </w:p>
    <w:p>
      <w:pPr>
        <w:ind w:right="60" w:firstLine="656"/>
        <w:spacing w:after="0" w:line="211"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Other Plans and Agreements</w:t>
      </w:r>
      <w:r>
        <w:rPr>
          <w:rFonts w:ascii="Times New Roman" w:cs="Times New Roman" w:eastAsia="Times New Roman" w:hAnsi="Times New Roman"/>
          <w:sz w:val="22"/>
          <w:szCs w:val="22"/>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as otherwise provided in Section 8 hereof, and except that the Executive shall have no rights to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payments or benefits pursuant to both Section 5 and Section 6 of this Agreement.</w:t>
      </w:r>
    </w:p>
    <w:p>
      <w:pPr>
        <w:spacing w:after="0" w:line="151" w:lineRule="exact"/>
        <w:rPr>
          <w:rFonts w:ascii="Times New Roman" w:cs="Times New Roman" w:eastAsia="Times New Roman" w:hAnsi="Times New Roman"/>
          <w:sz w:val="22"/>
          <w:szCs w:val="22"/>
          <w:color w:val="auto"/>
        </w:rPr>
      </w:pPr>
    </w:p>
    <w:p>
      <w:pPr>
        <w:ind w:firstLine="656"/>
        <w:spacing w:after="0" w:line="220"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Delaware contract and shall be construed under and be governed in all respects by the laws of State of Delaware, without giving effect to the conflict of laws principles thereof. With respect to any disputes concerning federal law, such disputes shall be determined in accordance with the law as it would be interpreted and applied by the United States Court of Appeals for the Third Circuit.</w:t>
      </w:r>
    </w:p>
    <w:p>
      <w:pPr>
        <w:spacing w:after="0" w:line="152" w:lineRule="exact"/>
        <w:rPr>
          <w:rFonts w:ascii="Times New Roman" w:cs="Times New Roman" w:eastAsia="Times New Roman" w:hAnsi="Times New Roman"/>
          <w:sz w:val="22"/>
          <w:szCs w:val="22"/>
          <w:color w:val="auto"/>
        </w:rPr>
      </w:pPr>
    </w:p>
    <w:p>
      <w:pPr>
        <w:ind w:right="220" w:firstLine="656"/>
        <w:spacing w:after="0" w:line="255" w:lineRule="auto"/>
        <w:tabs>
          <w:tab w:leader="none" w:pos="1296"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each of which when so executed and delivered shall be taken to be an original; but such counterparts shall together constitute one and the same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ACTIVE/133839826.1</w:t>
      </w:r>
    </w:p>
    <w:p>
      <w:pPr>
        <w:sectPr>
          <w:pgSz w:w="11900" w:h="16838" w:orient="portrait"/>
          <w:cols w:equalWidth="0" w:num="1">
            <w:col w:w="11220"/>
          </w:cols>
          <w:pgMar w:left="320" w:top="1395" w:right="359" w:bottom="1440" w:gutter="0" w:footer="0" w:header="0"/>
        </w:sectPr>
      </w:pPr>
    </w:p>
    <w:bookmarkStart w:id="174" w:name="page175"/>
    <w:bookmarkEnd w:id="174"/>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effective on the Effective Date.</w:t>
      </w:r>
    </w:p>
    <w:p>
      <w:pPr>
        <w:spacing w:after="0" w:line="2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PARENT</w:t>
      </w:r>
    </w:p>
    <w:p>
      <w:pPr>
        <w:spacing w:after="0" w:line="25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Barinthus Biotherapeutics Limited</w:t>
      </w:r>
    </w:p>
    <w:p>
      <w:pPr>
        <w:spacing w:after="0" w:line="260" w:lineRule="exact"/>
        <w:rPr>
          <w:sz w:val="20"/>
          <w:szCs w:val="20"/>
          <w:color w:val="auto"/>
        </w:rPr>
      </w:pPr>
    </w:p>
    <w:p>
      <w:pPr>
        <w:ind w:left="4200"/>
        <w:spacing w:after="0"/>
        <w:tabs>
          <w:tab w:leader="none" w:pos="4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-13970</wp:posOffset>
            </wp:positionV>
            <wp:extent cx="11906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1190625" cy="8890"/>
                    </a:xfrm>
                    <a:prstGeom prst="rect">
                      <a:avLst/>
                    </a:prstGeom>
                    <a:noFill/>
                  </pic:spPr>
                </pic:pic>
              </a:graphicData>
            </a:graphic>
          </wp:anchor>
        </w:drawing>
      </w:r>
    </w:p>
    <w:p>
      <w:pPr>
        <w:spacing w:after="0" w:line="8" w:lineRule="exact"/>
        <w:rPr>
          <w:sz w:val="20"/>
          <w:szCs w:val="20"/>
          <w:color w:val="auto"/>
        </w:rPr>
      </w:pPr>
    </w:p>
    <w:p>
      <w:pPr>
        <w:ind w:left="4200"/>
        <w:spacing w:after="0"/>
        <w:tabs>
          <w:tab w:leader="none" w:pos="46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-29210</wp:posOffset>
            </wp:positionV>
            <wp:extent cx="4114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U.S. SUBSIDIARY</w:t>
      </w:r>
    </w:p>
    <w:p>
      <w:pPr>
        <w:spacing w:after="0" w:line="25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Barinthus Biotherapeutics, Inc.</w:t>
      </w:r>
    </w:p>
    <w:p>
      <w:pPr>
        <w:spacing w:after="0" w:line="200" w:lineRule="exact"/>
        <w:rPr>
          <w:sz w:val="20"/>
          <w:szCs w:val="20"/>
          <w:color w:val="auto"/>
        </w:rPr>
      </w:pPr>
    </w:p>
    <w:p>
      <w:pPr>
        <w:spacing w:after="0" w:line="290" w:lineRule="exact"/>
        <w:rPr>
          <w:sz w:val="20"/>
          <w:szCs w:val="20"/>
          <w:color w:val="auto"/>
        </w:rPr>
      </w:pPr>
    </w:p>
    <w:p>
      <w:pPr>
        <w:ind w:left="4200"/>
        <w:spacing w:after="0"/>
        <w:tabs>
          <w:tab w:leader="none" w:pos="4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-13970</wp:posOffset>
            </wp:positionV>
            <wp:extent cx="11906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spacing w:after="0" w:line="9" w:lineRule="exact"/>
        <w:rPr>
          <w:sz w:val="20"/>
          <w:szCs w:val="20"/>
          <w:color w:val="auto"/>
        </w:rPr>
      </w:pPr>
    </w:p>
    <w:p>
      <w:pPr>
        <w:ind w:left="4200"/>
        <w:spacing w:after="0"/>
        <w:tabs>
          <w:tab w:leader="none" w:pos="46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-21590</wp:posOffset>
            </wp:positionV>
            <wp:extent cx="4114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/s/ Geoffrey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-13970</wp:posOffset>
            </wp:positionV>
            <wp:extent cx="11099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spacing w:after="0" w:line="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Geoffrey Lynn, MD, PhD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12</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ACTIVE/133839826.1</w:t>
      </w:r>
    </w:p>
    <w:p>
      <w:pPr>
        <w:sectPr>
          <w:pgSz w:w="11900" w:h="16838" w:orient="portrait"/>
          <w:cols w:equalWidth="0" w:num="1">
            <w:col w:w="10119"/>
          </w:cols>
          <w:pgMar w:left="340" w:top="1440" w:right="1440" w:bottom="1440" w:gutter="0" w:footer="0" w:header="0"/>
        </w:sectPr>
      </w:pPr>
    </w:p>
    <w:bookmarkStart w:id="175" w:name="page176"/>
    <w:bookmarkEnd w:id="175"/>
    <w:p>
      <w:pPr>
        <w:jc w:val="center"/>
        <w:ind w:right="-10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7"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22"/>
          <w:szCs w:val="22"/>
          <w:b w:val="1"/>
          <w:bCs w:val="1"/>
          <w:color w:val="auto"/>
        </w:rPr>
        <w:t>Restrictive Covenants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ACTIVE/133839826.1</w:t>
      </w:r>
    </w:p>
    <w:p>
      <w:pPr>
        <w:sectPr>
          <w:pgSz w:w="11900" w:h="16838" w:orient="portrait"/>
          <w:cols w:equalWidth="0" w:num="1">
            <w:col w:w="10119"/>
          </w:cols>
          <w:pgMar w:left="340" w:top="1418" w:right="1440" w:bottom="1440" w:gutter="0" w:footer="0" w:header="0"/>
        </w:sectPr>
      </w:pPr>
    </w:p>
    <w:bookmarkStart w:id="176" w:name="page177"/>
    <w:bookmarkEnd w:id="1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1829435</wp:posOffset>
            </wp:positionV>
            <wp:extent cx="71234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alibri" w:cs="Calibri" w:eastAsia="Calibri" w:hAnsi="Calibri"/>
          <w:sz w:val="38"/>
          <w:szCs w:val="38"/>
          <w:b w:val="1"/>
          <w:bCs w:val="1"/>
          <w:color w:val="auto"/>
        </w:rPr>
        <w:t>Terminaton Agreement</w:t>
      </w:r>
    </w:p>
    <w:p>
      <w:pPr>
        <w:sectPr>
          <w:pgSz w:w="11900" w:h="16838" w:orient="portrait"/>
          <w:cols w:equalWidth="0" w:num="1">
            <w:col w:w="10059"/>
          </w:cols>
          <w:pgMar w:left="400" w:top="1440" w:right="1440" w:bottom="1440" w:gutter="0" w:footer="0" w:header="0"/>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alibri" w:cs="Calibri" w:eastAsia="Calibri" w:hAnsi="Calibri"/>
          <w:sz w:val="22"/>
          <w:szCs w:val="22"/>
          <w:color w:val="auto"/>
        </w:rPr>
        <w:t>by and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71234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0"/>
        <w:spacing w:after="0"/>
        <w:tabs>
          <w:tab w:leader="none" w:pos="4280" w:val="left"/>
        </w:tabs>
        <w:rPr>
          <w:sz w:val="20"/>
          <w:szCs w:val="20"/>
          <w:color w:val="auto"/>
        </w:rPr>
      </w:pPr>
      <w:r>
        <w:rPr>
          <w:rFonts w:ascii="Calibri" w:cs="Calibri" w:eastAsia="Calibri" w:hAnsi="Calibri"/>
          <w:sz w:val="22"/>
          <w:szCs w:val="22"/>
          <w:b w:val="1"/>
          <w:bCs w:val="1"/>
          <w:color w:val="auto"/>
        </w:rPr>
        <w:t>Barinthus Biotherapeutcs Switzerland GmbH</w:t>
      </w:r>
      <w:r>
        <w:rPr>
          <w:sz w:val="20"/>
          <w:szCs w:val="20"/>
          <w:color w:val="auto"/>
        </w:rPr>
        <w:tab/>
      </w:r>
      <w:r>
        <w:rPr>
          <w:rFonts w:ascii="Calibri" w:cs="Calibri" w:eastAsia="Calibri" w:hAnsi="Calibri"/>
          <w:sz w:val="21"/>
          <w:szCs w:val="21"/>
          <w:color w:val="auto"/>
        </w:rPr>
        <w:t xml:space="preserve">(the </w:t>
      </w:r>
      <w:r>
        <w:rPr>
          <w:rFonts w:ascii="Calibri" w:cs="Calibri" w:eastAsia="Calibri" w:hAnsi="Calibri"/>
          <w:sz w:val="21"/>
          <w:szCs w:val="21"/>
          <w:b w:val="1"/>
          <w:bCs w:val="1"/>
          <w:color w:val="auto"/>
        </w:rPr>
        <w:t>Company</w:t>
      </w:r>
      <w:r>
        <w:rPr>
          <w:rFonts w:ascii="Calibri" w:cs="Calibri" w:eastAsia="Calibri" w:hAnsi="Calibri"/>
          <w:sz w:val="21"/>
          <w:szCs w:val="21"/>
          <w:color w:val="auto"/>
        </w:rPr>
        <w:t>)</w:t>
      </w:r>
    </w:p>
    <w:p>
      <w:pPr>
        <w:spacing w:after="0" w:line="121" w:lineRule="exact"/>
        <w:rPr>
          <w:sz w:val="20"/>
          <w:szCs w:val="20"/>
          <w:color w:val="auto"/>
        </w:rPr>
      </w:pPr>
    </w:p>
    <w:p>
      <w:pPr>
        <w:spacing w:after="0"/>
        <w:rPr>
          <w:sz w:val="20"/>
          <w:szCs w:val="20"/>
          <w:color w:val="auto"/>
        </w:rPr>
      </w:pPr>
      <w:r>
        <w:rPr>
          <w:rFonts w:ascii="Calibri" w:cs="Calibri" w:eastAsia="Calibri" w:hAnsi="Calibri"/>
          <w:sz w:val="22"/>
          <w:szCs w:val="22"/>
          <w:color w:val="auto"/>
        </w:rPr>
        <w:t>c/o Walder Wyss AG</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Aeschenvorstadt 48</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4051 Basel</w:t>
      </w:r>
    </w:p>
    <w:p>
      <w:pPr>
        <w:spacing w:after="0" w:line="246" w:lineRule="exact"/>
        <w:rPr>
          <w:sz w:val="20"/>
          <w:szCs w:val="20"/>
          <w:color w:val="auto"/>
        </w:rPr>
      </w:pPr>
    </w:p>
    <w:p>
      <w:pPr>
        <w:spacing w:after="0"/>
        <w:rPr>
          <w:sz w:val="20"/>
          <w:szCs w:val="20"/>
          <w:color w:val="auto"/>
        </w:rPr>
      </w:pPr>
      <w:r>
        <w:rPr>
          <w:rFonts w:ascii="Calibri" w:cs="Calibri" w:eastAsia="Calibri" w:hAnsi="Calibri"/>
          <w:sz w:val="22"/>
          <w:szCs w:val="22"/>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234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80"/>
        <w:spacing w:after="0"/>
        <w:tabs>
          <w:tab w:leader="none" w:pos="1720" w:val="left"/>
        </w:tabs>
        <w:rPr>
          <w:sz w:val="20"/>
          <w:szCs w:val="20"/>
          <w:color w:val="auto"/>
        </w:rPr>
      </w:pPr>
      <w:r>
        <w:rPr>
          <w:rFonts w:ascii="Calibri" w:cs="Calibri" w:eastAsia="Calibri" w:hAnsi="Calibri"/>
          <w:sz w:val="22"/>
          <w:szCs w:val="22"/>
          <w:b w:val="1"/>
          <w:bCs w:val="1"/>
          <w:color w:val="auto"/>
        </w:rPr>
        <w:t>Nadege Pelleter</w:t>
      </w:r>
      <w:r>
        <w:rPr>
          <w:sz w:val="20"/>
          <w:szCs w:val="20"/>
          <w:color w:val="auto"/>
        </w:rPr>
        <w:tab/>
      </w:r>
      <w:r>
        <w:rPr>
          <w:rFonts w:ascii="Calibri" w:cs="Calibri" w:eastAsia="Calibri" w:hAnsi="Calibri"/>
          <w:sz w:val="21"/>
          <w:szCs w:val="21"/>
          <w:color w:val="auto"/>
        </w:rPr>
        <w:t xml:space="preserve">(the </w:t>
      </w:r>
      <w:r>
        <w:rPr>
          <w:rFonts w:ascii="Calibri" w:cs="Calibri" w:eastAsia="Calibri" w:hAnsi="Calibri"/>
          <w:sz w:val="21"/>
          <w:szCs w:val="21"/>
          <w:b w:val="1"/>
          <w:bCs w:val="1"/>
          <w:color w:val="auto"/>
        </w:rPr>
        <w:t>Employee</w:t>
      </w:r>
      <w:r>
        <w:rPr>
          <w:rFonts w:ascii="Calibri" w:cs="Calibri" w:eastAsia="Calibri" w:hAnsi="Calibri"/>
          <w:sz w:val="21"/>
          <w:szCs w:val="21"/>
          <w:color w:val="auto"/>
        </w:rPr>
        <w:t xml:space="preserve"> or </w:t>
      </w:r>
      <w:r>
        <w:rPr>
          <w:rFonts w:ascii="Calibri" w:cs="Calibri" w:eastAsia="Calibri" w:hAnsi="Calibri"/>
          <w:sz w:val="21"/>
          <w:szCs w:val="21"/>
          <w:b w:val="1"/>
          <w:bCs w:val="1"/>
          <w:color w:val="auto"/>
        </w:rPr>
        <w:t>You</w:t>
      </w:r>
      <w:r>
        <w:rPr>
          <w:rFonts w:ascii="Calibri" w:cs="Calibri" w:eastAsia="Calibri" w:hAnsi="Calibri"/>
          <w:sz w:val="21"/>
          <w:szCs w:val="21"/>
          <w:color w:val="auto"/>
        </w:rPr>
        <w:t>)</w:t>
      </w:r>
    </w:p>
    <w:p>
      <w:pPr>
        <w:spacing w:after="0" w:line="107" w:lineRule="exact"/>
        <w:rPr>
          <w:sz w:val="20"/>
          <w:szCs w:val="20"/>
          <w:color w:val="auto"/>
        </w:rPr>
      </w:pPr>
    </w:p>
    <w:p>
      <w:pPr>
        <w:spacing w:after="0"/>
        <w:rPr>
          <w:sz w:val="20"/>
          <w:szCs w:val="20"/>
          <w:color w:val="auto"/>
        </w:rPr>
      </w:pPr>
      <w:r>
        <w:rPr>
          <w:rFonts w:ascii="Calibri" w:cs="Calibri" w:eastAsia="Calibri" w:hAnsi="Calibri"/>
          <w:sz w:val="22"/>
          <w:szCs w:val="22"/>
          <w:color w:val="auto"/>
        </w:rPr>
        <w:t>Rte des Tournetes, 15</w:t>
      </w:r>
    </w:p>
    <w:p>
      <w:pPr>
        <w:spacing w:after="0" w:line="231" w:lineRule="auto"/>
        <w:rPr>
          <w:sz w:val="20"/>
          <w:szCs w:val="20"/>
          <w:color w:val="auto"/>
        </w:rPr>
      </w:pPr>
      <w:r>
        <w:rPr>
          <w:rFonts w:ascii="Calibri" w:cs="Calibri" w:eastAsia="Calibri" w:hAnsi="Calibri"/>
          <w:sz w:val="22"/>
          <w:szCs w:val="22"/>
          <w:color w:val="auto"/>
        </w:rPr>
        <w:t>1255 Veyrier</w:t>
      </w:r>
    </w:p>
    <w:p>
      <w:pPr>
        <w:spacing w:after="0" w:line="227" w:lineRule="auto"/>
        <w:rPr>
          <w:sz w:val="20"/>
          <w:szCs w:val="20"/>
          <w:color w:val="auto"/>
        </w:rPr>
      </w:pPr>
      <w:r>
        <w:rPr>
          <w:rFonts w:ascii="Calibri" w:cs="Calibri" w:eastAsia="Calibri" w:hAnsi="Calibri"/>
          <w:sz w:val="22"/>
          <w:szCs w:val="22"/>
          <w:color w:val="auto"/>
        </w:rPr>
        <w:t>Switzerland</w:t>
      </w:r>
    </w:p>
    <w:p>
      <w:pPr>
        <w:spacing w:after="0" w:line="245" w:lineRule="exact"/>
        <w:rPr>
          <w:sz w:val="20"/>
          <w:szCs w:val="20"/>
          <w:color w:val="auto"/>
        </w:rPr>
      </w:pPr>
    </w:p>
    <w:p>
      <w:pPr>
        <w:jc w:val="right"/>
        <w:spacing w:after="0"/>
        <w:rPr>
          <w:sz w:val="20"/>
          <w:szCs w:val="20"/>
          <w:color w:val="auto"/>
        </w:rPr>
      </w:pPr>
      <w:r>
        <w:rPr>
          <w:rFonts w:ascii="Calibri" w:cs="Calibri" w:eastAsia="Calibri" w:hAnsi="Calibri"/>
          <w:sz w:val="22"/>
          <w:szCs w:val="22"/>
          <w:color w:val="auto"/>
        </w:rPr>
        <w:t xml:space="preserve">(each individually a </w:t>
      </w:r>
      <w:r>
        <w:rPr>
          <w:rFonts w:ascii="Calibri" w:cs="Calibri" w:eastAsia="Calibri" w:hAnsi="Calibri"/>
          <w:sz w:val="22"/>
          <w:szCs w:val="22"/>
          <w:b w:val="1"/>
          <w:bCs w:val="1"/>
          <w:color w:val="auto"/>
        </w:rPr>
        <w:t>Party</w:t>
      </w:r>
      <w:r>
        <w:rPr>
          <w:rFonts w:ascii="Calibri" w:cs="Calibri" w:eastAsia="Calibri" w:hAnsi="Calibri"/>
          <w:sz w:val="22"/>
          <w:szCs w:val="22"/>
          <w:color w:val="auto"/>
        </w:rPr>
        <w:t xml:space="preserve"> or jointly the </w:t>
      </w:r>
      <w:r>
        <w:rPr>
          <w:rFonts w:ascii="Calibri" w:cs="Calibri" w:eastAsia="Calibri" w:hAnsi="Calibri"/>
          <w:sz w:val="22"/>
          <w:szCs w:val="22"/>
          <w:b w:val="1"/>
          <w:bCs w:val="1"/>
          <w:color w:val="auto"/>
        </w:rPr>
        <w:t>Partes</w:t>
      </w:r>
      <w:r>
        <w:rPr>
          <w:rFonts w:ascii="Calibri" w:cs="Calibri" w:eastAsia="Calibri" w:hAnsi="Calibri"/>
          <w:sz w:val="22"/>
          <w:szCs w:val="22"/>
          <w:color w:val="auto"/>
        </w:rPr>
        <w:t>)</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2000885</wp:posOffset>
            </wp:positionV>
            <wp:extent cx="71234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right="20"/>
        <w:spacing w:after="0" w:line="285" w:lineRule="auto"/>
        <w:rPr>
          <w:sz w:val="20"/>
          <w:szCs w:val="20"/>
          <w:color w:val="auto"/>
        </w:rPr>
      </w:pPr>
      <w:r>
        <w:rPr>
          <w:rFonts w:ascii="Arial" w:cs="Arial" w:eastAsia="Arial" w:hAnsi="Arial"/>
          <w:sz w:val="25"/>
          <w:szCs w:val="25"/>
          <w:color w:val="auto"/>
        </w:rPr>
        <w:t>The table of contents is empty. Heading styles must be applied in the document and be selected in the table of contents properties panel.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234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auto"/>
        </w:rPr>
        <w:t>Preamble</w:t>
      </w:r>
    </w:p>
    <w:p>
      <w:pPr>
        <w:spacing w:after="0" w:line="390" w:lineRule="exact"/>
        <w:rPr>
          <w:sz w:val="20"/>
          <w:szCs w:val="20"/>
          <w:color w:val="auto"/>
        </w:rPr>
      </w:pPr>
    </w:p>
    <w:p>
      <w:pPr>
        <w:ind w:left="900" w:hanging="892"/>
        <w:spacing w:after="0" w:line="235" w:lineRule="auto"/>
        <w:tabs>
          <w:tab w:leader="none" w:pos="890" w:val="left"/>
        </w:tabs>
        <w:numPr>
          <w:ilvl w:val="0"/>
          <w:numId w:val="96"/>
        </w:numPr>
        <w:rPr>
          <w:rFonts w:ascii="Calibri" w:cs="Calibri" w:eastAsia="Calibri" w:hAnsi="Calibri"/>
          <w:sz w:val="22"/>
          <w:szCs w:val="22"/>
          <w:color w:val="auto"/>
        </w:rPr>
      </w:pPr>
      <w:r>
        <w:rPr>
          <w:rFonts w:ascii="Calibri" w:cs="Calibri" w:eastAsia="Calibri" w:hAnsi="Calibri"/>
          <w:sz w:val="22"/>
          <w:szCs w:val="22"/>
          <w:color w:val="auto"/>
        </w:rPr>
        <w:t xml:space="preserve">You entered into an employment agreement with the Company dated 23 January 2023 (the </w:t>
      </w:r>
      <w:r>
        <w:rPr>
          <w:rFonts w:ascii="Calibri" w:cs="Calibri" w:eastAsia="Calibri" w:hAnsi="Calibri"/>
          <w:sz w:val="22"/>
          <w:szCs w:val="22"/>
          <w:b w:val="1"/>
          <w:bCs w:val="1"/>
          <w:color w:val="auto"/>
        </w:rPr>
        <w:t>Employment Agreement</w:t>
      </w:r>
      <w:r>
        <w:rPr>
          <w:rFonts w:ascii="Calibri" w:cs="Calibri" w:eastAsia="Calibri" w:hAnsi="Calibri"/>
          <w:sz w:val="22"/>
          <w:szCs w:val="22"/>
          <w:color w:val="auto"/>
        </w:rPr>
        <w:t>) as amended from tme to tme. The Employment Agreement is governed by Swiss law.</w:t>
      </w:r>
    </w:p>
    <w:p>
      <w:pPr>
        <w:spacing w:after="0" w:line="284" w:lineRule="exact"/>
        <w:rPr>
          <w:rFonts w:ascii="Calibri" w:cs="Calibri" w:eastAsia="Calibri" w:hAnsi="Calibri"/>
          <w:sz w:val="22"/>
          <w:szCs w:val="22"/>
          <w:color w:val="auto"/>
        </w:rPr>
      </w:pPr>
    </w:p>
    <w:p>
      <w:pPr>
        <w:ind w:left="900" w:right="300" w:hanging="892"/>
        <w:spacing w:after="0" w:line="235" w:lineRule="auto"/>
        <w:tabs>
          <w:tab w:leader="none" w:pos="895" w:val="left"/>
        </w:tabs>
        <w:numPr>
          <w:ilvl w:val="0"/>
          <w:numId w:val="96"/>
        </w:numPr>
        <w:rPr>
          <w:rFonts w:ascii="Calibri" w:cs="Calibri" w:eastAsia="Calibri" w:hAnsi="Calibri"/>
          <w:sz w:val="22"/>
          <w:szCs w:val="22"/>
          <w:color w:val="auto"/>
        </w:rPr>
      </w:pPr>
      <w:r>
        <w:rPr>
          <w:rFonts w:ascii="Calibri" w:cs="Calibri" w:eastAsia="Calibri" w:hAnsi="Calibri"/>
          <w:sz w:val="22"/>
          <w:szCs w:val="22"/>
          <w:color w:val="auto"/>
        </w:rPr>
        <w:t xml:space="preserve">During your Employment Agreement, you acted for the Company or its direct and indirect parent companies, their subsidiaries and/or any associated and afliated enttes (each a </w:t>
      </w:r>
      <w:r>
        <w:rPr>
          <w:rFonts w:ascii="Calibri" w:cs="Calibri" w:eastAsia="Calibri" w:hAnsi="Calibri"/>
          <w:sz w:val="22"/>
          <w:szCs w:val="22"/>
          <w:b w:val="1"/>
          <w:bCs w:val="1"/>
          <w:color w:val="auto"/>
        </w:rPr>
        <w:t>Group Company</w:t>
      </w:r>
      <w:r>
        <w:rPr>
          <w:rFonts w:ascii="Calibri" w:cs="Calibri" w:eastAsia="Calibri" w:hAnsi="Calibri"/>
          <w:sz w:val="22"/>
          <w:szCs w:val="22"/>
          <w:color w:val="auto"/>
        </w:rPr>
        <w:t>).</w:t>
      </w:r>
    </w:p>
    <w:p>
      <w:pPr>
        <w:spacing w:after="0" w:line="284" w:lineRule="exact"/>
        <w:rPr>
          <w:rFonts w:ascii="Calibri" w:cs="Calibri" w:eastAsia="Calibri" w:hAnsi="Calibri"/>
          <w:sz w:val="22"/>
          <w:szCs w:val="22"/>
          <w:color w:val="auto"/>
        </w:rPr>
      </w:pPr>
    </w:p>
    <w:p>
      <w:pPr>
        <w:ind w:left="900" w:right="560" w:hanging="892"/>
        <w:spacing w:after="0" w:line="254" w:lineRule="auto"/>
        <w:tabs>
          <w:tab w:leader="none" w:pos="892" w:val="left"/>
        </w:tabs>
        <w:numPr>
          <w:ilvl w:val="0"/>
          <w:numId w:val="96"/>
        </w:numPr>
        <w:rPr>
          <w:rFonts w:ascii="Calibri" w:cs="Calibri" w:eastAsia="Calibri" w:hAnsi="Calibri"/>
          <w:sz w:val="21"/>
          <w:szCs w:val="21"/>
          <w:color w:val="auto"/>
        </w:rPr>
      </w:pPr>
      <w:r>
        <w:rPr>
          <w:rFonts w:ascii="Calibri" w:cs="Calibri" w:eastAsia="Calibri" w:hAnsi="Calibri"/>
          <w:sz w:val="21"/>
          <w:szCs w:val="21"/>
          <w:color w:val="auto"/>
        </w:rPr>
        <w:t>On 25 November 2024, you informed the Company that you decided to step down from your role as CSO of the Company and wished to leave the Company at a mutually agreed date (expected at the end of January 2025).</w:t>
      </w:r>
    </w:p>
    <w:p>
      <w:pPr>
        <w:spacing w:after="0" w:line="267" w:lineRule="exact"/>
        <w:rPr>
          <w:rFonts w:ascii="Calibri" w:cs="Calibri" w:eastAsia="Calibri" w:hAnsi="Calibri"/>
          <w:sz w:val="21"/>
          <w:szCs w:val="21"/>
          <w:color w:val="auto"/>
        </w:rPr>
      </w:pPr>
    </w:p>
    <w:p>
      <w:pPr>
        <w:ind w:left="900" w:right="700" w:hanging="892"/>
        <w:spacing w:after="0" w:line="235" w:lineRule="auto"/>
        <w:tabs>
          <w:tab w:leader="none" w:pos="892" w:val="left"/>
        </w:tabs>
        <w:numPr>
          <w:ilvl w:val="0"/>
          <w:numId w:val="96"/>
        </w:numPr>
        <w:rPr>
          <w:rFonts w:ascii="Calibri" w:cs="Calibri" w:eastAsia="Calibri" w:hAnsi="Calibri"/>
          <w:sz w:val="22"/>
          <w:szCs w:val="22"/>
          <w:color w:val="auto"/>
        </w:rPr>
      </w:pPr>
      <w:r>
        <w:rPr>
          <w:rFonts w:ascii="Calibri" w:cs="Calibri" w:eastAsia="Calibri" w:hAnsi="Calibri"/>
          <w:sz w:val="22"/>
          <w:szCs w:val="22"/>
          <w:color w:val="auto"/>
        </w:rPr>
        <w:t>The Partes intend to contnue their collaboraton afer the mutually agreed terminaton date under an on-call employment agreement under which you will contnue to provide advice to the Company from tme to tme.</w:t>
      </w:r>
    </w:p>
    <w:p>
      <w:pPr>
        <w:spacing w:after="0" w:line="284" w:lineRule="exact"/>
        <w:rPr>
          <w:rFonts w:ascii="Calibri" w:cs="Calibri" w:eastAsia="Calibri" w:hAnsi="Calibri"/>
          <w:sz w:val="22"/>
          <w:szCs w:val="22"/>
          <w:color w:val="auto"/>
        </w:rPr>
      </w:pPr>
    </w:p>
    <w:p>
      <w:pPr>
        <w:ind w:left="900" w:right="460" w:hanging="892"/>
        <w:spacing w:after="0" w:line="235" w:lineRule="auto"/>
        <w:tabs>
          <w:tab w:leader="none" w:pos="896" w:val="left"/>
        </w:tabs>
        <w:numPr>
          <w:ilvl w:val="0"/>
          <w:numId w:val="96"/>
        </w:numPr>
        <w:rPr>
          <w:rFonts w:ascii="Calibri" w:cs="Calibri" w:eastAsia="Calibri" w:hAnsi="Calibri"/>
          <w:sz w:val="22"/>
          <w:szCs w:val="22"/>
          <w:color w:val="auto"/>
        </w:rPr>
      </w:pPr>
      <w:r>
        <w:rPr>
          <w:rFonts w:ascii="Calibri" w:cs="Calibri" w:eastAsia="Calibri" w:hAnsi="Calibri"/>
          <w:sz w:val="22"/>
          <w:szCs w:val="22"/>
          <w:color w:val="auto"/>
        </w:rPr>
        <w:t>The Partes intend to setle all modalites of the terminaton of the Employment Agreement amicably and on the terms and conditons of this Terminaton Agreement.</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color w:val="auto"/>
        </w:rPr>
        <w:t xml:space="preserve">Therefore, the Partes enter into the following agreement (the </w:t>
      </w:r>
      <w:r>
        <w:rPr>
          <w:rFonts w:ascii="Calibri" w:cs="Calibri" w:eastAsia="Calibri" w:hAnsi="Calibri"/>
          <w:sz w:val="22"/>
          <w:szCs w:val="22"/>
          <w:b w:val="1"/>
          <w:bCs w:val="1"/>
          <w:color w:val="auto"/>
        </w:rPr>
        <w:t>Terminaton Agreement</w:t>
      </w:r>
      <w:r>
        <w:rPr>
          <w:rFonts w:ascii="Calibri" w:cs="Calibri" w:eastAsia="Calibri" w:hAnsi="Calibri"/>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205740</wp:posOffset>
            </wp:positionV>
            <wp:extent cx="58121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0" w:hanging="881"/>
        <w:spacing w:after="0"/>
        <w:tabs>
          <w:tab w:leader="none" w:pos="1800" w:val="left"/>
        </w:tabs>
        <w:numPr>
          <w:ilvl w:val="0"/>
          <w:numId w:val="9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Terminaton of Employment Agreement</w:t>
      </w:r>
    </w:p>
    <w:p>
      <w:pPr>
        <w:spacing w:after="0" w:line="393" w:lineRule="exact"/>
        <w:rPr>
          <w:sz w:val="20"/>
          <w:szCs w:val="20"/>
          <w:color w:val="auto"/>
        </w:rPr>
      </w:pPr>
    </w:p>
    <w:p>
      <w:pPr>
        <w:ind w:left="900"/>
        <w:spacing w:after="0"/>
        <w:rPr>
          <w:sz w:val="20"/>
          <w:szCs w:val="20"/>
          <w:color w:val="auto"/>
        </w:rPr>
      </w:pPr>
      <w:r>
        <w:rPr>
          <w:rFonts w:ascii="Calibri" w:cs="Calibri" w:eastAsia="Calibri" w:hAnsi="Calibri"/>
          <w:sz w:val="22"/>
          <w:szCs w:val="22"/>
          <w:color w:val="auto"/>
        </w:rPr>
        <w:t xml:space="preserve">The Partes agree to terminate the Employment Agreement as of 3 February 2025 (the </w:t>
      </w:r>
      <w:r>
        <w:rPr>
          <w:rFonts w:ascii="Calibri" w:cs="Calibri" w:eastAsia="Calibri" w:hAnsi="Calibri"/>
          <w:sz w:val="22"/>
          <w:szCs w:val="22"/>
          <w:b w:val="1"/>
          <w:bCs w:val="1"/>
          <w:color w:val="auto"/>
        </w:rPr>
        <w:t>Terminaton Date</w:t>
      </w:r>
      <w:r>
        <w:rPr>
          <w:rFonts w:ascii="Calibri" w:cs="Calibri" w:eastAsia="Calibri" w:hAnsi="Calibri"/>
          <w:sz w:val="22"/>
          <w:szCs w:val="22"/>
          <w:color w:val="auto"/>
        </w:rPr>
        <w:t>).</w:t>
      </w:r>
    </w:p>
    <w:p>
      <w:pPr>
        <w:spacing w:after="0" w:line="284" w:lineRule="exact"/>
        <w:rPr>
          <w:sz w:val="20"/>
          <w:szCs w:val="20"/>
          <w:color w:val="auto"/>
        </w:rPr>
      </w:pPr>
    </w:p>
    <w:p>
      <w:pPr>
        <w:ind w:left="900" w:right="420"/>
        <w:spacing w:after="0" w:line="235" w:lineRule="auto"/>
        <w:rPr>
          <w:sz w:val="20"/>
          <w:szCs w:val="20"/>
          <w:color w:val="auto"/>
        </w:rPr>
      </w:pPr>
      <w:r>
        <w:rPr>
          <w:rFonts w:ascii="Calibri" w:cs="Calibri" w:eastAsia="Calibri" w:hAnsi="Calibri"/>
          <w:sz w:val="22"/>
          <w:szCs w:val="22"/>
          <w:color w:val="auto"/>
        </w:rPr>
        <w:t>Any extension of the Employment Agreement for any reason as listed in artcle 336c para. 1 CO, especially due to illness pregnancy, maternity or accident, shall be expressly excluded.</w:t>
      </w:r>
    </w:p>
    <w:p>
      <w:pPr>
        <w:sectPr>
          <w:pgSz w:w="11900" w:h="16838" w:orient="portrait"/>
          <w:cols w:equalWidth="0" w:num="1">
            <w:col w:w="11180"/>
          </w:cols>
          <w:pgMar w:left="320" w:top="1440" w:right="399" w:bottom="1440" w:gutter="0" w:footer="0" w:header="0"/>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2000885</wp:posOffset>
            </wp:positionV>
            <wp:extent cx="58121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792" w:hanging="881"/>
        <w:spacing w:after="0"/>
        <w:tabs>
          <w:tab w:leader="none" w:pos="1792" w:val="left"/>
        </w:tabs>
        <w:numPr>
          <w:ilvl w:val="0"/>
          <w:numId w:val="98"/>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Resignaton</w:t>
      </w:r>
    </w:p>
    <w:p>
      <w:pPr>
        <w:spacing w:after="0" w:line="200" w:lineRule="exact"/>
        <w:rPr>
          <w:sz w:val="20"/>
          <w:szCs w:val="20"/>
          <w:color w:val="auto"/>
        </w:rPr>
      </w:pPr>
    </w:p>
    <w:p>
      <w:pPr>
        <w:spacing w:after="0" w:line="206" w:lineRule="exact"/>
        <w:rPr>
          <w:sz w:val="20"/>
          <w:szCs w:val="20"/>
          <w:color w:val="auto"/>
        </w:rPr>
      </w:pPr>
    </w:p>
    <w:p>
      <w:pPr>
        <w:ind w:left="892" w:right="300"/>
        <w:spacing w:after="0" w:line="237" w:lineRule="auto"/>
        <w:rPr>
          <w:sz w:val="20"/>
          <w:szCs w:val="20"/>
          <w:color w:val="auto"/>
        </w:rPr>
      </w:pPr>
      <w:r>
        <w:rPr>
          <w:rFonts w:ascii="Calibri" w:cs="Calibri" w:eastAsia="Calibri" w:hAnsi="Calibri"/>
          <w:sz w:val="22"/>
          <w:szCs w:val="22"/>
          <w:color w:val="auto"/>
        </w:rPr>
        <w:t>You shall resign from any and all corporate and/or other functons you may hold in any Group Company simultaneously with the signing of this Terminaton Agreement. You agree to take any and all required steps (in partcular, to make any necessary declaratons and take any necessary actons) to put such resignaton into efect.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207010</wp:posOffset>
            </wp:positionV>
            <wp:extent cx="58121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92" w:hanging="881"/>
        <w:spacing w:after="0"/>
        <w:tabs>
          <w:tab w:leader="none" w:pos="1792" w:val="left"/>
        </w:tabs>
        <w:numPr>
          <w:ilvl w:val="0"/>
          <w:numId w:val="9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Performance of Work</w:t>
      </w:r>
    </w:p>
    <w:p>
      <w:pPr>
        <w:spacing w:after="0" w:line="200" w:lineRule="exact"/>
        <w:rPr>
          <w:rFonts w:ascii="Calibri" w:cs="Calibri" w:eastAsia="Calibri" w:hAnsi="Calibri"/>
          <w:sz w:val="22"/>
          <w:szCs w:val="22"/>
          <w:b w:val="1"/>
          <w:bCs w:val="1"/>
          <w:color w:val="auto"/>
        </w:rPr>
      </w:pPr>
    </w:p>
    <w:p>
      <w:pPr>
        <w:spacing w:after="0" w:line="341" w:lineRule="exact"/>
        <w:rPr>
          <w:rFonts w:ascii="Calibri" w:cs="Calibri" w:eastAsia="Calibri" w:hAnsi="Calibri"/>
          <w:sz w:val="22"/>
          <w:szCs w:val="22"/>
          <w:b w:val="1"/>
          <w:bCs w:val="1"/>
          <w:color w:val="auto"/>
        </w:rPr>
      </w:pPr>
    </w:p>
    <w:p>
      <w:pPr>
        <w:ind w:left="1792" w:hanging="881"/>
        <w:spacing w:after="0"/>
        <w:tabs>
          <w:tab w:leader="none" w:pos="1792" w:val="left"/>
        </w:tabs>
        <w:numPr>
          <w:ilvl w:val="0"/>
          <w:numId w:val="9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Remuneraton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52"/>
        <w:spacing w:after="0" w:line="239" w:lineRule="auto"/>
        <w:rPr>
          <w:sz w:val="20"/>
          <w:szCs w:val="20"/>
          <w:color w:val="auto"/>
        </w:rPr>
      </w:pPr>
      <w:r>
        <w:rPr>
          <w:rFonts w:ascii="Calibri" w:cs="Calibri" w:eastAsia="Calibri" w:hAnsi="Calibri"/>
          <w:sz w:val="22"/>
          <w:szCs w:val="22"/>
          <w:color w:val="auto"/>
        </w:rPr>
        <w:t xml:space="preserve">You will contnue to perform your work in accordance with the Employment Agreement untl the Terminaton Date and you will be responsible for a proper handover of your work actvity. If possible, you will take any accrued or accruing vacaton and reduce any overtme/extra hours untl the Terminaton Date. Any remaining vacaton days will be paid to you with your last salary payment. However, the Company may at any tme and with immediate efect (the </w:t>
      </w:r>
      <w:r>
        <w:rPr>
          <w:rFonts w:ascii="Calibri" w:cs="Calibri" w:eastAsia="Calibri" w:hAnsi="Calibri"/>
          <w:sz w:val="22"/>
          <w:szCs w:val="22"/>
          <w:b w:val="1"/>
          <w:bCs w:val="1"/>
          <w:color w:val="auto"/>
        </w:rPr>
        <w:t>Leaving Date</w:t>
      </w:r>
      <w:r>
        <w:rPr>
          <w:rFonts w:ascii="Calibri" w:cs="Calibri" w:eastAsia="Calibri" w:hAnsi="Calibri"/>
          <w:sz w:val="22"/>
          <w:szCs w:val="22"/>
          <w:color w:val="auto"/>
        </w:rPr>
        <w:t>) release you from your duty to work (the</w:t>
      </w:r>
      <w:r>
        <w:rPr>
          <w:rFonts w:ascii="Calibri" w:cs="Calibri" w:eastAsia="Calibri" w:hAnsi="Calibri"/>
          <w:sz w:val="22"/>
          <w:szCs w:val="22"/>
          <w:b w:val="1"/>
          <w:bCs w:val="1"/>
          <w:color w:val="auto"/>
        </w:rPr>
        <w:t xml:space="preserve"> Garden Leave</w:t>
      </w:r>
      <w:r>
        <w:rPr>
          <w:rFonts w:ascii="Calibri" w:cs="Calibri" w:eastAsia="Calibri" w:hAnsi="Calibri"/>
          <w:sz w:val="22"/>
          <w:szCs w:val="22"/>
          <w:color w:val="auto"/>
        </w:rPr>
        <w:t>) and any vacaton, any overtme and tme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compensaton enttlements, if any, shall be ofset against the Garden Leave.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92" w:hanging="892"/>
        <w:spacing w:after="0"/>
        <w:tabs>
          <w:tab w:leader="none" w:pos="892" w:val="left"/>
        </w:tabs>
        <w:numPr>
          <w:ilvl w:val="0"/>
          <w:numId w:val="100"/>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Salary and Expenses</w:t>
      </w:r>
    </w:p>
    <w:p>
      <w:pPr>
        <w:spacing w:after="0" w:line="283" w:lineRule="exact"/>
        <w:rPr>
          <w:rFonts w:ascii="Calibri" w:cs="Calibri" w:eastAsia="Calibri" w:hAnsi="Calibri"/>
          <w:sz w:val="22"/>
          <w:szCs w:val="22"/>
          <w:b w:val="1"/>
          <w:bCs w:val="1"/>
          <w:color w:val="auto"/>
        </w:rPr>
      </w:pPr>
    </w:p>
    <w:p>
      <w:pPr>
        <w:ind w:left="892" w:right="220"/>
        <w:spacing w:after="0" w:line="237" w:lineRule="auto"/>
        <w:rPr>
          <w:rFonts w:ascii="Calibri" w:cs="Calibri" w:eastAsia="Calibri" w:hAnsi="Calibri"/>
          <w:sz w:val="22"/>
          <w:szCs w:val="22"/>
          <w:b w:val="1"/>
          <w:bCs w:val="1"/>
          <w:color w:val="auto"/>
        </w:rPr>
      </w:pPr>
      <w:r>
        <w:rPr>
          <w:rFonts w:ascii="Calibri" w:cs="Calibri" w:eastAsia="Calibri" w:hAnsi="Calibri"/>
          <w:sz w:val="22"/>
          <w:szCs w:val="22"/>
          <w:color w:val="auto"/>
        </w:rPr>
        <w:t>Untl the Terminaton Date, the Company will contnue to pay your monthly base salary of CHF 33’333 gross, any reimbursement of expenses in accordance with the Company’s expense regulatons as well as the monthly remote working allowance of CHF 300 net.</w:t>
      </w:r>
    </w:p>
    <w:p>
      <w:pPr>
        <w:spacing w:after="0" w:line="284" w:lineRule="exact"/>
        <w:rPr>
          <w:rFonts w:ascii="Calibri" w:cs="Calibri" w:eastAsia="Calibri" w:hAnsi="Calibri"/>
          <w:sz w:val="22"/>
          <w:szCs w:val="22"/>
          <w:b w:val="1"/>
          <w:bCs w:val="1"/>
          <w:color w:val="auto"/>
        </w:rPr>
      </w:pPr>
    </w:p>
    <w:p>
      <w:pPr>
        <w:ind w:left="892" w:right="340"/>
        <w:spacing w:after="0" w:line="252" w:lineRule="auto"/>
        <w:rPr>
          <w:rFonts w:ascii="Calibri" w:cs="Calibri" w:eastAsia="Calibri" w:hAnsi="Calibri"/>
          <w:sz w:val="22"/>
          <w:szCs w:val="22"/>
          <w:b w:val="1"/>
          <w:bCs w:val="1"/>
          <w:color w:val="auto"/>
        </w:rPr>
      </w:pPr>
      <w:r>
        <w:rPr>
          <w:rFonts w:ascii="Calibri" w:cs="Calibri" w:eastAsia="Calibri" w:hAnsi="Calibri"/>
          <w:sz w:val="21"/>
          <w:szCs w:val="21"/>
          <w:color w:val="auto"/>
        </w:rPr>
        <w:t>Irrespectve of the above, with any Garden Leave, claims to reimbursement of expenses, the remote working allowance as well as other ancillary benefts associated with the actual performance of work shall cease to apply.</w:t>
      </w:r>
    </w:p>
    <w:p>
      <w:pPr>
        <w:sectPr>
          <w:pgSz w:w="11900" w:h="16838" w:orient="portrait"/>
          <w:cols w:equalWidth="0" w:num="1">
            <w:col w:w="11092"/>
          </w:cols>
          <w:pgMar w:left="328" w:top="1440" w:right="479" w:bottom="1440" w:gutter="0" w:footer="0" w:header="0"/>
        </w:sectPr>
      </w:pPr>
    </w:p>
    <w:bookmarkStart w:id="180" w:name="page181"/>
    <w:bookmarkEnd w:id="1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92" w:hanging="892"/>
        <w:spacing w:after="0"/>
        <w:tabs>
          <w:tab w:leader="none" w:pos="892" w:val="left"/>
        </w:tabs>
        <w:numPr>
          <w:ilvl w:val="0"/>
          <w:numId w:val="101"/>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Bonus</w:t>
      </w:r>
    </w:p>
    <w:p>
      <w:pPr>
        <w:spacing w:after="0" w:line="284" w:lineRule="exact"/>
        <w:rPr>
          <w:rFonts w:ascii="Calibri" w:cs="Calibri" w:eastAsia="Calibri" w:hAnsi="Calibri"/>
          <w:sz w:val="22"/>
          <w:szCs w:val="22"/>
          <w:b w:val="1"/>
          <w:bCs w:val="1"/>
          <w:color w:val="auto"/>
        </w:rPr>
      </w:pPr>
    </w:p>
    <w:p>
      <w:pPr>
        <w:ind w:left="892" w:right="300"/>
        <w:spacing w:after="0" w:line="235" w:lineRule="auto"/>
        <w:rPr>
          <w:rFonts w:ascii="Calibri" w:cs="Calibri" w:eastAsia="Calibri" w:hAnsi="Calibri"/>
          <w:sz w:val="22"/>
          <w:szCs w:val="22"/>
          <w:b w:val="1"/>
          <w:bCs w:val="1"/>
          <w:color w:val="auto"/>
        </w:rPr>
      </w:pPr>
      <w:r>
        <w:rPr>
          <w:rFonts w:ascii="Calibri" w:cs="Calibri" w:eastAsia="Calibri" w:hAnsi="Calibri"/>
          <w:sz w:val="22"/>
          <w:szCs w:val="22"/>
          <w:color w:val="auto"/>
        </w:rPr>
        <w:t>For fscal years 2024 and 2025, you are not enttled to receive a bonus under the current bonus programme of the company.</w:t>
      </w:r>
    </w:p>
    <w:p>
      <w:pPr>
        <w:spacing w:after="0" w:line="200" w:lineRule="exact"/>
        <w:rPr>
          <w:rFonts w:ascii="Calibri" w:cs="Calibri" w:eastAsia="Calibri" w:hAnsi="Calibri"/>
          <w:sz w:val="22"/>
          <w:szCs w:val="22"/>
          <w:b w:val="1"/>
          <w:bCs w:val="1"/>
          <w:color w:val="auto"/>
        </w:rPr>
      </w:pPr>
    </w:p>
    <w:p>
      <w:pPr>
        <w:spacing w:after="0" w:line="343" w:lineRule="exact"/>
        <w:rPr>
          <w:rFonts w:ascii="Calibri" w:cs="Calibri" w:eastAsia="Calibri" w:hAnsi="Calibri"/>
          <w:sz w:val="22"/>
          <w:szCs w:val="22"/>
          <w:b w:val="1"/>
          <w:bCs w:val="1"/>
          <w:color w:val="auto"/>
        </w:rPr>
      </w:pPr>
    </w:p>
    <w:p>
      <w:pPr>
        <w:ind w:left="892" w:hanging="892"/>
        <w:spacing w:after="0"/>
        <w:tabs>
          <w:tab w:leader="none" w:pos="892" w:val="left"/>
        </w:tabs>
        <w:numPr>
          <w:ilvl w:val="0"/>
          <w:numId w:val="101"/>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Deductons</w:t>
      </w:r>
    </w:p>
    <w:p>
      <w:pPr>
        <w:spacing w:after="0" w:line="282" w:lineRule="exact"/>
        <w:rPr>
          <w:rFonts w:ascii="Calibri" w:cs="Calibri" w:eastAsia="Calibri" w:hAnsi="Calibri"/>
          <w:sz w:val="22"/>
          <w:szCs w:val="22"/>
          <w:b w:val="1"/>
          <w:bCs w:val="1"/>
          <w:color w:val="auto"/>
        </w:rPr>
      </w:pPr>
    </w:p>
    <w:p>
      <w:pPr>
        <w:ind w:left="892" w:right="80"/>
        <w:spacing w:after="0" w:line="238" w:lineRule="auto"/>
        <w:rPr>
          <w:rFonts w:ascii="Calibri" w:cs="Calibri" w:eastAsia="Calibri" w:hAnsi="Calibri"/>
          <w:sz w:val="22"/>
          <w:szCs w:val="22"/>
          <w:b w:val="1"/>
          <w:bCs w:val="1"/>
          <w:color w:val="auto"/>
        </w:rPr>
      </w:pPr>
      <w:r>
        <w:rPr>
          <w:rFonts w:ascii="Calibri" w:cs="Calibri" w:eastAsia="Calibri" w:hAnsi="Calibri"/>
          <w:sz w:val="22"/>
          <w:szCs w:val="22"/>
          <w:color w:val="auto"/>
        </w:rPr>
        <w:t>Social security contributons (including pension fund), insurance contributons (in partcular, accident insurance and daily sickness benefts insurance, if applicable) as well as withholding tax, if any, owed by you under an agreement, applicable laws and regulatons will be deducted from all payments under this Terminaton Agreement in compliance with the applicable laws and regulatons.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58121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792" w:hanging="881"/>
        <w:spacing w:after="0"/>
        <w:tabs>
          <w:tab w:leader="none" w:pos="1792" w:val="left"/>
        </w:tabs>
        <w:numPr>
          <w:ilvl w:val="0"/>
          <w:numId w:val="102"/>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Return of Documents and other Materials</w:t>
      </w:r>
    </w:p>
    <w:p>
      <w:pPr>
        <w:spacing w:after="0" w:line="200" w:lineRule="exact"/>
        <w:rPr>
          <w:sz w:val="20"/>
          <w:szCs w:val="20"/>
          <w:color w:val="auto"/>
        </w:rPr>
      </w:pPr>
    </w:p>
    <w:p>
      <w:pPr>
        <w:spacing w:after="0" w:line="203" w:lineRule="exact"/>
        <w:rPr>
          <w:sz w:val="20"/>
          <w:szCs w:val="20"/>
          <w:color w:val="auto"/>
        </w:rPr>
      </w:pPr>
    </w:p>
    <w:p>
      <w:pPr>
        <w:ind w:left="892"/>
        <w:spacing w:after="0"/>
        <w:rPr>
          <w:sz w:val="20"/>
          <w:szCs w:val="20"/>
          <w:color w:val="auto"/>
        </w:rPr>
      </w:pPr>
      <w:r>
        <w:rPr>
          <w:rFonts w:ascii="Calibri" w:cs="Calibri" w:eastAsia="Calibri" w:hAnsi="Calibri"/>
          <w:sz w:val="22"/>
          <w:szCs w:val="22"/>
          <w:color w:val="auto"/>
        </w:rPr>
        <w:t xml:space="preserve">You are obliged to return any and all property and data (irrespectve of the form of their materialisaton) relatng to the Company, its Group Companies and business partners, which your received, which you (co-)created or which otherwise came into your possession or control. This includes in partcular, but is not limited to, all computer fles and other informaton containing confdental informaton, all address lists, customer data, project records, e-mail and other correspondence, reports, contracts, memoranda, minutes and other data, mobile phones, computer hardware and sofware, credit cards, door and fle keys, access codes, passwords, mobile data carriers and user manuals (the </w:t>
      </w:r>
      <w:r>
        <w:rPr>
          <w:rFonts w:ascii="Calibri" w:cs="Calibri" w:eastAsia="Calibri" w:hAnsi="Calibri"/>
          <w:sz w:val="22"/>
          <w:szCs w:val="22"/>
          <w:b w:val="1"/>
          <w:bCs w:val="1"/>
          <w:color w:val="auto"/>
        </w:rPr>
        <w:t>Material</w:t>
      </w:r>
      <w:r>
        <w:rPr>
          <w:rFonts w:ascii="Calibri" w:cs="Calibri" w:eastAsia="Calibri" w:hAnsi="Calibri"/>
          <w:sz w:val="22"/>
          <w:szCs w:val="22"/>
          <w:color w:val="auto"/>
        </w:rPr>
        <w:t>). You must not make any copies, reproductons or extracts of such Material, retain them for your own</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purposes or make them available to third partes. You must hand over any Material and you must irrevocably delete any electronic Material from any private data carrier upon the Company’s frst request, but in any case (and without a specifc request) by the Terminaton Date at the latest.</w:t>
      </w:r>
    </w:p>
    <w:p>
      <w:pPr>
        <w:spacing w:after="0" w:line="284" w:lineRule="exact"/>
        <w:rPr>
          <w:sz w:val="20"/>
          <w:szCs w:val="20"/>
          <w:color w:val="auto"/>
        </w:rPr>
      </w:pPr>
    </w:p>
    <w:p>
      <w:pPr>
        <w:ind w:left="892" w:right="760"/>
        <w:spacing w:after="0" w:line="235" w:lineRule="auto"/>
        <w:rPr>
          <w:sz w:val="20"/>
          <w:szCs w:val="20"/>
          <w:color w:val="auto"/>
        </w:rPr>
      </w:pPr>
      <w:r>
        <w:rPr>
          <w:rFonts w:ascii="Calibri" w:cs="Calibri" w:eastAsia="Calibri" w:hAnsi="Calibri"/>
          <w:sz w:val="22"/>
          <w:szCs w:val="22"/>
          <w:color w:val="auto"/>
        </w:rPr>
        <w:t>You must delete all private fles and e-mails from the Company's servers and devices and remove all personal belongings from your ofce by the Terminaton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207010</wp:posOffset>
            </wp:positionV>
            <wp:extent cx="58121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92" w:hanging="881"/>
        <w:spacing w:after="0"/>
        <w:tabs>
          <w:tab w:leader="none" w:pos="1792" w:val="left"/>
        </w:tabs>
        <w:numPr>
          <w:ilvl w:val="0"/>
          <w:numId w:val="103"/>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Confdentality</w:t>
      </w:r>
    </w:p>
    <w:p>
      <w:pPr>
        <w:sectPr>
          <w:pgSz w:w="11900" w:h="16838" w:orient="portrait"/>
          <w:cols w:equalWidth="0" w:num="1">
            <w:col w:w="11172"/>
          </w:cols>
          <w:pgMar w:left="328" w:top="1440" w:right="399" w:bottom="1440" w:gutter="0" w:footer="0" w:header="0"/>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20"/>
        <w:spacing w:after="0" w:line="235" w:lineRule="auto"/>
        <w:rPr>
          <w:sz w:val="20"/>
          <w:szCs w:val="20"/>
          <w:color w:val="auto"/>
        </w:rPr>
      </w:pPr>
      <w:r>
        <w:rPr>
          <w:rFonts w:ascii="Calibri" w:cs="Calibri" w:eastAsia="Calibri" w:hAnsi="Calibri"/>
          <w:sz w:val="22"/>
          <w:szCs w:val="22"/>
          <w:color w:val="auto"/>
        </w:rPr>
        <w:t>Your obligaton to maintain confdentality pursuant to Art. 22 of the Employment Agreement as well as Art. 321a(4) CO shall remain in full force even afer the Terminaton Date.</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color w:val="auto"/>
        </w:rPr>
        <w:t>You undertake not to make any statements to the media unless authorized to do so by the Company.</w:t>
      </w:r>
    </w:p>
    <w:p>
      <w:pPr>
        <w:spacing w:after="0" w:line="284" w:lineRule="exact"/>
        <w:rPr>
          <w:sz w:val="20"/>
          <w:szCs w:val="20"/>
          <w:color w:val="auto"/>
        </w:rPr>
      </w:pPr>
    </w:p>
    <w:p>
      <w:pPr>
        <w:ind w:right="200"/>
        <w:spacing w:after="0" w:line="235" w:lineRule="auto"/>
        <w:rPr>
          <w:sz w:val="20"/>
          <w:szCs w:val="20"/>
          <w:color w:val="auto"/>
        </w:rPr>
      </w:pPr>
      <w:r>
        <w:rPr>
          <w:rFonts w:ascii="Calibri" w:cs="Calibri" w:eastAsia="Calibri" w:hAnsi="Calibri"/>
          <w:sz w:val="22"/>
          <w:szCs w:val="22"/>
          <w:color w:val="auto"/>
        </w:rPr>
        <w:t>You undertake to keep the existence as well as the terms of this Terminaton Agreement strictly confdental and not to disclose them to any third party unless required by law, a court or a competent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58121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00" w:hanging="881"/>
        <w:spacing w:after="0"/>
        <w:tabs>
          <w:tab w:leader="none" w:pos="900" w:val="left"/>
        </w:tabs>
        <w:numPr>
          <w:ilvl w:val="0"/>
          <w:numId w:val="104"/>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Restrictve Covenants</w:t>
      </w:r>
    </w:p>
    <w:p>
      <w:pPr>
        <w:spacing w:after="0" w:line="200" w:lineRule="exact"/>
        <w:rPr>
          <w:sz w:val="20"/>
          <w:szCs w:val="20"/>
          <w:color w:val="auto"/>
        </w:rPr>
      </w:pPr>
    </w:p>
    <w:p>
      <w:pPr>
        <w:spacing w:after="0" w:line="204" w:lineRule="exact"/>
        <w:rPr>
          <w:sz w:val="20"/>
          <w:szCs w:val="20"/>
          <w:color w:val="auto"/>
        </w:rPr>
      </w:pPr>
    </w:p>
    <w:p>
      <w:pPr>
        <w:spacing w:after="0" w:line="239" w:lineRule="auto"/>
        <w:rPr>
          <w:sz w:val="20"/>
          <w:szCs w:val="20"/>
          <w:color w:val="auto"/>
        </w:rPr>
      </w:pPr>
      <w:r>
        <w:rPr>
          <w:rFonts w:ascii="Calibri" w:cs="Calibri" w:eastAsia="Calibri" w:hAnsi="Calibri"/>
          <w:sz w:val="22"/>
          <w:szCs w:val="22"/>
          <w:color w:val="auto"/>
        </w:rPr>
        <w:t>The post-contractual non-competton and non-solicitaton obligaton under Secton 21 of the Employment Agreement will only be upheld as it relates to direct immune tolerance compettors (</w:t>
      </w:r>
      <w:r>
        <w:rPr>
          <w:rFonts w:ascii="Calibri" w:cs="Calibri" w:eastAsia="Calibri" w:hAnsi="Calibri"/>
          <w:sz w:val="22"/>
          <w:szCs w:val="22"/>
          <w:i w:val="1"/>
          <w:iCs w:val="1"/>
          <w:color w:val="auto"/>
        </w:rPr>
        <w:t>e.g.</w:t>
      </w:r>
      <w:r>
        <w:rPr>
          <w:rFonts w:ascii="Calibri" w:cs="Calibri" w:eastAsia="Calibri" w:hAnsi="Calibri"/>
          <w:sz w:val="22"/>
          <w:szCs w:val="22"/>
          <w:color w:val="auto"/>
        </w:rPr>
        <w:t>, Antgen-specifc Treg-mediated tolerance inducton using nanopartcles or similar approaches). For all other compettors, the post-contractual non-competton lapses. You agree to inform the Company in due tme before taking up any actvity, which could be in violaton of your non-competton and non-solicitaton obligaton.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58121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00" w:hanging="881"/>
        <w:spacing w:after="0"/>
        <w:tabs>
          <w:tab w:leader="none" w:pos="900" w:val="left"/>
        </w:tabs>
        <w:numPr>
          <w:ilvl w:val="0"/>
          <w:numId w:val="105"/>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Communicaton / Social Media</w:t>
      </w:r>
    </w:p>
    <w:p>
      <w:pPr>
        <w:spacing w:after="0" w:line="200" w:lineRule="exact"/>
        <w:rPr>
          <w:sz w:val="20"/>
          <w:szCs w:val="20"/>
          <w:color w:val="auto"/>
        </w:rPr>
      </w:pPr>
    </w:p>
    <w:p>
      <w:pPr>
        <w:spacing w:after="0" w:line="205" w:lineRule="exact"/>
        <w:rPr>
          <w:sz w:val="20"/>
          <w:szCs w:val="20"/>
          <w:color w:val="auto"/>
        </w:rPr>
      </w:pPr>
    </w:p>
    <w:p>
      <w:pPr>
        <w:ind w:right="180"/>
        <w:spacing w:after="0" w:line="237" w:lineRule="auto"/>
        <w:rPr>
          <w:sz w:val="20"/>
          <w:szCs w:val="20"/>
          <w:color w:val="auto"/>
        </w:rPr>
      </w:pPr>
      <w:r>
        <w:rPr>
          <w:rFonts w:ascii="Calibri" w:cs="Calibri" w:eastAsia="Calibri" w:hAnsi="Calibri"/>
          <w:sz w:val="22"/>
          <w:szCs w:val="22"/>
          <w:color w:val="auto"/>
        </w:rPr>
        <w:t>As per the Terminaton Date, you shall update your personal profles on social media, including but not limited to LinkedIn, Twiter, Instagram and Facebook, in such a way that those profles show that you are no longer working for the Company.</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color w:val="auto"/>
        </w:rPr>
        <w:t>The Company agrees to communicate your departure to third partes as follows:</w:t>
      </w:r>
    </w:p>
    <w:p>
      <w:pPr>
        <w:spacing w:after="0" w:line="282" w:lineRule="exact"/>
        <w:rPr>
          <w:sz w:val="20"/>
          <w:szCs w:val="20"/>
          <w:color w:val="auto"/>
        </w:rPr>
      </w:pPr>
    </w:p>
    <w:p>
      <w:pPr>
        <w:ind w:right="300"/>
        <w:spacing w:after="0" w:line="238" w:lineRule="auto"/>
        <w:rPr>
          <w:sz w:val="20"/>
          <w:szCs w:val="20"/>
          <w:color w:val="auto"/>
        </w:rPr>
      </w:pPr>
      <w:r>
        <w:rPr>
          <w:rFonts w:ascii="Calibri" w:cs="Calibri" w:eastAsia="Calibri" w:hAnsi="Calibri"/>
          <w:sz w:val="22"/>
          <w:szCs w:val="22"/>
          <w:color w:val="auto"/>
        </w:rPr>
        <w:t>"Nadege Pelleter decided to resign as CSO of the Company with efect as per 3 February 2025 in order to take up a new challenge outside the Barinthus-Group. We thank Ms. Pelleter for her commitment and her valuable contributon to the success of the Company. We regret her decision and wish her all the best and much success for the contnuaton of her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207645</wp:posOffset>
            </wp:positionV>
            <wp:extent cx="58121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00" w:hanging="881"/>
        <w:spacing w:after="0"/>
        <w:tabs>
          <w:tab w:leader="none" w:pos="900" w:val="left"/>
        </w:tabs>
        <w:numPr>
          <w:ilvl w:val="0"/>
          <w:numId w:val="106"/>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Contnued Cooperaton</w:t>
      </w:r>
    </w:p>
    <w:p>
      <w:pPr>
        <w:sectPr>
          <w:pgSz w:w="11900" w:h="16838" w:orient="portrait"/>
          <w:cols w:equalWidth="0" w:num="1">
            <w:col w:w="10340"/>
          </w:cols>
          <w:pgMar w:left="1220" w:top="1440" w:right="339" w:bottom="1440" w:gutter="0" w:footer="0" w:header="0"/>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20"/>
        <w:spacing w:after="0" w:line="235" w:lineRule="auto"/>
        <w:rPr>
          <w:sz w:val="20"/>
          <w:szCs w:val="20"/>
          <w:color w:val="auto"/>
        </w:rPr>
      </w:pPr>
      <w:r>
        <w:rPr>
          <w:rFonts w:ascii="Calibri" w:cs="Calibri" w:eastAsia="Calibri" w:hAnsi="Calibri"/>
          <w:sz w:val="22"/>
          <w:szCs w:val="22"/>
          <w:color w:val="auto"/>
        </w:rPr>
        <w:t>You will support the Company and the Group Companies in any (internal) inquiries and investgatons, including, but not limited to, provision of testmonies or witnessing.</w:t>
      </w:r>
    </w:p>
    <w:p>
      <w:pPr>
        <w:spacing w:after="0" w:line="284" w:lineRule="exact"/>
        <w:rPr>
          <w:sz w:val="20"/>
          <w:szCs w:val="20"/>
          <w:color w:val="auto"/>
        </w:rPr>
      </w:pPr>
    </w:p>
    <w:p>
      <w:pPr>
        <w:ind w:right="500"/>
        <w:spacing w:after="0" w:line="235" w:lineRule="auto"/>
        <w:rPr>
          <w:sz w:val="20"/>
          <w:szCs w:val="20"/>
          <w:color w:val="auto"/>
        </w:rPr>
      </w:pPr>
      <w:r>
        <w:rPr>
          <w:rFonts w:ascii="Calibri" w:cs="Calibri" w:eastAsia="Calibri" w:hAnsi="Calibri"/>
          <w:sz w:val="22"/>
          <w:szCs w:val="22"/>
          <w:color w:val="auto"/>
        </w:rPr>
        <w:t>You will also support the Company and the Group Companies in any lawsuits, civil or public proceedings or other formal procedures in this regard.</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color w:val="auto"/>
        </w:rPr>
        <w:t>Afer the Terminaton Date, the Company will pay adequate compensaton for such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58121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00" w:hanging="881"/>
        <w:spacing w:after="0"/>
        <w:tabs>
          <w:tab w:leader="none" w:pos="900" w:val="left"/>
        </w:tabs>
        <w:numPr>
          <w:ilvl w:val="0"/>
          <w:numId w:val="10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Non-Disparagement</w:t>
      </w:r>
    </w:p>
    <w:p>
      <w:pPr>
        <w:spacing w:after="0" w:line="200" w:lineRule="exact"/>
        <w:rPr>
          <w:sz w:val="20"/>
          <w:szCs w:val="20"/>
          <w:color w:val="auto"/>
        </w:rPr>
      </w:pPr>
    </w:p>
    <w:p>
      <w:pPr>
        <w:spacing w:after="0" w:line="204" w:lineRule="exact"/>
        <w:rPr>
          <w:sz w:val="20"/>
          <w:szCs w:val="20"/>
          <w:color w:val="auto"/>
        </w:rPr>
      </w:pPr>
    </w:p>
    <w:p>
      <w:pPr>
        <w:spacing w:after="0" w:line="239" w:lineRule="auto"/>
        <w:rPr>
          <w:sz w:val="20"/>
          <w:szCs w:val="20"/>
          <w:color w:val="auto"/>
        </w:rPr>
      </w:pPr>
      <w:r>
        <w:rPr>
          <w:rFonts w:ascii="Calibri" w:cs="Calibri" w:eastAsia="Calibri" w:hAnsi="Calibri"/>
          <w:sz w:val="22"/>
          <w:szCs w:val="22"/>
          <w:color w:val="auto"/>
        </w:rPr>
        <w:t>You agree not to disparage the Company and any Group Companies as well as their directors, ofcers, executves, employees, shareholders, stakeholders, partners, agents, insurers and atorneys (past and present), in any manner likely to be harmful to them or their business, products, business reputaton or personal reputaton, provided that you shall respond accurately and fully to any queston, inquiry or request for informaton when required by law or order of a competent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58121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00" w:hanging="881"/>
        <w:spacing w:after="0"/>
        <w:tabs>
          <w:tab w:leader="none" w:pos="900" w:val="left"/>
        </w:tabs>
        <w:numPr>
          <w:ilvl w:val="0"/>
          <w:numId w:val="108"/>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Insurances</w:t>
      </w:r>
    </w:p>
    <w:p>
      <w:pPr>
        <w:spacing w:after="0" w:line="200" w:lineRule="exact"/>
        <w:rPr>
          <w:sz w:val="20"/>
          <w:szCs w:val="20"/>
          <w:color w:val="auto"/>
        </w:rPr>
      </w:pPr>
    </w:p>
    <w:p>
      <w:pPr>
        <w:spacing w:after="0" w:line="205" w:lineRule="exact"/>
        <w:rPr>
          <w:sz w:val="20"/>
          <w:szCs w:val="20"/>
          <w:color w:val="auto"/>
        </w:rPr>
      </w:pPr>
    </w:p>
    <w:p>
      <w:pPr>
        <w:ind w:right="280"/>
        <w:spacing w:after="0" w:line="238" w:lineRule="auto"/>
        <w:rPr>
          <w:sz w:val="20"/>
          <w:szCs w:val="20"/>
          <w:color w:val="auto"/>
        </w:rPr>
      </w:pPr>
      <w:r>
        <w:rPr>
          <w:rFonts w:ascii="Calibri" w:cs="Calibri" w:eastAsia="Calibri" w:hAnsi="Calibri"/>
          <w:sz w:val="22"/>
          <w:szCs w:val="22"/>
          <w:color w:val="auto"/>
        </w:rPr>
        <w:t>By signing this Terminaton Agreement, you confrm that you have been informed about the possibility of the extension of the accident insurance coverage and the supplementary accident insurance coverage on the one hand and the individual insurance with the daily benefts insurance of the Company on the other hand, including the relevant deadlines as well as the end of the benefts coverage under the Company’s pension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207645</wp:posOffset>
            </wp:positionV>
            <wp:extent cx="58121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00" w:hanging="881"/>
        <w:spacing w:after="0"/>
        <w:tabs>
          <w:tab w:leader="none" w:pos="900" w:val="left"/>
        </w:tabs>
        <w:numPr>
          <w:ilvl w:val="0"/>
          <w:numId w:val="10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Waiver and Release</w:t>
      </w:r>
    </w:p>
    <w:p>
      <w:pPr>
        <w:spacing w:after="0" w:line="390" w:lineRule="exact"/>
        <w:rPr>
          <w:sz w:val="20"/>
          <w:szCs w:val="20"/>
          <w:color w:val="auto"/>
        </w:rPr>
      </w:pPr>
    </w:p>
    <w:p>
      <w:pPr>
        <w:ind w:right="440"/>
        <w:spacing w:after="0" w:line="237" w:lineRule="auto"/>
        <w:rPr>
          <w:sz w:val="20"/>
          <w:szCs w:val="20"/>
          <w:color w:val="auto"/>
        </w:rPr>
      </w:pPr>
      <w:r>
        <w:rPr>
          <w:rFonts w:ascii="Calibri" w:cs="Calibri" w:eastAsia="Calibri" w:hAnsi="Calibri"/>
          <w:sz w:val="22"/>
          <w:szCs w:val="22"/>
          <w:color w:val="auto"/>
        </w:rPr>
        <w:t>By signing this Terminaton Agreement, you declare that you have no claims against the Company or any Group Company arising from the Employment Agreement, any other legal relatonship or from actvites which you have performed for the Company or a Group Company except as set out in this Terminaton Agreement.</w:t>
      </w:r>
    </w:p>
    <w:p>
      <w:pPr>
        <w:spacing w:after="0" w:line="284" w:lineRule="exact"/>
        <w:rPr>
          <w:sz w:val="20"/>
          <w:szCs w:val="20"/>
          <w:color w:val="auto"/>
        </w:rPr>
      </w:pPr>
    </w:p>
    <w:p>
      <w:pPr>
        <w:ind w:right="300"/>
        <w:spacing w:after="0" w:line="252" w:lineRule="auto"/>
        <w:rPr>
          <w:sz w:val="20"/>
          <w:szCs w:val="20"/>
          <w:color w:val="auto"/>
        </w:rPr>
      </w:pPr>
      <w:r>
        <w:rPr>
          <w:rFonts w:ascii="Calibri" w:cs="Calibri" w:eastAsia="Calibri" w:hAnsi="Calibri"/>
          <w:sz w:val="21"/>
          <w:szCs w:val="21"/>
          <w:color w:val="auto"/>
        </w:rPr>
        <w:t>You knowingly and voluntarily, irrevocably and unconditonally, release, acquit and discharge the Company and any present or former Group Company, divisions, joint ventures, atorneys, successors, employees, ofcers, directors,</w:t>
      </w:r>
    </w:p>
    <w:p>
      <w:pPr>
        <w:sectPr>
          <w:pgSz w:w="11900" w:h="16838" w:orient="portrait"/>
          <w:cols w:equalWidth="0" w:num="1">
            <w:col w:w="10340"/>
          </w:cols>
          <w:pgMar w:left="1220" w:top="1440" w:right="339" w:bottom="1440" w:gutter="0" w:footer="0" w:header="0"/>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39" w:lineRule="auto"/>
        <w:rPr>
          <w:sz w:val="20"/>
          <w:szCs w:val="20"/>
          <w:color w:val="auto"/>
        </w:rPr>
      </w:pPr>
      <w:r>
        <w:rPr>
          <w:rFonts w:ascii="Calibri" w:cs="Calibri" w:eastAsia="Calibri" w:hAnsi="Calibri"/>
          <w:sz w:val="22"/>
          <w:szCs w:val="22"/>
          <w:color w:val="auto"/>
        </w:rPr>
        <w:t xml:space="preserve">executves, representatves and agents thereof, as well as all otherwise afliated or related enttes or persons (collectvely, the </w:t>
      </w:r>
      <w:r>
        <w:rPr>
          <w:rFonts w:ascii="Calibri" w:cs="Calibri" w:eastAsia="Calibri" w:hAnsi="Calibri"/>
          <w:sz w:val="22"/>
          <w:szCs w:val="22"/>
          <w:b w:val="1"/>
          <w:bCs w:val="1"/>
          <w:color w:val="auto"/>
        </w:rPr>
        <w:t>Released Partes</w:t>
      </w:r>
      <w:r>
        <w:rPr>
          <w:rFonts w:ascii="Calibri" w:cs="Calibri" w:eastAsia="Calibri" w:hAnsi="Calibri"/>
          <w:sz w:val="22"/>
          <w:szCs w:val="22"/>
          <w:color w:val="auto"/>
        </w:rPr>
        <w:t>) of and from any and all claims you have or may have against the Released Partes, whether arising out of or in connecton with your employment relatonship with the Company or otherwise, including, but not limited to, claims, obligatons and/or demands related to salary, allowances, bonuses, commissions, thirteenth month payment, vacaton, overtme, fringe benefts, expense reimbursements, severance pay, discriminaton, harassment, fraud and defamaton provisions.</w:t>
      </w:r>
    </w:p>
    <w:p>
      <w:pPr>
        <w:spacing w:after="0" w:line="285" w:lineRule="exact"/>
        <w:rPr>
          <w:sz w:val="20"/>
          <w:szCs w:val="20"/>
          <w:color w:val="auto"/>
        </w:rPr>
      </w:pPr>
    </w:p>
    <w:p>
      <w:pPr>
        <w:ind w:right="20"/>
        <w:spacing w:after="0" w:line="238" w:lineRule="auto"/>
        <w:rPr>
          <w:sz w:val="20"/>
          <w:szCs w:val="20"/>
          <w:color w:val="auto"/>
        </w:rPr>
      </w:pPr>
      <w:r>
        <w:rPr>
          <w:rFonts w:ascii="Calibri" w:cs="Calibri" w:eastAsia="Calibri" w:hAnsi="Calibri"/>
          <w:sz w:val="22"/>
          <w:szCs w:val="22"/>
          <w:color w:val="auto"/>
        </w:rPr>
        <w:t>This full setlement declaraton is applicable on known and unknown claims, irrespectve of the nature of such claims or on claims which one of the Partes might not have known or on which one of the Partes might not have thought of. You are aware of the fact that with the signing of this Terminaton Agreement, you explicitly and irrevocably waive any claims which are not expressly stated within this Terminaton Agreement.</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color w:val="auto"/>
        </w:rPr>
        <w:t>Claims for damages or claims in tort are expressly excluded from the present waiver and release declaraton.</w:t>
      </w:r>
    </w:p>
    <w:p>
      <w:pPr>
        <w:spacing w:after="0" w:line="269" w:lineRule="exact"/>
        <w:rPr>
          <w:sz w:val="20"/>
          <w:szCs w:val="20"/>
          <w:color w:val="auto"/>
        </w:rPr>
      </w:pPr>
    </w:p>
    <w:p>
      <w:pPr>
        <w:spacing w:after="0"/>
        <w:rPr>
          <w:sz w:val="20"/>
          <w:szCs w:val="20"/>
          <w:color w:val="auto"/>
        </w:rPr>
      </w:pPr>
      <w:r>
        <w:rPr>
          <w:rFonts w:ascii="Calibri" w:cs="Calibri" w:eastAsia="Calibri" w:hAnsi="Calibri"/>
          <w:sz w:val="22"/>
          <w:szCs w:val="22"/>
          <w:color w:val="auto"/>
        </w:rPr>
        <w:t>You will receive a reference leter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58121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00" w:hanging="881"/>
        <w:spacing w:after="0"/>
        <w:tabs>
          <w:tab w:leader="none" w:pos="900" w:val="left"/>
        </w:tabs>
        <w:numPr>
          <w:ilvl w:val="0"/>
          <w:numId w:val="110"/>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Applicable Law</w:t>
      </w:r>
    </w:p>
    <w:p>
      <w:pPr>
        <w:spacing w:after="0" w:line="200" w:lineRule="exact"/>
        <w:rPr>
          <w:sz w:val="20"/>
          <w:szCs w:val="20"/>
          <w:color w:val="auto"/>
        </w:rPr>
      </w:pPr>
    </w:p>
    <w:p>
      <w:pPr>
        <w:spacing w:after="0" w:line="203" w:lineRule="exact"/>
        <w:rPr>
          <w:sz w:val="20"/>
          <w:szCs w:val="20"/>
          <w:color w:val="auto"/>
        </w:rPr>
      </w:pPr>
    </w:p>
    <w:p>
      <w:pPr>
        <w:ind w:right="280"/>
        <w:spacing w:after="0" w:line="235" w:lineRule="auto"/>
        <w:rPr>
          <w:sz w:val="20"/>
          <w:szCs w:val="20"/>
          <w:color w:val="auto"/>
        </w:rPr>
      </w:pPr>
      <w:r>
        <w:rPr>
          <w:rFonts w:ascii="Calibri" w:cs="Calibri" w:eastAsia="Calibri" w:hAnsi="Calibri"/>
          <w:sz w:val="22"/>
          <w:szCs w:val="22"/>
          <w:color w:val="auto"/>
        </w:rPr>
        <w:t>The terms of this Terminaton Agreement shall be construed in accordance with and governed in all respects by the laws of Switzerland (without giving efect to principles of conficts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58121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00" w:hanging="881"/>
        <w:spacing w:after="0"/>
        <w:tabs>
          <w:tab w:leader="none" w:pos="900" w:val="left"/>
        </w:tabs>
        <w:numPr>
          <w:ilvl w:val="0"/>
          <w:numId w:val="111"/>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Miscellaneous</w:t>
      </w:r>
    </w:p>
    <w:p>
      <w:pPr>
        <w:spacing w:after="0" w:line="200" w:lineRule="exact"/>
        <w:rPr>
          <w:sz w:val="20"/>
          <w:szCs w:val="20"/>
          <w:color w:val="auto"/>
        </w:rPr>
      </w:pPr>
    </w:p>
    <w:p>
      <w:pPr>
        <w:spacing w:after="0" w:line="205" w:lineRule="exact"/>
        <w:rPr>
          <w:sz w:val="20"/>
          <w:szCs w:val="20"/>
          <w:color w:val="auto"/>
        </w:rPr>
      </w:pPr>
    </w:p>
    <w:p>
      <w:pPr>
        <w:jc w:val="both"/>
        <w:ind w:right="360"/>
        <w:spacing w:after="0" w:line="237" w:lineRule="auto"/>
        <w:rPr>
          <w:sz w:val="20"/>
          <w:szCs w:val="20"/>
          <w:color w:val="auto"/>
        </w:rPr>
      </w:pPr>
      <w:r>
        <w:rPr>
          <w:rFonts w:ascii="Calibri" w:cs="Calibri" w:eastAsia="Calibri" w:hAnsi="Calibri"/>
          <w:sz w:val="22"/>
          <w:szCs w:val="22"/>
          <w:color w:val="auto"/>
        </w:rPr>
        <w:t>This Terminaton Agreement consttutes the complete agreement between the Partes regarding its subject mater and supersedes all prior oral and/or writen agreements, representatons and/or communicatons, concerning the subject mater hereof.</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color w:val="auto"/>
        </w:rPr>
        <w:t>No Party shall be considered to be the drafer of this Terminaton Agreement or any of its provisions.</w:t>
      </w:r>
    </w:p>
    <w:p>
      <w:pPr>
        <w:spacing w:after="0" w:line="284" w:lineRule="exact"/>
        <w:rPr>
          <w:sz w:val="20"/>
          <w:szCs w:val="20"/>
          <w:color w:val="auto"/>
        </w:rPr>
      </w:pPr>
    </w:p>
    <w:p>
      <w:pPr>
        <w:jc w:val="both"/>
        <w:ind w:right="360"/>
        <w:spacing w:after="0" w:line="235" w:lineRule="auto"/>
        <w:rPr>
          <w:sz w:val="20"/>
          <w:szCs w:val="20"/>
          <w:color w:val="auto"/>
        </w:rPr>
      </w:pPr>
      <w:r>
        <w:rPr>
          <w:rFonts w:ascii="Calibri" w:cs="Calibri" w:eastAsia="Calibri" w:hAnsi="Calibri"/>
          <w:sz w:val="22"/>
          <w:szCs w:val="22"/>
          <w:color w:val="auto"/>
        </w:rPr>
        <w:t>Subject to mandatory laws, the Company has the right to set of any payment you owe the Company or any Group Company against any payment the</w:t>
      </w:r>
    </w:p>
    <w:p>
      <w:pPr>
        <w:sectPr>
          <w:pgSz w:w="11900" w:h="16838" w:orient="portrait"/>
          <w:cols w:equalWidth="0" w:num="1">
            <w:col w:w="10340"/>
          </w:cols>
          <w:pgMar w:left="1220" w:top="1440" w:right="339" w:bottom="1440" w:gutter="0" w:footer="0" w:header="0"/>
        </w:sectPr>
      </w:pPr>
    </w:p>
    <w:bookmarkStart w:id="184" w:name="page185"/>
    <w:bookmarkEnd w:id="1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20"/>
        <w:spacing w:after="0"/>
        <w:rPr>
          <w:sz w:val="20"/>
          <w:szCs w:val="20"/>
          <w:color w:val="auto"/>
        </w:rPr>
      </w:pPr>
      <w:r>
        <w:rPr>
          <w:rFonts w:ascii="Calibri" w:cs="Calibri" w:eastAsia="Calibri" w:hAnsi="Calibri"/>
          <w:sz w:val="22"/>
          <w:szCs w:val="22"/>
          <w:color w:val="auto"/>
        </w:rPr>
        <w:t>Company or a Group Company owes you, regardless under which ttle this payment obligaton arose.</w:t>
      </w:r>
    </w:p>
    <w:p>
      <w:pPr>
        <w:spacing w:after="0" w:line="282" w:lineRule="exact"/>
        <w:rPr>
          <w:sz w:val="20"/>
          <w:szCs w:val="20"/>
          <w:color w:val="auto"/>
        </w:rPr>
      </w:pPr>
    </w:p>
    <w:p>
      <w:pPr>
        <w:ind w:left="820"/>
        <w:spacing w:after="0" w:line="237" w:lineRule="auto"/>
        <w:rPr>
          <w:sz w:val="20"/>
          <w:szCs w:val="20"/>
          <w:color w:val="auto"/>
        </w:rPr>
      </w:pPr>
      <w:r>
        <w:rPr>
          <w:rFonts w:ascii="Calibri" w:cs="Calibri" w:eastAsia="Calibri" w:hAnsi="Calibri"/>
          <w:sz w:val="22"/>
          <w:szCs w:val="22"/>
          <w:color w:val="auto"/>
        </w:rPr>
        <w:t>You confrm that you had the opportunity to receive independent legal advice regarding this Terminaton Agreement and have done so or refused to do so at your own voliton. You further confrm that you enter into this Terminaton Agreement voluntarily and willingly.</w:t>
      </w:r>
    </w:p>
    <w:p>
      <w:pPr>
        <w:spacing w:after="0" w:line="284" w:lineRule="exact"/>
        <w:rPr>
          <w:sz w:val="20"/>
          <w:szCs w:val="20"/>
          <w:color w:val="auto"/>
        </w:rPr>
      </w:pPr>
    </w:p>
    <w:p>
      <w:pPr>
        <w:ind w:left="820" w:right="260"/>
        <w:spacing w:after="0" w:line="235" w:lineRule="auto"/>
        <w:rPr>
          <w:sz w:val="20"/>
          <w:szCs w:val="20"/>
          <w:color w:val="auto"/>
        </w:rPr>
      </w:pPr>
      <w:r>
        <w:rPr>
          <w:rFonts w:ascii="Calibri" w:cs="Calibri" w:eastAsia="Calibri" w:hAnsi="Calibri"/>
          <w:sz w:val="22"/>
          <w:szCs w:val="22"/>
          <w:color w:val="auto"/>
        </w:rPr>
        <w:t>The ofer of this Terminaton Agreement is valid untl seven working days afer receipt. Pending the validity of this Terminaton Agreement the ofer is without prejudice, confdental and not for use in court.</w:t>
      </w:r>
    </w:p>
    <w:p>
      <w:pPr>
        <w:spacing w:after="0" w:line="272" w:lineRule="exact"/>
        <w:rPr>
          <w:sz w:val="20"/>
          <w:szCs w:val="20"/>
          <w:color w:val="auto"/>
        </w:rPr>
      </w:pPr>
    </w:p>
    <w:p>
      <w:pPr>
        <w:ind w:left="820"/>
        <w:spacing w:after="0"/>
        <w:rPr>
          <w:sz w:val="20"/>
          <w:szCs w:val="20"/>
          <w:color w:val="auto"/>
        </w:rPr>
      </w:pPr>
      <w:r>
        <w:rPr>
          <w:rFonts w:ascii="Calibri" w:cs="Calibri" w:eastAsia="Calibri" w:hAnsi="Calibri"/>
          <w:sz w:val="22"/>
          <w:szCs w:val="22"/>
          <w:color w:val="auto"/>
        </w:rPr>
        <w:t>Any amendment to this Terminaton Agreement shall require writen form. This includes this provision itself.</w:t>
      </w:r>
    </w:p>
    <w:p>
      <w:pPr>
        <w:spacing w:after="0" w:line="273" w:lineRule="exact"/>
        <w:rPr>
          <w:sz w:val="20"/>
          <w:szCs w:val="20"/>
          <w:color w:val="auto"/>
        </w:rPr>
      </w:pPr>
    </w:p>
    <w:p>
      <w:pPr>
        <w:ind w:left="820"/>
        <w:spacing w:after="0"/>
        <w:rPr>
          <w:sz w:val="20"/>
          <w:szCs w:val="20"/>
          <w:color w:val="auto"/>
        </w:rPr>
      </w:pPr>
      <w:r>
        <w:rPr>
          <w:rFonts w:ascii="Calibri" w:cs="Calibri" w:eastAsia="Calibri" w:hAnsi="Calibri"/>
          <w:sz w:val="22"/>
          <w:szCs w:val="22"/>
          <w:color w:val="auto"/>
        </w:rPr>
        <w:t>The Partes have duly executed this Terminaton Agreement in two originals.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205740</wp:posOffset>
            </wp:positionV>
            <wp:extent cx="712343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Signatures</w:t>
      </w:r>
    </w:p>
    <w:p>
      <w:pPr>
        <w:sectPr>
          <w:pgSz w:w="11900" w:h="16838" w:orient="portrait"/>
          <w:cols w:equalWidth="0" w:num="1">
            <w:col w:w="11000"/>
          </w:cols>
          <w:pgMar w:left="400" w:top="1440" w:right="499" w:bottom="1440" w:gutter="0" w:footer="0" w:header="0"/>
        </w:sectPr>
      </w:pPr>
    </w:p>
    <w:bookmarkStart w:id="185" w:name="page186"/>
    <w:bookmarkEnd w:id="1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2155190</wp:posOffset>
            </wp:positionV>
            <wp:extent cx="71234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0"/>
        <w:spacing w:after="0"/>
        <w:rPr>
          <w:sz w:val="20"/>
          <w:szCs w:val="20"/>
          <w:color w:val="auto"/>
        </w:rPr>
      </w:pPr>
      <w:r>
        <w:rPr>
          <w:rFonts w:ascii="Calibri" w:cs="Calibri" w:eastAsia="Calibri" w:hAnsi="Calibri"/>
          <w:sz w:val="21"/>
          <w:szCs w:val="21"/>
          <w:b w:val="1"/>
          <w:bCs w:val="1"/>
          <w:color w:val="auto"/>
        </w:rPr>
        <w:t>Barinthus Biotherapeutcs Switzerland GmbH</w:t>
      </w:r>
    </w:p>
    <w:p>
      <w:pPr>
        <w:spacing w:after="0" w:line="395" w:lineRule="exact"/>
        <w:rPr>
          <w:sz w:val="20"/>
          <w:szCs w:val="20"/>
          <w:color w:val="auto"/>
        </w:rPr>
      </w:pPr>
    </w:p>
    <w:p>
      <w:pPr>
        <w:spacing w:after="0"/>
        <w:tabs>
          <w:tab w:leader="none" w:pos="2300" w:val="left"/>
        </w:tabs>
        <w:rPr>
          <w:sz w:val="20"/>
          <w:szCs w:val="20"/>
          <w:color w:val="auto"/>
        </w:rPr>
      </w:pPr>
      <w:r>
        <w:rPr>
          <w:rFonts w:ascii="Calibri" w:cs="Calibri" w:eastAsia="Calibri" w:hAnsi="Calibri"/>
          <w:sz w:val="22"/>
          <w:szCs w:val="22"/>
          <w:color w:val="auto"/>
        </w:rPr>
        <w:t>January 27, 2025</w:t>
      </w:r>
      <w:r>
        <w:rPr>
          <w:sz w:val="20"/>
          <w:szCs w:val="20"/>
          <w:color w:val="auto"/>
        </w:rPr>
        <w:tab/>
      </w:r>
      <w:r>
        <w:rPr>
          <w:rFonts w:ascii="Calibri" w:cs="Calibri" w:eastAsia="Calibri" w:hAnsi="Calibri"/>
          <w:sz w:val="21"/>
          <w:szCs w:val="21"/>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270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80"/>
        <w:spacing w:after="0"/>
        <w:tabs>
          <w:tab w:leader="none" w:pos="1200" w:val="left"/>
        </w:tabs>
        <w:rPr>
          <w:sz w:val="20"/>
          <w:szCs w:val="20"/>
          <w:color w:val="auto"/>
        </w:rPr>
      </w:pPr>
      <w:r>
        <w:rPr>
          <w:rFonts w:ascii="Calibri" w:cs="Calibri" w:eastAsia="Calibri" w:hAnsi="Calibri"/>
          <w:sz w:val="22"/>
          <w:szCs w:val="22"/>
          <w:color w:val="auto"/>
        </w:rPr>
        <w:t>Place, date</w:t>
      </w:r>
      <w:r>
        <w:rPr>
          <w:sz w:val="20"/>
          <w:szCs w:val="20"/>
          <w:color w:val="auto"/>
        </w:rPr>
        <w:tab/>
      </w:r>
      <w:r>
        <w:rPr>
          <w:rFonts w:ascii="Calibri" w:cs="Calibri" w:eastAsia="Calibri" w:hAnsi="Calibri"/>
          <w:sz w:val="21"/>
          <w:szCs w:val="21"/>
          <w:color w:val="auto"/>
        </w:rPr>
        <w:t>William Enright</w:t>
      </w:r>
    </w:p>
    <w:p>
      <w:pPr>
        <w:spacing w:after="0" w:line="1" w:lineRule="exact"/>
        <w:rPr>
          <w:sz w:val="20"/>
          <w:szCs w:val="20"/>
          <w:color w:val="auto"/>
        </w:rPr>
      </w:pPr>
    </w:p>
    <w:p>
      <w:pPr>
        <w:ind w:left="280"/>
        <w:spacing w:after="0"/>
        <w:rPr>
          <w:sz w:val="20"/>
          <w:szCs w:val="20"/>
          <w:color w:val="auto"/>
        </w:rPr>
      </w:pPr>
      <w:r>
        <w:rPr>
          <w:rFonts w:ascii="Calibri" w:cs="Calibri" w:eastAsia="Calibri" w:hAnsi="Calibri"/>
          <w:sz w:val="22"/>
          <w:szCs w:val="22"/>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609600</wp:posOffset>
            </wp:positionV>
            <wp:extent cx="71234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0"/>
        <w:spacing w:after="0"/>
        <w:rPr>
          <w:sz w:val="20"/>
          <w:szCs w:val="20"/>
          <w:color w:val="auto"/>
        </w:rPr>
      </w:pPr>
      <w:r>
        <w:rPr>
          <w:rFonts w:ascii="Calibri" w:cs="Calibri" w:eastAsia="Calibri" w:hAnsi="Calibri"/>
          <w:sz w:val="22"/>
          <w:szCs w:val="22"/>
          <w:b w:val="1"/>
          <w:bCs w:val="1"/>
          <w:color w:val="auto"/>
        </w:rPr>
        <w:t>Employee</w:t>
      </w:r>
    </w:p>
    <w:p>
      <w:pPr>
        <w:sectPr>
          <w:pgSz w:w="11900" w:h="16838" w:orient="portrait"/>
          <w:cols w:equalWidth="0" w:num="1">
            <w:col w:w="10139"/>
          </w:cols>
          <w:pgMar w:left="320" w:top="1440" w:right="1440" w:bottom="1440" w:gutter="0" w:footer="0" w:header="0"/>
        </w:sectPr>
      </w:pPr>
    </w:p>
    <w:p>
      <w:pPr>
        <w:spacing w:after="0" w:line="392" w:lineRule="exact"/>
        <w:rPr>
          <w:sz w:val="20"/>
          <w:szCs w:val="20"/>
          <w:color w:val="auto"/>
        </w:rPr>
      </w:pPr>
    </w:p>
    <w:p>
      <w:pPr>
        <w:spacing w:after="0"/>
        <w:rPr>
          <w:sz w:val="20"/>
          <w:szCs w:val="20"/>
          <w:color w:val="auto"/>
        </w:rPr>
      </w:pPr>
      <w:r>
        <w:rPr>
          <w:rFonts w:ascii="Calibri" w:cs="Calibri" w:eastAsia="Calibri" w:hAnsi="Calibri"/>
          <w:sz w:val="21"/>
          <w:szCs w:val="21"/>
          <w:color w:val="auto"/>
        </w:rPr>
        <w:t>January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12255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Calibri" w:cs="Calibri" w:eastAsia="Calibri" w:hAnsi="Calibri"/>
          <w:sz w:val="22"/>
          <w:szCs w:val="22"/>
          <w:color w:val="auto"/>
        </w:rPr>
        <w:t>/s/ Nadege Pelleter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205105</wp:posOffset>
            </wp:positionV>
            <wp:extent cx="5897880" cy="12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5897880" cy="12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00" w:space="720"/>
            <w:col w:w="7719"/>
          </w:cols>
          <w:pgMar w:left="320" w:top="1440" w:right="1440" w:bottom="1440" w:gutter="0" w:footer="0" w:header="0"/>
          <w:type w:val="continuous"/>
        </w:sectPr>
      </w:pPr>
    </w:p>
    <w:p>
      <w:pPr>
        <w:spacing w:after="0" w:line="357" w:lineRule="exact"/>
        <w:rPr>
          <w:sz w:val="20"/>
          <w:szCs w:val="20"/>
          <w:color w:val="auto"/>
        </w:rPr>
      </w:pPr>
    </w:p>
    <w:p>
      <w:pPr>
        <w:ind w:left="80"/>
        <w:spacing w:after="0"/>
        <w:tabs>
          <w:tab w:leader="none" w:pos="1200" w:val="left"/>
        </w:tabs>
        <w:rPr>
          <w:sz w:val="20"/>
          <w:szCs w:val="20"/>
          <w:color w:val="auto"/>
        </w:rPr>
      </w:pPr>
      <w:r>
        <w:rPr>
          <w:rFonts w:ascii="Calibri" w:cs="Calibri" w:eastAsia="Calibri" w:hAnsi="Calibri"/>
          <w:sz w:val="22"/>
          <w:szCs w:val="22"/>
          <w:color w:val="auto"/>
        </w:rPr>
        <w:t>Place, date</w:t>
        <w:tab/>
        <w:t>Nadege Pelleter</w:t>
      </w:r>
    </w:p>
    <w:p>
      <w:pPr>
        <w:sectPr>
          <w:pgSz w:w="11900" w:h="16838" w:orient="portrait"/>
          <w:cols w:equalWidth="0" w:num="1">
            <w:col w:w="10139"/>
          </w:cols>
          <w:pgMar w:left="320" w:top="1440" w:right="1440" w:bottom="1440" w:gutter="0" w:footer="0" w:header="0"/>
          <w:type w:val="continuous"/>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88900</wp:posOffset>
            </wp:positionV>
            <wp:extent cx="2185670" cy="7372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2185670" cy="73723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Arial" w:cs="Arial" w:eastAsia="Arial" w:hAnsi="Arial"/>
          <w:sz w:val="25"/>
          <w:szCs w:val="25"/>
          <w:b w:val="1"/>
          <w:bCs w:val="1"/>
          <w:color w:val="auto"/>
        </w:rPr>
        <w:t>BARINTHUS BIOTHERAPEUTICS PLC</w:t>
      </w:r>
    </w:p>
    <w:p>
      <w:pPr>
        <w:spacing w:after="0" w:line="12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Amended and Restated Policy on Insider Trading</w:t>
      </w:r>
    </w:p>
    <w:p>
      <w:pPr>
        <w:spacing w:after="0" w:line="207" w:lineRule="exact"/>
        <w:rPr>
          <w:sz w:val="20"/>
          <w:szCs w:val="20"/>
          <w:color w:val="auto"/>
        </w:rPr>
      </w:pPr>
    </w:p>
    <w:p>
      <w:pPr>
        <w:ind w:left="1012" w:hanging="1012"/>
        <w:spacing w:after="0"/>
        <w:tabs>
          <w:tab w:leader="none" w:pos="1012"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PURPOSE</w:t>
      </w:r>
    </w:p>
    <w:p>
      <w:pPr>
        <w:spacing w:after="0" w:line="202" w:lineRule="exact"/>
        <w:rPr>
          <w:rFonts w:ascii="Arial" w:cs="Arial" w:eastAsia="Arial" w:hAnsi="Arial"/>
          <w:sz w:val="20"/>
          <w:szCs w:val="20"/>
          <w:b w:val="1"/>
          <w:bCs w:val="1"/>
          <w:color w:val="auto"/>
        </w:rPr>
      </w:pPr>
    </w:p>
    <w:p>
      <w:pPr>
        <w:jc w:val="both"/>
        <w:ind w:left="1012"/>
        <w:spacing w:after="0" w:line="256" w:lineRule="auto"/>
        <w:rPr>
          <w:rFonts w:ascii="Arial" w:cs="Arial" w:eastAsia="Arial" w:hAnsi="Arial"/>
          <w:sz w:val="20"/>
          <w:szCs w:val="20"/>
          <w:b w:val="1"/>
          <w:bCs w:val="1"/>
          <w:color w:val="auto"/>
        </w:rPr>
      </w:pPr>
      <w:r>
        <w:rPr>
          <w:rFonts w:ascii="Arial" w:cs="Arial" w:eastAsia="Arial" w:hAnsi="Arial"/>
          <w:sz w:val="20"/>
          <w:szCs w:val="20"/>
          <w:color w:val="auto"/>
        </w:rPr>
        <w:t>This document sets forth the policy of Vaccitech plc and its subsidiaries (collectively, the “</w:t>
      </w:r>
      <w:r>
        <w:rPr>
          <w:rFonts w:ascii="Arial" w:cs="Arial" w:eastAsia="Arial" w:hAnsi="Arial"/>
          <w:sz w:val="20"/>
          <w:szCs w:val="20"/>
          <w:b w:val="1"/>
          <w:bCs w:val="1"/>
          <w:color w:val="auto"/>
        </w:rPr>
        <w:t>Company</w:t>
      </w:r>
      <w:r>
        <w:rPr>
          <w:rFonts w:ascii="Arial" w:cs="Arial" w:eastAsia="Arial" w:hAnsi="Arial"/>
          <w:sz w:val="20"/>
          <w:szCs w:val="20"/>
          <w:color w:val="auto"/>
        </w:rPr>
        <w:t>”) regarding trading in the Company’s securities as described below and the disclosure of information concerning the Company. This Amended and Restated Insider Trading Policy (the “</w:t>
      </w:r>
      <w:r>
        <w:rPr>
          <w:rFonts w:ascii="Arial" w:cs="Arial" w:eastAsia="Arial" w:hAnsi="Arial"/>
          <w:sz w:val="20"/>
          <w:szCs w:val="20"/>
          <w:b w:val="1"/>
          <w:bCs w:val="1"/>
          <w:color w:val="auto"/>
        </w:rPr>
        <w:t>Insider Trading Policy</w:t>
      </w:r>
      <w:r>
        <w:rPr>
          <w:rFonts w:ascii="Arial" w:cs="Arial" w:eastAsia="Arial" w:hAnsi="Arial"/>
          <w:sz w:val="20"/>
          <w:szCs w:val="20"/>
          <w:color w:val="auto"/>
        </w:rPr>
        <w:t xml:space="preserve">”) is designed to prevent insider trading or the appearance of impropriety, to satisfy the Company’s obligation to reasonably supervise the activities of Company personnel, and to help Company personnel avoid the severe consequences associated with violations of insider trading laws. </w:t>
      </w:r>
      <w:r>
        <w:rPr>
          <w:rFonts w:ascii="Arial" w:cs="Arial" w:eastAsia="Arial" w:hAnsi="Arial"/>
          <w:sz w:val="20"/>
          <w:szCs w:val="20"/>
          <w:b w:val="1"/>
          <w:bCs w:val="1"/>
          <w:color w:val="auto"/>
        </w:rPr>
        <w:t>It is your obligation to understand and comply with this Insider Trading Policy.</w:t>
      </w:r>
    </w:p>
    <w:p>
      <w:pPr>
        <w:spacing w:after="0" w:line="175" w:lineRule="exact"/>
        <w:rPr>
          <w:sz w:val="20"/>
          <w:szCs w:val="20"/>
          <w:color w:val="auto"/>
        </w:rPr>
      </w:pPr>
    </w:p>
    <w:p>
      <w:pPr>
        <w:ind w:left="1012" w:right="20"/>
        <w:spacing w:after="0" w:line="284" w:lineRule="auto"/>
        <w:rPr>
          <w:sz w:val="20"/>
          <w:szCs w:val="20"/>
          <w:color w:val="auto"/>
        </w:rPr>
      </w:pPr>
      <w:r>
        <w:rPr>
          <w:rFonts w:ascii="Arial" w:cs="Arial" w:eastAsia="Arial" w:hAnsi="Arial"/>
          <w:sz w:val="20"/>
          <w:szCs w:val="20"/>
          <w:b w:val="1"/>
          <w:bCs w:val="1"/>
          <w:u w:val="single" w:color="auto"/>
          <w:color w:val="auto"/>
        </w:rPr>
        <w:t>Please contact the Chief Financial Officer, who is the Compliance Officer for purposes of the Insider Trading Policy, if you have any questions regarding the policy.</w:t>
      </w:r>
    </w:p>
    <w:p>
      <w:pPr>
        <w:spacing w:after="0" w:line="131" w:lineRule="exact"/>
        <w:rPr>
          <w:sz w:val="20"/>
          <w:szCs w:val="20"/>
          <w:color w:val="auto"/>
        </w:rPr>
      </w:pPr>
    </w:p>
    <w:p>
      <w:pPr>
        <w:ind w:left="1012" w:right="6800" w:hanging="1012"/>
        <w:spacing w:after="0" w:line="450" w:lineRule="auto"/>
        <w:tabs>
          <w:tab w:leader="none" w:pos="1006"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ABBREVIATIONS AND DEFINITIONS </w:t>
      </w:r>
      <w:r>
        <w:rPr>
          <w:rFonts w:ascii="Arial" w:cs="Arial" w:eastAsia="Arial" w:hAnsi="Arial"/>
          <w:sz w:val="20"/>
          <w:szCs w:val="20"/>
          <w:color w:val="auto"/>
        </w:rPr>
        <w:t>Not applicable.</w:t>
      </w:r>
    </w:p>
    <w:p>
      <w:pPr>
        <w:spacing w:after="0" w:line="2" w:lineRule="exact"/>
        <w:rPr>
          <w:sz w:val="20"/>
          <w:szCs w:val="20"/>
          <w:color w:val="auto"/>
        </w:rPr>
      </w:pPr>
    </w:p>
    <w:p>
      <w:pPr>
        <w:ind w:left="1012" w:right="8080" w:hanging="1012"/>
        <w:spacing w:after="0" w:line="483" w:lineRule="auto"/>
        <w:tabs>
          <w:tab w:leader="none" w:pos="1006" w:val="left"/>
        </w:tabs>
        <w:numPr>
          <w:ilvl w:val="0"/>
          <w:numId w:val="114"/>
        </w:numPr>
        <w:rPr>
          <w:rFonts w:ascii="Arial" w:cs="Arial" w:eastAsia="Arial" w:hAnsi="Arial"/>
          <w:sz w:val="19"/>
          <w:szCs w:val="19"/>
          <w:b w:val="1"/>
          <w:bCs w:val="1"/>
          <w:color w:val="auto"/>
        </w:rPr>
      </w:pPr>
      <w:r>
        <w:rPr>
          <w:rFonts w:ascii="Arial" w:cs="Arial" w:eastAsia="Arial" w:hAnsi="Arial"/>
          <w:sz w:val="19"/>
          <w:szCs w:val="19"/>
          <w:b w:val="1"/>
          <w:bCs w:val="1"/>
          <w:color w:val="auto"/>
        </w:rPr>
        <w:t>POLICY DESCRIPTION PART I. OVERVIEW</w:t>
      </w:r>
    </w:p>
    <w:p>
      <w:pPr>
        <w:ind w:left="1012"/>
        <w:spacing w:after="0"/>
        <w:rPr>
          <w:rFonts w:ascii="Arial" w:cs="Arial" w:eastAsia="Arial" w:hAnsi="Arial"/>
          <w:sz w:val="19"/>
          <w:szCs w:val="19"/>
          <w:b w:val="1"/>
          <w:bCs w:val="1"/>
          <w:color w:val="auto"/>
        </w:rPr>
      </w:pPr>
      <w:r>
        <w:rPr>
          <w:rFonts w:ascii="Arial" w:cs="Arial" w:eastAsia="Arial" w:hAnsi="Arial"/>
          <w:sz w:val="20"/>
          <w:szCs w:val="20"/>
          <w:b w:val="1"/>
          <w:bCs w:val="1"/>
          <w:i w:val="1"/>
          <w:iCs w:val="1"/>
          <w:color w:val="auto"/>
        </w:rPr>
        <w:t>A. To Whom does this Insider Trading Policy Apply?</w:t>
      </w:r>
    </w:p>
    <w:p>
      <w:pPr>
        <w:spacing w:after="0" w:line="229" w:lineRule="exact"/>
        <w:rPr>
          <w:sz w:val="20"/>
          <w:szCs w:val="20"/>
          <w:color w:val="auto"/>
        </w:rPr>
      </w:pPr>
    </w:p>
    <w:p>
      <w:pPr>
        <w:jc w:val="both"/>
        <w:ind w:left="1012"/>
        <w:spacing w:after="0" w:line="259" w:lineRule="auto"/>
        <w:rPr>
          <w:sz w:val="20"/>
          <w:szCs w:val="20"/>
          <w:color w:val="auto"/>
        </w:rPr>
      </w:pPr>
      <w:r>
        <w:rPr>
          <w:rFonts w:ascii="Arial" w:cs="Arial" w:eastAsia="Arial" w:hAnsi="Arial"/>
          <w:sz w:val="20"/>
          <w:szCs w:val="20"/>
          <w:color w:val="auto"/>
        </w:rPr>
        <w:t>This Insider Trading Policy applies to all of our employees and members of our Board of Directors, including anyone employed by or acting as a director of any of the Company’s subsidiaries, as well as any other individuals whom the Compliance Officer may designate as Insiders (defined below) because they have access to material non-public information about the Company.</w:t>
      </w:r>
    </w:p>
    <w:p>
      <w:pPr>
        <w:spacing w:after="0" w:line="168" w:lineRule="exact"/>
        <w:rPr>
          <w:sz w:val="20"/>
          <w:szCs w:val="20"/>
          <w:color w:val="auto"/>
        </w:rPr>
      </w:pPr>
    </w:p>
    <w:p>
      <w:pPr>
        <w:jc w:val="both"/>
        <w:ind w:left="1012"/>
        <w:spacing w:after="0" w:line="254" w:lineRule="auto"/>
        <w:rPr>
          <w:sz w:val="20"/>
          <w:szCs w:val="20"/>
          <w:color w:val="auto"/>
        </w:rPr>
      </w:pPr>
      <w:r>
        <w:rPr>
          <w:rFonts w:ascii="Arial" w:cs="Arial" w:eastAsia="Arial" w:hAnsi="Arial"/>
          <w:sz w:val="20"/>
          <w:szCs w:val="20"/>
          <w:color w:val="auto"/>
        </w:rPr>
        <w:t xml:space="preserve">In addition, all individuals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(collectively, and solely for the purposes of this Insider Trading Policy, these persons are referred to as “</w:t>
      </w:r>
      <w:r>
        <w:rPr>
          <w:rFonts w:ascii="Arial" w:cs="Arial" w:eastAsia="Arial" w:hAnsi="Arial"/>
          <w:sz w:val="20"/>
          <w:szCs w:val="20"/>
          <w:b w:val="1"/>
          <w:bCs w:val="1"/>
          <w:color w:val="auto"/>
        </w:rPr>
        <w:t>Insiders</w:t>
      </w:r>
      <w:r>
        <w:rPr>
          <w:rFonts w:ascii="Arial" w:cs="Arial" w:eastAsia="Arial" w:hAnsi="Arial"/>
          <w:sz w:val="20"/>
          <w:szCs w:val="20"/>
          <w:color w:val="auto"/>
        </w:rPr>
        <w:t>”) also must comply with the Trading Procedures set forth in this Insider Trading Policy (the “</w:t>
      </w:r>
      <w:r>
        <w:rPr>
          <w:rFonts w:ascii="Arial" w:cs="Arial" w:eastAsia="Arial" w:hAnsi="Arial"/>
          <w:sz w:val="20"/>
          <w:szCs w:val="20"/>
          <w:b w:val="1"/>
          <w:bCs w:val="1"/>
          <w:color w:val="auto"/>
        </w:rPr>
        <w:t>Trading Procedures</w:t>
      </w:r>
      <w:r>
        <w:rPr>
          <w:rFonts w:ascii="Arial" w:cs="Arial" w:eastAsia="Arial" w:hAnsi="Arial"/>
          <w:sz w:val="20"/>
          <w:szCs w:val="20"/>
          <w:color w:val="auto"/>
        </w:rPr>
        <w:t>”). Generally, the Trading Procedures establish trading windows outside of which the persons covered by the Trading Procedures will be restricted from trading in the Company’s securities and also require the pre-clearance of all transactions in the Company’s securities by such persons. You will be notified if you are required to comply with the Trading Procedures.</w:t>
      </w:r>
    </w:p>
    <w:p>
      <w:pPr>
        <w:sectPr>
          <w:pgSz w:w="11900" w:h="16838" w:orient="portrait"/>
          <w:cols w:equalWidth="0" w:num="1">
            <w:col w:w="11232"/>
          </w:cols>
          <w:pgMar w:left="328" w:top="1440" w:right="339" w:bottom="1440" w:gutter="0" w:footer="0" w:header="0"/>
        </w:sectPr>
      </w:pPr>
    </w:p>
    <w:bookmarkStart w:id="187" w:name="page188"/>
    <w:bookmarkEnd w:id="187"/>
    <w:p>
      <w:pPr>
        <w:ind w:right="20"/>
        <w:spacing w:after="0" w:line="255" w:lineRule="auto"/>
        <w:rPr>
          <w:sz w:val="20"/>
          <w:szCs w:val="20"/>
          <w:color w:val="auto"/>
        </w:rPr>
      </w:pPr>
      <w:r>
        <w:rPr>
          <w:rFonts w:ascii="Arial" w:cs="Arial" w:eastAsia="Arial" w:hAnsi="Arial"/>
          <w:sz w:val="20"/>
          <w:szCs w:val="20"/>
          <w:color w:val="auto"/>
        </w:rPr>
        <w:t>This Insider Trading Policy, including, if applicable, the Trading Procedures contained herein, also applies to the following persons (collectively, these persons and entities are referred to as “</w:t>
      </w:r>
      <w:r>
        <w:rPr>
          <w:rFonts w:ascii="Arial" w:cs="Arial" w:eastAsia="Arial" w:hAnsi="Arial"/>
          <w:sz w:val="20"/>
          <w:szCs w:val="20"/>
          <w:b w:val="1"/>
          <w:bCs w:val="1"/>
          <w:color w:val="auto"/>
        </w:rPr>
        <w:t>Affiliated Persons</w:t>
      </w:r>
      <w:r>
        <w:rPr>
          <w:rFonts w:ascii="Arial" w:cs="Arial" w:eastAsia="Arial" w:hAnsi="Arial"/>
          <w:sz w:val="20"/>
          <w:szCs w:val="20"/>
          <w:color w:val="auto"/>
        </w:rPr>
        <w:t>”):</w:t>
      </w:r>
    </w:p>
    <w:p>
      <w:pPr>
        <w:spacing w:after="0" w:line="2" w:lineRule="exact"/>
        <w:rPr>
          <w:sz w:val="20"/>
          <w:szCs w:val="20"/>
          <w:color w:val="auto"/>
        </w:rPr>
      </w:pPr>
    </w:p>
    <w:p>
      <w:pPr>
        <w:ind w:left="640" w:right="80" w:hanging="320"/>
        <w:spacing w:after="0" w:line="247" w:lineRule="auto"/>
        <w:tabs>
          <w:tab w:leader="none" w:pos="628" w:val="left"/>
        </w:tabs>
        <w:numPr>
          <w:ilvl w:val="0"/>
          <w:numId w:val="115"/>
        </w:numPr>
        <w:rPr>
          <w:rFonts w:ascii="Times New Roman" w:cs="Times New Roman" w:eastAsia="Times New Roman" w:hAnsi="Times New Roman"/>
          <w:sz w:val="20"/>
          <w:szCs w:val="20"/>
          <w:color w:val="auto"/>
        </w:rPr>
      </w:pPr>
      <w:r>
        <w:rPr>
          <w:rFonts w:ascii="Arial" w:cs="Arial" w:eastAsia="Arial" w:hAnsi="Arial"/>
          <w:sz w:val="20"/>
          <w:szCs w:val="20"/>
          <w:color w:val="auto"/>
        </w:rPr>
        <w:t>your “Family Members” (“Family Members” are (a) your spouse or domestic partner, children, stepchildren, grandchildren, parents, stepparents, grandparents, siblings and in-laws who reside in the same household as you, (b)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just a phone bill));</w:t>
      </w:r>
    </w:p>
    <w:p>
      <w:pPr>
        <w:spacing w:after="0" w:line="2" w:lineRule="exact"/>
        <w:rPr>
          <w:rFonts w:ascii="Times New Roman" w:cs="Times New Roman" w:eastAsia="Times New Roman" w:hAnsi="Times New Roman"/>
          <w:sz w:val="20"/>
          <w:szCs w:val="20"/>
          <w:color w:val="auto"/>
        </w:rPr>
      </w:pPr>
    </w:p>
    <w:p>
      <w:pPr>
        <w:jc w:val="both"/>
        <w:ind w:left="640" w:right="140" w:hanging="320"/>
        <w:spacing w:after="0" w:line="293" w:lineRule="auto"/>
        <w:tabs>
          <w:tab w:leader="none" w:pos="628" w:val="left"/>
        </w:tabs>
        <w:numPr>
          <w:ilvl w:val="0"/>
          <w:numId w:val="115"/>
        </w:numPr>
        <w:rPr>
          <w:rFonts w:ascii="Times New Roman" w:cs="Times New Roman" w:eastAsia="Times New Roman" w:hAnsi="Times New Roman"/>
          <w:sz w:val="19"/>
          <w:szCs w:val="19"/>
          <w:color w:val="auto"/>
        </w:rPr>
      </w:pPr>
      <w:r>
        <w:rPr>
          <w:rFonts w:ascii="Arial" w:cs="Arial" w:eastAsia="Arial" w:hAnsi="Arial"/>
          <w:sz w:val="19"/>
          <w:szCs w:val="19"/>
          <w:color w:val="auto"/>
        </w:rPr>
        <w:t>all trusts, family partnerships and other types of entities formed for your benefit or for the benefit of a member of your family and over which you have the ability to influence or direct investment decisions concerning securities;</w:t>
      </w:r>
    </w:p>
    <w:p>
      <w:pPr>
        <w:spacing w:after="0" w:line="41" w:lineRule="exact"/>
        <w:rPr>
          <w:rFonts w:ascii="Times New Roman" w:cs="Times New Roman" w:eastAsia="Times New Roman" w:hAnsi="Times New Roman"/>
          <w:sz w:val="19"/>
          <w:szCs w:val="19"/>
          <w:color w:val="auto"/>
        </w:rPr>
      </w:pPr>
    </w:p>
    <w:p>
      <w:pPr>
        <w:ind w:left="640" w:hanging="320"/>
        <w:spacing w:after="0"/>
        <w:tabs>
          <w:tab w:leader="none" w:pos="640" w:val="left"/>
        </w:tabs>
        <w:numPr>
          <w:ilvl w:val="0"/>
          <w:numId w:val="115"/>
        </w:numPr>
        <w:rPr>
          <w:rFonts w:ascii="Times New Roman" w:cs="Times New Roman" w:eastAsia="Times New Roman" w:hAnsi="Times New Roman"/>
          <w:sz w:val="20"/>
          <w:szCs w:val="20"/>
          <w:color w:val="auto"/>
        </w:rPr>
      </w:pPr>
      <w:r>
        <w:rPr>
          <w:rFonts w:ascii="Arial" w:cs="Arial" w:eastAsia="Arial" w:hAnsi="Arial"/>
          <w:sz w:val="20"/>
          <w:szCs w:val="20"/>
          <w:color w:val="auto"/>
        </w:rPr>
        <w:t>all persons who execute trades on your behalf; and</w:t>
      </w:r>
    </w:p>
    <w:p>
      <w:pPr>
        <w:spacing w:after="0" w:line="106" w:lineRule="exact"/>
        <w:rPr>
          <w:rFonts w:ascii="Times New Roman" w:cs="Times New Roman" w:eastAsia="Times New Roman" w:hAnsi="Times New Roman"/>
          <w:sz w:val="20"/>
          <w:szCs w:val="20"/>
          <w:color w:val="auto"/>
        </w:rPr>
      </w:pPr>
    </w:p>
    <w:p>
      <w:pPr>
        <w:ind w:left="640" w:right="80" w:hanging="320"/>
        <w:spacing w:after="0" w:line="251" w:lineRule="auto"/>
        <w:tabs>
          <w:tab w:leader="none" w:pos="628" w:val="left"/>
        </w:tabs>
        <w:numPr>
          <w:ilvl w:val="0"/>
          <w:numId w:val="115"/>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all investment funds, trusts, retirement plans, partnerships, corporations and other types of entities over which you have the ability to influence or direct investment decisions concerning securities;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this Insider Trading Policy and the Trading Procedures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 and an Insider has hereby represented to the Company that such Insider’s affiliated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 and has included such entity on that Insider’s signed acknowledgment in the attached Exhibit B.</w:t>
      </w:r>
    </w:p>
    <w:p>
      <w:pPr>
        <w:spacing w:after="0" w:line="177" w:lineRule="exact"/>
        <w:rPr>
          <w:sz w:val="20"/>
          <w:szCs w:val="20"/>
          <w:color w:val="auto"/>
        </w:rPr>
      </w:pPr>
    </w:p>
    <w:p>
      <w:pPr>
        <w:ind w:left="360"/>
        <w:spacing w:after="0" w:line="286" w:lineRule="auto"/>
        <w:rPr>
          <w:sz w:val="20"/>
          <w:szCs w:val="20"/>
          <w:color w:val="auto"/>
        </w:rPr>
      </w:pPr>
      <w:r>
        <w:rPr>
          <w:rFonts w:ascii="Arial" w:cs="Arial" w:eastAsia="Arial" w:hAnsi="Arial"/>
          <w:sz w:val="20"/>
          <w:szCs w:val="20"/>
          <w:color w:val="auto"/>
        </w:rPr>
        <w:t>You are responsible for ensuring compliance with this Insider Trading Policy, including the Trading Procedures contained herein, by all of your Affiliated Persons.</w:t>
      </w:r>
    </w:p>
    <w:p>
      <w:pPr>
        <w:spacing w:after="0" w:line="140" w:lineRule="exact"/>
        <w:rPr>
          <w:sz w:val="20"/>
          <w:szCs w:val="20"/>
          <w:color w:val="auto"/>
        </w:rPr>
      </w:pPr>
    </w:p>
    <w:p>
      <w:pPr>
        <w:ind w:left="680" w:hanging="311"/>
        <w:spacing w:after="0"/>
        <w:tabs>
          <w:tab w:leader="none" w:pos="680" w:val="left"/>
        </w:tabs>
        <w:numPr>
          <w:ilvl w:val="0"/>
          <w:numId w:val="11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What Is Prohibited By This Insider Trading Policy?</w:t>
      </w:r>
    </w:p>
    <w:p>
      <w:pPr>
        <w:spacing w:after="0" w:line="229" w:lineRule="exact"/>
        <w:rPr>
          <w:sz w:val="20"/>
          <w:szCs w:val="20"/>
          <w:color w:val="auto"/>
        </w:rPr>
      </w:pPr>
    </w:p>
    <w:p>
      <w:pPr>
        <w:jc w:val="both"/>
        <w:ind w:left="360"/>
        <w:spacing w:after="0" w:line="254" w:lineRule="auto"/>
        <w:rPr>
          <w:sz w:val="20"/>
          <w:szCs w:val="20"/>
          <w:color w:val="auto"/>
        </w:rPr>
      </w:pPr>
      <w:r>
        <w:rPr>
          <w:rFonts w:ascii="Arial" w:cs="Arial" w:eastAsia="Arial" w:hAnsi="Arial"/>
          <w:sz w:val="20"/>
          <w:szCs w:val="20"/>
          <w:color w:val="auto"/>
        </w:rPr>
        <w:t>You and your Affiliated Persons are prohibited from engaging in insider trading and from trading in securities in violation of this Insider Trading Policy. “Insider trading” is (1) trading (buying or selling) the securities of a company whether for your account or for the account of another, while in the possession of material non-public information (see definition below) about that company or (2) disclosing material non-public information about a company to others who may trade on the basis of that</w:t>
      </w:r>
    </w:p>
    <w:p>
      <w:pPr>
        <w:sectPr>
          <w:pgSz w:w="11900" w:h="16838" w:orient="portrait"/>
          <w:cols w:equalWidth="0" w:num="1">
            <w:col w:w="10580"/>
          </w:cols>
          <w:pgMar w:left="980" w:top="1414" w:right="339" w:bottom="1440" w:gutter="0" w:footer="0" w:header="0"/>
        </w:sectPr>
      </w:pPr>
    </w:p>
    <w:bookmarkStart w:id="188" w:name="page189"/>
    <w:bookmarkEnd w:id="188"/>
    <w:p>
      <w:pPr>
        <w:jc w:val="both"/>
        <w:spacing w:after="0" w:line="286" w:lineRule="auto"/>
        <w:rPr>
          <w:sz w:val="20"/>
          <w:szCs w:val="20"/>
          <w:color w:val="auto"/>
        </w:rPr>
      </w:pPr>
      <w:r>
        <w:rPr>
          <w:rFonts w:ascii="Arial" w:cs="Arial" w:eastAsia="Arial" w:hAnsi="Arial"/>
          <w:sz w:val="20"/>
          <w:szCs w:val="20"/>
          <w:color w:val="auto"/>
        </w:rPr>
        <w:t>information. Insider trading can result in criminal prosecution, jail time, significant fines and public embarrassment for you and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Prohibition on Trading in Company Securities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When you are in possession of material, non-public information about the Company, whether positive or negative, you are prohibited from trading (whether for your account or for the account of another) in the Company’s securities, which includes shares, options to purchase shares, any other type of securities that the Company may issue (such as preferred shares,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 except for trades made pursuant to plans approved by the Compliance Officer in accordance with this policy that are intended to comply with Rule 10b5-1 under the Exchange Act.</w:t>
      </w:r>
    </w:p>
    <w:p>
      <w:pPr>
        <w:spacing w:after="0" w:line="186"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b w:val="1"/>
          <w:bCs w:val="1"/>
          <w:color w:val="auto"/>
        </w:rPr>
        <w:t>The trading prohibitions in this Insider Trading Policy do not apply to: (1) an exercise of an employee share option when payment of the exercise price is made in cash; or (2) the withholding by the Company of shares upon vesting of restricted shares or upon settlement of restricted share units to satisfy applicable tax withholding requirements if: (a) such withholding is required by the applicable plan or award agreement; or</w:t>
      </w:r>
    </w:p>
    <w:p>
      <w:pPr>
        <w:ind w:right="680" w:firstLine="9"/>
        <w:spacing w:after="0" w:line="277" w:lineRule="auto"/>
        <w:tabs>
          <w:tab w:leader="none" w:pos="308"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color w:val="auto"/>
        </w:rPr>
        <w:t>the election to exercise such tax withholding right was made by the Insider in compliance with the Trading Procedures.</w:t>
      </w:r>
    </w:p>
    <w:p>
      <w:pPr>
        <w:spacing w:after="0" w:line="138" w:lineRule="exact"/>
        <w:rPr>
          <w:sz w:val="20"/>
          <w:szCs w:val="20"/>
          <w:color w:val="auto"/>
        </w:rPr>
      </w:pPr>
    </w:p>
    <w:p>
      <w:pPr>
        <w:spacing w:after="0" w:line="263" w:lineRule="auto"/>
        <w:rPr>
          <w:sz w:val="20"/>
          <w:szCs w:val="20"/>
          <w:color w:val="auto"/>
        </w:rPr>
      </w:pPr>
      <w:r>
        <w:rPr>
          <w:rFonts w:ascii="Arial" w:cs="Arial" w:eastAsia="Arial" w:hAnsi="Arial"/>
          <w:sz w:val="20"/>
          <w:szCs w:val="20"/>
          <w:b w:val="1"/>
          <w:bCs w:val="1"/>
          <w:color w:val="auto"/>
        </w:rPr>
        <w:t>The trading prohibitions in this Insider Trading Policy do apply, however, to the use of outstanding Company securities to constitute part or all of the exercise price of an option, any sale of securities as part of a broker-assisted cashless exercise of an option, or any other market sale for the purpose of generating the cash needed to pay the exercise price of an option.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Prohibition on Tipping</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Providing material non-public information about the Company to another person who may trade or advise others to trade on the basis of that information is known as “tipping”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ectPr>
          <w:pgSz w:w="11900" w:h="16838" w:orient="portrait"/>
          <w:cols w:equalWidth="0" w:num="1">
            <w:col w:w="10220"/>
          </w:cols>
          <w:pgMar w:left="1340" w:top="1414" w:right="339"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b w:val="1"/>
          <w:bCs w:val="1"/>
          <w:color w:val="auto"/>
        </w:rPr>
        <w:t>Prohibition on Trading in Securities of Other Companies</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policy’s prohibitions against insider trading and tipping also apply to trading in securities of other companies, including the Company’s customers, suppliers, partners and other enterprises with which we are working (such as when negotiating an acquisition, investment or other transaction that could be material to the other company). Whenever, during the course of your service to or employment by the Company, you become aware of material non-public information about another company, including any confidential information that is reasonably likely to affect the market price of that company’s securities (for example, discussions of licensing a product or acquiring that other company), neither you nor your Affiliated Persons may trade in any securities of that company, give trading advice about that company, tip or disclose that information, pass it on to others, or engage in any other action to take advantage of that information.</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This policy also prohibits so-called “shadow trading.” Shadow trading would occur if you trade in the securities of another company (such as a competitor or supplier) after becoming aware of material non-public information about us, other companies in our industry, or industry trends that we are experiencing or are expected to experience.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If your work regularly involves handling or discussing confidential information of one of our partners, suppliers or customers, you should consult with the Compliance Officer before trading in any of that company’s securities.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Duration of Trading Prohibitions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These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even the appearance of improper insider trading and how enforcement authorities and others might view the transaction in hindsight.</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Insider Trading Policy applies to you and your Affiliated Persons so long as you are associated with the Company. If you leave the Company for any reason, this Insider Trading Policy, including, if applicable, the Trading Procedures described in Part III, will continue to apply to you and your Affiliated Persons until the later of: (1) the first trading day following the public release of earnings for the fiscal quarter in which you leave the Company or (2) the first trading day after any material non-public information known to you has become public or is no longer material.</w:t>
      </w:r>
    </w:p>
    <w:p>
      <w:pPr>
        <w:spacing w:after="0" w:line="155" w:lineRule="exact"/>
        <w:rPr>
          <w:sz w:val="20"/>
          <w:szCs w:val="20"/>
          <w:color w:val="auto"/>
        </w:rPr>
      </w:pPr>
    </w:p>
    <w:p>
      <w:pPr>
        <w:ind w:left="420" w:hanging="411"/>
        <w:spacing w:after="0"/>
        <w:tabs>
          <w:tab w:leader="none" w:pos="420" w:val="left"/>
        </w:tabs>
        <w:numPr>
          <w:ilvl w:val="0"/>
          <w:numId w:val="11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What is the definition of Material, Non-public Information</w:t>
      </w:r>
      <w:r>
        <w:rPr>
          <w:rFonts w:ascii="Arial" w:cs="Arial" w:eastAsia="Arial" w:hAnsi="Arial"/>
          <w:sz w:val="20"/>
          <w:szCs w:val="20"/>
          <w:b w:val="1"/>
          <w:bCs w:val="1"/>
          <w:color w:val="auto"/>
        </w:rPr>
        <w:t>?</w:t>
      </w: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This Insider Trading Policy prohibits you from trading in a company’s securities if you are in possession of information about the company that is both “</w:t>
      </w:r>
      <w:r>
        <w:rPr>
          <w:rFonts w:ascii="Arial" w:cs="Arial" w:eastAsia="Arial" w:hAnsi="Arial"/>
          <w:sz w:val="20"/>
          <w:szCs w:val="20"/>
          <w:i w:val="1"/>
          <w:iCs w:val="1"/>
          <w:color w:val="auto"/>
        </w:rPr>
        <w:t>material</w:t>
      </w:r>
      <w:r>
        <w:rPr>
          <w:rFonts w:ascii="Arial" w:cs="Arial" w:eastAsia="Arial" w:hAnsi="Arial"/>
          <w:sz w:val="20"/>
          <w:szCs w:val="20"/>
          <w:color w:val="auto"/>
        </w:rPr>
        <w:t>” and “</w:t>
      </w:r>
      <w:r>
        <w:rPr>
          <w:rFonts w:ascii="Arial" w:cs="Arial" w:eastAsia="Arial" w:hAnsi="Arial"/>
          <w:sz w:val="20"/>
          <w:szCs w:val="20"/>
          <w:i w:val="1"/>
          <w:iCs w:val="1"/>
          <w:color w:val="auto"/>
        </w:rPr>
        <w:t>non-public</w:t>
      </w:r>
      <w:r>
        <w:rPr>
          <w:rFonts w:ascii="Arial" w:cs="Arial" w:eastAsia="Arial" w:hAnsi="Arial"/>
          <w:sz w:val="20"/>
          <w:szCs w:val="20"/>
          <w:color w:val="auto"/>
        </w:rPr>
        <w:t>.” If you have a question whether certain information you are aware of is</w:t>
      </w:r>
    </w:p>
    <w:p>
      <w:pPr>
        <w:sectPr>
          <w:pgSz w:w="11900" w:h="16838" w:orient="portrait"/>
          <w:cols w:equalWidth="0" w:num="1">
            <w:col w:w="10220"/>
          </w:cols>
          <w:pgMar w:left="1340" w:top="1412" w:right="33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color w:val="auto"/>
        </w:rPr>
        <w:t>material or has been made public, you are encouraged to consult with the Compliance Officer.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“Material” Information</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Information about the Company is “material” if it could reasonably be expected to affect the investment or voting decisions of a shareholder or investor, or if the disclosure of the information could reasonably be expected to significantly alter the total mix of information in the marketplace about the Company or any other company. We speak mostly in this Insider Trading Policy about determining whether information about the Company is material and non-public, but the same analysis applies to information about other companies that would preclude you from trading in their securities.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spacing w:after="0" w:line="168" w:lineRule="exact"/>
        <w:rPr>
          <w:sz w:val="20"/>
          <w:szCs w:val="20"/>
          <w:color w:val="auto"/>
        </w:rPr>
      </w:pPr>
    </w:p>
    <w:p>
      <w:pPr>
        <w:ind w:left="940" w:right="100" w:hanging="656"/>
        <w:spacing w:after="0" w:line="254" w:lineRule="auto"/>
        <w:tabs>
          <w:tab w:leader="none" w:pos="928" w:val="left"/>
        </w:tabs>
        <w:numPr>
          <w:ilvl w:val="0"/>
          <w:numId w:val="119"/>
        </w:numPr>
        <w:rPr>
          <w:rFonts w:ascii="Times New Roman" w:cs="Times New Roman" w:eastAsia="Times New Roman" w:hAnsi="Times New Roman"/>
          <w:sz w:val="20"/>
          <w:szCs w:val="20"/>
          <w:color w:val="auto"/>
        </w:rPr>
      </w:pPr>
      <w:r>
        <w:rPr>
          <w:rFonts w:ascii="Arial" w:cs="Arial" w:eastAsia="Arial" w:hAnsi="Arial"/>
          <w:sz w:val="20"/>
          <w:szCs w:val="20"/>
          <w:color w:val="auto"/>
        </w:rPr>
        <w:t>developments regarding any programs in clinical development or subject to regulatory approval, including recent regulatory interaction and/or data that have been recently generated from ongoing or recently completed clinical trials;</w:t>
      </w:r>
    </w:p>
    <w:p>
      <w:pPr>
        <w:spacing w:after="0" w:line="2" w:lineRule="exact"/>
        <w:rPr>
          <w:rFonts w:ascii="Times New Roman" w:cs="Times New Roman" w:eastAsia="Times New Roman" w:hAnsi="Times New Roman"/>
          <w:sz w:val="20"/>
          <w:szCs w:val="20"/>
          <w:color w:val="auto"/>
        </w:rPr>
      </w:pPr>
    </w:p>
    <w:p>
      <w:pPr>
        <w:ind w:left="940" w:right="860" w:hanging="656"/>
        <w:spacing w:after="0" w:line="246" w:lineRule="auto"/>
        <w:tabs>
          <w:tab w:leader="none" w:pos="928" w:val="left"/>
        </w:tabs>
        <w:numPr>
          <w:ilvl w:val="0"/>
          <w:numId w:val="119"/>
        </w:numPr>
        <w:rPr>
          <w:rFonts w:ascii="Times New Roman" w:cs="Times New Roman" w:eastAsia="Times New Roman" w:hAnsi="Times New Roman"/>
          <w:sz w:val="20"/>
          <w:szCs w:val="20"/>
          <w:color w:val="auto"/>
        </w:rPr>
      </w:pPr>
      <w:r>
        <w:rPr>
          <w:rFonts w:ascii="Arial" w:cs="Arial" w:eastAsia="Arial" w:hAnsi="Arial"/>
          <w:sz w:val="20"/>
          <w:szCs w:val="20"/>
          <w:color w:val="auto"/>
        </w:rPr>
        <w:t>developments regarding the intellectual property and/or freedom to operate for any of the current programs or product candidates under development;</w:t>
      </w:r>
    </w:p>
    <w:p>
      <w:pPr>
        <w:ind w:left="920" w:hanging="636"/>
        <w:spacing w:after="0"/>
        <w:tabs>
          <w:tab w:leader="none" w:pos="920" w:val="left"/>
        </w:tabs>
        <w:numPr>
          <w:ilvl w:val="0"/>
          <w:numId w:val="119"/>
        </w:numPr>
        <w:rPr>
          <w:rFonts w:ascii="Times New Roman" w:cs="Times New Roman" w:eastAsia="Times New Roman" w:hAnsi="Times New Roman"/>
          <w:sz w:val="20"/>
          <w:szCs w:val="20"/>
          <w:color w:val="auto"/>
        </w:rPr>
      </w:pPr>
      <w:r>
        <w:rPr>
          <w:rFonts w:ascii="Arial" w:cs="Arial" w:eastAsia="Arial" w:hAnsi="Arial"/>
          <w:sz w:val="20"/>
          <w:szCs w:val="20"/>
          <w:color w:val="auto"/>
        </w:rPr>
        <w:t>projections of future earnings or losses, or other earnings guidance;</w:t>
      </w:r>
    </w:p>
    <w:p>
      <w:pPr>
        <w:spacing w:after="0" w:line="12" w:lineRule="exact"/>
        <w:rPr>
          <w:rFonts w:ascii="Times New Roman" w:cs="Times New Roman" w:eastAsia="Times New Roman" w:hAnsi="Times New Roman"/>
          <w:sz w:val="20"/>
          <w:szCs w:val="20"/>
          <w:color w:val="auto"/>
        </w:rPr>
      </w:pPr>
    </w:p>
    <w:p>
      <w:pPr>
        <w:ind w:left="920" w:hanging="636"/>
        <w:spacing w:after="0" w:line="238" w:lineRule="auto"/>
        <w:tabs>
          <w:tab w:leader="none" w:pos="920" w:val="left"/>
        </w:tabs>
        <w:numPr>
          <w:ilvl w:val="0"/>
          <w:numId w:val="119"/>
        </w:numPr>
        <w:rPr>
          <w:rFonts w:ascii="Times New Roman" w:cs="Times New Roman" w:eastAsia="Times New Roman" w:hAnsi="Times New Roman"/>
          <w:sz w:val="20"/>
          <w:szCs w:val="20"/>
          <w:color w:val="auto"/>
        </w:rPr>
      </w:pPr>
      <w:r>
        <w:rPr>
          <w:rFonts w:ascii="Arial" w:cs="Arial" w:eastAsia="Arial" w:hAnsi="Arial"/>
          <w:sz w:val="20"/>
          <w:szCs w:val="20"/>
          <w:color w:val="auto"/>
        </w:rPr>
        <w:t>earnings or revenue that are inconsistent with the consensus expectations of the investment community;</w:t>
      </w:r>
    </w:p>
    <w:p>
      <w:pPr>
        <w:ind w:left="940" w:right="240" w:hanging="656"/>
        <w:spacing w:after="0" w:line="246" w:lineRule="auto"/>
        <w:tabs>
          <w:tab w:leader="none" w:pos="928" w:val="left"/>
        </w:tabs>
        <w:numPr>
          <w:ilvl w:val="0"/>
          <w:numId w:val="119"/>
        </w:numPr>
        <w:rPr>
          <w:rFonts w:ascii="Times New Roman" w:cs="Times New Roman" w:eastAsia="Times New Roman" w:hAnsi="Times New Roman"/>
          <w:sz w:val="20"/>
          <w:szCs w:val="20"/>
          <w:color w:val="auto"/>
        </w:rPr>
      </w:pPr>
      <w:r>
        <w:rPr>
          <w:rFonts w:ascii="Arial" w:cs="Arial" w:eastAsia="Arial" w:hAnsi="Arial"/>
          <w:sz w:val="20"/>
          <w:szCs w:val="20"/>
          <w:color w:val="auto"/>
        </w:rPr>
        <w:t>potential restatements of the Company’s financial statements, changes in auditors or auditor notification that the Company may no longer rely on an auditor’s audit report;</w:t>
      </w:r>
    </w:p>
    <w:p>
      <w:pPr>
        <w:ind w:left="940" w:right="620" w:hanging="656"/>
        <w:spacing w:after="0" w:line="253" w:lineRule="auto"/>
        <w:tabs>
          <w:tab w:leader="none" w:pos="928" w:val="left"/>
        </w:tabs>
        <w:numPr>
          <w:ilvl w:val="0"/>
          <w:numId w:val="119"/>
        </w:numPr>
        <w:rPr>
          <w:rFonts w:ascii="Times New Roman" w:cs="Times New Roman" w:eastAsia="Times New Roman" w:hAnsi="Times New Roman"/>
          <w:sz w:val="20"/>
          <w:szCs w:val="20"/>
          <w:color w:val="auto"/>
        </w:rPr>
      </w:pPr>
      <w:r>
        <w:rPr>
          <w:rFonts w:ascii="Arial" w:cs="Arial" w:eastAsia="Arial" w:hAnsi="Arial"/>
          <w:sz w:val="20"/>
          <w:szCs w:val="20"/>
          <w:color w:val="auto"/>
        </w:rPr>
        <w:t>pending or proposed corporate mergers, acquisitions, tender offers, joint ventures or dispositions of significant assets;</w:t>
      </w:r>
    </w:p>
    <w:p>
      <w:pPr>
        <w:ind w:left="920" w:hanging="636"/>
        <w:spacing w:after="0" w:line="238" w:lineRule="auto"/>
        <w:tabs>
          <w:tab w:leader="none" w:pos="920" w:val="left"/>
        </w:tabs>
        <w:numPr>
          <w:ilvl w:val="0"/>
          <w:numId w:val="119"/>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management or the Board of Directors;</w:t>
      </w:r>
    </w:p>
    <w:p>
      <w:pPr>
        <w:ind w:left="940" w:right="340" w:hanging="656"/>
        <w:spacing w:after="0" w:line="246" w:lineRule="auto"/>
        <w:tabs>
          <w:tab w:leader="none" w:pos="928" w:val="left"/>
        </w:tabs>
        <w:numPr>
          <w:ilvl w:val="0"/>
          <w:numId w:val="119"/>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actual or threatened litigation or governmental investigations or major developments in such matters;</w:t>
      </w:r>
    </w:p>
    <w:p>
      <w:pPr>
        <w:ind w:left="920" w:hanging="636"/>
        <w:spacing w:after="0"/>
        <w:tabs>
          <w:tab w:leader="none" w:pos="920" w:val="left"/>
        </w:tabs>
        <w:numPr>
          <w:ilvl w:val="0"/>
          <w:numId w:val="119"/>
        </w:numPr>
        <w:rPr>
          <w:rFonts w:ascii="Times New Roman" w:cs="Times New Roman" w:eastAsia="Times New Roman" w:hAnsi="Times New Roman"/>
          <w:sz w:val="20"/>
          <w:szCs w:val="20"/>
          <w:color w:val="auto"/>
        </w:rPr>
      </w:pPr>
      <w:r>
        <w:rPr>
          <w:rFonts w:ascii="Arial" w:cs="Arial" w:eastAsia="Arial" w:hAnsi="Arial"/>
          <w:sz w:val="20"/>
          <w:szCs w:val="20"/>
          <w:color w:val="auto"/>
        </w:rPr>
        <w:t>a cybersecurity incident, including discovery of significant vulnerabilities or breaches;</w:t>
      </w:r>
    </w:p>
    <w:p>
      <w:pPr>
        <w:spacing w:after="0" w:line="12" w:lineRule="exact"/>
        <w:rPr>
          <w:rFonts w:ascii="Times New Roman" w:cs="Times New Roman" w:eastAsia="Times New Roman" w:hAnsi="Times New Roman"/>
          <w:sz w:val="20"/>
          <w:szCs w:val="20"/>
          <w:color w:val="auto"/>
        </w:rPr>
      </w:pPr>
    </w:p>
    <w:p>
      <w:pPr>
        <w:ind w:left="940" w:right="100" w:hanging="656"/>
        <w:spacing w:after="0" w:line="246" w:lineRule="auto"/>
        <w:tabs>
          <w:tab w:leader="none" w:pos="928" w:val="left"/>
        </w:tabs>
        <w:numPr>
          <w:ilvl w:val="0"/>
          <w:numId w:val="119"/>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developments regarding products, customers, suppliers, orders, contracts or financing sources (e.g., the acquisition or loss of a contract);</w:t>
      </w:r>
    </w:p>
    <w:p>
      <w:pPr>
        <w:ind w:left="920" w:hanging="636"/>
        <w:spacing w:after="0"/>
        <w:tabs>
          <w:tab w:leader="none" w:pos="920" w:val="left"/>
        </w:tabs>
        <w:numPr>
          <w:ilvl w:val="0"/>
          <w:numId w:val="119"/>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dividend policy, declarations of share splits, or public or private sales of additional securities;</w:t>
      </w:r>
    </w:p>
    <w:p>
      <w:pPr>
        <w:spacing w:after="0" w:line="12" w:lineRule="exact"/>
        <w:rPr>
          <w:rFonts w:ascii="Times New Roman" w:cs="Times New Roman" w:eastAsia="Times New Roman" w:hAnsi="Times New Roman"/>
          <w:sz w:val="20"/>
          <w:szCs w:val="20"/>
          <w:color w:val="auto"/>
        </w:rPr>
      </w:pPr>
    </w:p>
    <w:p>
      <w:pPr>
        <w:ind w:left="940" w:right="540" w:hanging="656"/>
        <w:spacing w:after="0" w:line="252" w:lineRule="auto"/>
        <w:tabs>
          <w:tab w:leader="none" w:pos="928" w:val="left"/>
        </w:tabs>
        <w:numPr>
          <w:ilvl w:val="0"/>
          <w:numId w:val="119"/>
        </w:numPr>
        <w:rPr>
          <w:rFonts w:ascii="Times New Roman" w:cs="Times New Roman" w:eastAsia="Times New Roman" w:hAnsi="Times New Roman"/>
          <w:sz w:val="20"/>
          <w:szCs w:val="20"/>
          <w:color w:val="auto"/>
        </w:rPr>
      </w:pPr>
      <w:r>
        <w:rPr>
          <w:rFonts w:ascii="Arial" w:cs="Arial" w:eastAsia="Arial" w:hAnsi="Arial"/>
          <w:sz w:val="20"/>
          <w:szCs w:val="20"/>
          <w:color w:val="auto"/>
        </w:rPr>
        <w:t>potential defaults under the Company’s credit agreements or indentures, or the existence of material liquidity deficiencies; and</w:t>
      </w:r>
    </w:p>
    <w:p>
      <w:pPr>
        <w:sectPr>
          <w:pgSz w:w="11900" w:h="16838" w:orient="portrait"/>
          <w:cols w:equalWidth="0" w:num="1">
            <w:col w:w="10220"/>
          </w:cols>
          <w:pgMar w:left="1340" w:top="1414" w:right="339" w:bottom="1440" w:gutter="0" w:footer="0" w:header="0"/>
        </w:sectPr>
      </w:pPr>
    </w:p>
    <w:bookmarkStart w:id="191" w:name="page192"/>
    <w:bookmarkEnd w:id="191"/>
    <w:p>
      <w:pPr>
        <w:ind w:left="920" w:hanging="636"/>
        <w:spacing w:after="0"/>
        <w:tabs>
          <w:tab w:leader="none" w:pos="920" w:val="left"/>
        </w:tabs>
        <w:numPr>
          <w:ilvl w:val="0"/>
          <w:numId w:val="120"/>
        </w:numPr>
        <w:rPr>
          <w:rFonts w:ascii="Times New Roman" w:cs="Times New Roman" w:eastAsia="Times New Roman" w:hAnsi="Times New Roman"/>
          <w:sz w:val="20"/>
          <w:szCs w:val="20"/>
          <w:color w:val="auto"/>
        </w:rPr>
      </w:pPr>
      <w:r>
        <w:rPr>
          <w:rFonts w:ascii="Arial" w:cs="Arial" w:eastAsia="Arial" w:hAnsi="Arial"/>
          <w:sz w:val="20"/>
          <w:szCs w:val="20"/>
          <w:color w:val="auto"/>
        </w:rPr>
        <w:t>bankruptcies or receiverships.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By including the list above, the Company does not mean to imply that each of these items above is </w:t>
      </w:r>
      <w:r>
        <w:rPr>
          <w:rFonts w:ascii="Arial" w:cs="Arial" w:eastAsia="Arial" w:hAnsi="Arial"/>
          <w:sz w:val="20"/>
          <w:szCs w:val="20"/>
          <w:u w:val="single" w:color="auto"/>
          <w:color w:val="auto"/>
        </w:rPr>
        <w:t>per se</w:t>
      </w:r>
      <w:r>
        <w:rPr>
          <w:rFonts w:ascii="Arial" w:cs="Arial" w:eastAsia="Arial" w:hAnsi="Arial"/>
          <w:sz w:val="20"/>
          <w:szCs w:val="20"/>
          <w:color w:val="auto"/>
        </w:rPr>
        <w:t xml:space="preserve"> material. The information and events on this list still require determinations as to their materiality (although some determinations will be reached more easily than others). For example, some new products or contracts may clearly be material to an issuer; yet that does not mean that all product developments or contracts will be material. This demonstrates, in our view, why no “bright-line” standard or list of items can adequately address the range of situations that may arise. Furthermore, the Company cannot create an exclusive list of events and information that have a higher probability of being considered material.</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Securities and Exchange Commission (the “</w:t>
      </w:r>
      <w:r>
        <w:rPr>
          <w:rFonts w:ascii="Arial" w:cs="Arial" w:eastAsia="Arial" w:hAnsi="Arial"/>
          <w:sz w:val="20"/>
          <w:szCs w:val="20"/>
          <w:b w:val="1"/>
          <w:bCs w:val="1"/>
          <w:color w:val="auto"/>
        </w:rPr>
        <w:t>SEC</w:t>
      </w:r>
      <w:r>
        <w:rPr>
          <w:rFonts w:ascii="Arial" w:cs="Arial" w:eastAsia="Arial" w:hAnsi="Arial"/>
          <w:sz w:val="20"/>
          <w:szCs w:val="20"/>
          <w:color w:val="auto"/>
        </w:rPr>
        <w:t>”) has stated that there is no fixed quantitative threshold amount for determining materiality, and that even very small quantitative changes can be qualitatively material if they would result in a movement in the price of the Company’s securities.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“Non-public” Information</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 Before a person who possesses material, non-public information can trade, there also must be adequate time for the market as a whole to absorb the information that has been disclosed.</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For the purposes of this Insider Trading Policy, information will be considered public after the close of trading on the second full trading day following the Company’s public release of the information. For that purpose, a full day of trading means a session of regular trading hours on the Nasdaq Stock Market (“Nasdaq”) between 9:30 a.m. and 4:00 p.m. Eastern Time (or such earlier closing time as has been set by exchange rules) has occurred. For example, if the Company announces material non-public information of which you are aware before trading begins on a Tuesday, the first time you can buy or sell Company securities is the opening of the market on Thursday. However, if the Company announces this material information after trading begins on that Tuesday, the first time that you can buy or sell Company securities is the opening of the market on Friday.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4.  What Are The Penalties For Insider Trading And Noncompliance With This Insider Trading Policy?</w:t>
      </w:r>
    </w:p>
    <w:p>
      <w:pPr>
        <w:spacing w:after="0" w:line="200" w:lineRule="exact"/>
        <w:rPr>
          <w:sz w:val="20"/>
          <w:szCs w:val="20"/>
          <w:color w:val="auto"/>
        </w:rPr>
      </w:pPr>
    </w:p>
    <w:p>
      <w:pPr>
        <w:spacing w:after="0" w:line="378" w:lineRule="exact"/>
        <w:rPr>
          <w:sz w:val="20"/>
          <w:szCs w:val="20"/>
          <w:color w:val="auto"/>
        </w:rPr>
      </w:pPr>
    </w:p>
    <w:p>
      <w:pPr>
        <w:jc w:val="both"/>
        <w:ind w:right="20"/>
        <w:spacing w:after="0" w:line="263" w:lineRule="auto"/>
        <w:rPr>
          <w:sz w:val="20"/>
          <w:szCs w:val="20"/>
          <w:color w:val="auto"/>
        </w:rPr>
      </w:pPr>
      <w:r>
        <w:rPr>
          <w:rFonts w:ascii="Arial" w:cs="Arial" w:eastAsia="Arial" w:hAnsi="Arial"/>
          <w:sz w:val="20"/>
          <w:szCs w:val="20"/>
          <w:color w:val="auto"/>
        </w:rPr>
        <w:t>Both the SEC and the national securities exchanges, through the Financial Industry Regulatory Authority (“</w:t>
      </w:r>
      <w:r>
        <w:rPr>
          <w:rFonts w:ascii="Arial" w:cs="Arial" w:eastAsia="Arial" w:hAnsi="Arial"/>
          <w:sz w:val="20"/>
          <w:szCs w:val="20"/>
          <w:b w:val="1"/>
          <w:bCs w:val="1"/>
          <w:color w:val="auto"/>
        </w:rPr>
        <w:t>FINRA</w:t>
      </w:r>
      <w:r>
        <w:rPr>
          <w:rFonts w:ascii="Arial" w:cs="Arial" w:eastAsia="Arial" w:hAnsi="Arial"/>
          <w:sz w:val="20"/>
          <w:szCs w:val="20"/>
          <w:color w:val="auto"/>
        </w:rPr>
        <w:t>”), investigate and are very effective at detecting insider trading. The SEC, together with the U.S. Attorneys, pursue insider trading</w:t>
      </w:r>
    </w:p>
    <w:p>
      <w:pPr>
        <w:sectPr>
          <w:pgSz w:w="11900" w:h="16838" w:orient="portrait"/>
          <w:cols w:equalWidth="0" w:num="1">
            <w:col w:w="10220"/>
          </w:cols>
          <w:pgMar w:left="1340" w:top="1414" w:right="339" w:bottom="1440" w:gutter="0" w:footer="0" w:header="0"/>
        </w:sectPr>
      </w:pPr>
    </w:p>
    <w:bookmarkStart w:id="192" w:name="page193"/>
    <w:bookmarkEnd w:id="192"/>
    <w:p>
      <w:pPr>
        <w:ind w:left="40"/>
        <w:spacing w:after="0" w:line="286" w:lineRule="auto"/>
        <w:rPr>
          <w:sz w:val="20"/>
          <w:szCs w:val="20"/>
          <w:color w:val="auto"/>
        </w:rPr>
      </w:pPr>
      <w:r>
        <w:rPr>
          <w:rFonts w:ascii="Arial" w:cs="Arial" w:eastAsia="Arial" w:hAnsi="Arial"/>
          <w:sz w:val="20"/>
          <w:szCs w:val="20"/>
          <w:color w:val="auto"/>
        </w:rPr>
        <w:t>violations vigorously. For instance, cases have been successfully prosecuted against trading by employees in foreign accounts, trading by family members and friends, and trading involving only a small number of securities.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20"/>
          <w:szCs w:val="20"/>
          <w:color w:val="auto"/>
        </w:rPr>
        <w:t>The penalties for violating United States insider trading or tipping rules can be severe and include:</w:t>
      </w:r>
    </w:p>
    <w:p>
      <w:pPr>
        <w:spacing w:after="0" w:line="108" w:lineRule="exact"/>
        <w:rPr>
          <w:sz w:val="20"/>
          <w:szCs w:val="20"/>
          <w:color w:val="auto"/>
        </w:rPr>
      </w:pPr>
    </w:p>
    <w:p>
      <w:pPr>
        <w:ind w:left="320" w:hanging="320"/>
        <w:spacing w:after="0"/>
        <w:tabs>
          <w:tab w:leader="none" w:pos="320" w:val="left"/>
        </w:tabs>
        <w:numPr>
          <w:ilvl w:val="0"/>
          <w:numId w:val="121"/>
        </w:numPr>
        <w:rPr>
          <w:rFonts w:ascii="Times New Roman" w:cs="Times New Roman" w:eastAsia="Times New Roman" w:hAnsi="Times New Roman"/>
          <w:sz w:val="20"/>
          <w:szCs w:val="20"/>
          <w:color w:val="auto"/>
        </w:rPr>
      </w:pPr>
      <w:r>
        <w:rPr>
          <w:rFonts w:ascii="Arial" w:cs="Arial" w:eastAsia="Arial" w:hAnsi="Arial"/>
          <w:sz w:val="20"/>
          <w:szCs w:val="20"/>
          <w:color w:val="auto"/>
        </w:rPr>
        <w:t>disgorgement of the profit gained or loss avoided by the trading;</w:t>
      </w:r>
    </w:p>
    <w:p>
      <w:pPr>
        <w:spacing w:after="0" w:line="66" w:lineRule="exact"/>
        <w:rPr>
          <w:rFonts w:ascii="Times New Roman" w:cs="Times New Roman" w:eastAsia="Times New Roman" w:hAnsi="Times New Roman"/>
          <w:sz w:val="20"/>
          <w:szCs w:val="20"/>
          <w:color w:val="auto"/>
        </w:rPr>
      </w:pPr>
    </w:p>
    <w:p>
      <w:pPr>
        <w:ind w:left="320" w:right="100" w:hanging="320"/>
        <w:spacing w:after="0" w:line="242" w:lineRule="auto"/>
        <w:tabs>
          <w:tab w:leader="none" w:pos="308" w:val="left"/>
        </w:tabs>
        <w:numPr>
          <w:ilvl w:val="0"/>
          <w:numId w:val="121"/>
        </w:numPr>
        <w:rPr>
          <w:rFonts w:ascii="Times New Roman" w:cs="Times New Roman" w:eastAsia="Times New Roman" w:hAnsi="Times New Roman"/>
          <w:sz w:val="20"/>
          <w:szCs w:val="20"/>
          <w:color w:val="auto"/>
        </w:rPr>
      </w:pPr>
      <w:r>
        <w:rPr>
          <w:rFonts w:ascii="Arial" w:cs="Arial" w:eastAsia="Arial" w:hAnsi="Arial"/>
          <w:sz w:val="20"/>
          <w:szCs w:val="20"/>
          <w:color w:val="auto"/>
        </w:rPr>
        <w:t>payment of the loss suffered by the persons who, contemporaneously with the purchase or sale of securities that are subject of such violation, have purchased or sold, as applicable, securities of the same class;</w:t>
      </w:r>
    </w:p>
    <w:p>
      <w:pPr>
        <w:spacing w:after="0" w:line="48" w:lineRule="exact"/>
        <w:rPr>
          <w:rFonts w:ascii="Times New Roman" w:cs="Times New Roman" w:eastAsia="Times New Roman" w:hAnsi="Times New Roman"/>
          <w:sz w:val="20"/>
          <w:szCs w:val="20"/>
          <w:color w:val="auto"/>
        </w:rPr>
      </w:pPr>
    </w:p>
    <w:p>
      <w:pPr>
        <w:ind w:left="320" w:hanging="320"/>
        <w:spacing w:after="0"/>
        <w:tabs>
          <w:tab w:leader="none" w:pos="320" w:val="left"/>
        </w:tabs>
        <w:numPr>
          <w:ilvl w:val="0"/>
          <w:numId w:val="121"/>
        </w:numPr>
        <w:rPr>
          <w:rFonts w:ascii="Times New Roman" w:cs="Times New Roman" w:eastAsia="Times New Roman" w:hAnsi="Times New Roman"/>
          <w:sz w:val="20"/>
          <w:szCs w:val="20"/>
          <w:color w:val="auto"/>
        </w:rPr>
      </w:pPr>
      <w:r>
        <w:rPr>
          <w:rFonts w:ascii="Arial" w:cs="Arial" w:eastAsia="Arial" w:hAnsi="Arial"/>
          <w:sz w:val="20"/>
          <w:szCs w:val="20"/>
          <w:color w:val="auto"/>
        </w:rPr>
        <w:t>payment of criminal penalties of up to $5,000,000;</w:t>
      </w:r>
    </w:p>
    <w:p>
      <w:pPr>
        <w:spacing w:after="0" w:line="66" w:lineRule="exact"/>
        <w:rPr>
          <w:rFonts w:ascii="Times New Roman" w:cs="Times New Roman" w:eastAsia="Times New Roman" w:hAnsi="Times New Roman"/>
          <w:sz w:val="20"/>
          <w:szCs w:val="20"/>
          <w:color w:val="auto"/>
        </w:rPr>
      </w:pPr>
    </w:p>
    <w:p>
      <w:pPr>
        <w:ind w:left="320" w:hanging="320"/>
        <w:spacing w:after="0"/>
        <w:tabs>
          <w:tab w:leader="none" w:pos="320" w:val="left"/>
        </w:tabs>
        <w:numPr>
          <w:ilvl w:val="0"/>
          <w:numId w:val="121"/>
        </w:numPr>
        <w:rPr>
          <w:rFonts w:ascii="Times New Roman" w:cs="Times New Roman" w:eastAsia="Times New Roman" w:hAnsi="Times New Roman"/>
          <w:sz w:val="20"/>
          <w:szCs w:val="20"/>
          <w:color w:val="auto"/>
        </w:rPr>
      </w:pPr>
      <w:r>
        <w:rPr>
          <w:rFonts w:ascii="Arial" w:cs="Arial" w:eastAsia="Arial" w:hAnsi="Arial"/>
          <w:sz w:val="20"/>
          <w:szCs w:val="20"/>
          <w:color w:val="auto"/>
        </w:rPr>
        <w:t>payment of civil penalties of up to three times the profit made or loss avoided; and</w:t>
      </w:r>
    </w:p>
    <w:p>
      <w:pPr>
        <w:spacing w:after="0" w:line="79" w:lineRule="exact"/>
        <w:rPr>
          <w:rFonts w:ascii="Times New Roman" w:cs="Times New Roman" w:eastAsia="Times New Roman" w:hAnsi="Times New Roman"/>
          <w:sz w:val="20"/>
          <w:szCs w:val="20"/>
          <w:color w:val="auto"/>
        </w:rPr>
      </w:pPr>
    </w:p>
    <w:p>
      <w:pPr>
        <w:ind w:left="320" w:hanging="320"/>
        <w:spacing w:after="0"/>
        <w:tabs>
          <w:tab w:leader="none" w:pos="320" w:val="left"/>
        </w:tabs>
        <w:numPr>
          <w:ilvl w:val="0"/>
          <w:numId w:val="121"/>
        </w:numPr>
        <w:rPr>
          <w:rFonts w:ascii="Times New Roman" w:cs="Times New Roman" w:eastAsia="Times New Roman" w:hAnsi="Times New Roman"/>
          <w:sz w:val="20"/>
          <w:szCs w:val="20"/>
          <w:color w:val="auto"/>
        </w:rPr>
      </w:pPr>
      <w:r>
        <w:rPr>
          <w:rFonts w:ascii="Arial" w:cs="Arial" w:eastAsia="Arial" w:hAnsi="Arial"/>
          <w:sz w:val="20"/>
          <w:szCs w:val="20"/>
          <w:color w:val="auto"/>
        </w:rPr>
        <w:t>imprisonment for up to 20 years.</w:t>
      </w:r>
    </w:p>
    <w:p>
      <w:pPr>
        <w:spacing w:after="0" w:line="201" w:lineRule="exact"/>
        <w:rPr>
          <w:sz w:val="20"/>
          <w:szCs w:val="20"/>
          <w:color w:val="auto"/>
        </w:rPr>
      </w:pPr>
    </w:p>
    <w:p>
      <w:pPr>
        <w:jc w:val="both"/>
        <w:ind w:left="40"/>
        <w:spacing w:after="0" w:line="262" w:lineRule="auto"/>
        <w:rPr>
          <w:sz w:val="20"/>
          <w:szCs w:val="20"/>
          <w:color w:val="auto"/>
        </w:rPr>
      </w:pPr>
      <w:r>
        <w:rPr>
          <w:rFonts w:ascii="Arial" w:cs="Arial" w:eastAsia="Arial" w:hAnsi="Arial"/>
          <w:sz w:val="20"/>
          <w:szCs w:val="20"/>
          <w:color w:val="auto"/>
        </w:rPr>
        <w:t>The Company and/or the supervisors of the person engaged in insider trading may also be required to pay civil penalties or fines of $2 million or more, up to three times the profit made or loss avoided, as well as criminal penalties of up to $25,000,000, and could under certain circumstances be subject to private lawsuits.</w:t>
      </w:r>
    </w:p>
    <w:p>
      <w:pPr>
        <w:spacing w:after="0" w:line="178" w:lineRule="exact"/>
        <w:rPr>
          <w:sz w:val="20"/>
          <w:szCs w:val="20"/>
          <w:color w:val="auto"/>
        </w:rPr>
      </w:pPr>
    </w:p>
    <w:p>
      <w:pPr>
        <w:jc w:val="both"/>
        <w:ind w:left="40"/>
        <w:spacing w:after="0" w:line="262" w:lineRule="auto"/>
        <w:rPr>
          <w:sz w:val="20"/>
          <w:szCs w:val="20"/>
          <w:color w:val="auto"/>
        </w:rPr>
      </w:pPr>
      <w:r>
        <w:rPr>
          <w:rFonts w:ascii="Arial" w:cs="Arial" w:eastAsia="Arial" w:hAnsi="Arial"/>
          <w:sz w:val="20"/>
          <w:szCs w:val="20"/>
          <w:color w:val="auto"/>
        </w:rPr>
        <w:t>The penalties for violating United Kingdom insider trading law (applicable if the individual was within the United Kingdom at the time of the alleged dealing) include unlimited fines and/or imprisonment (for a term not exceeding six months on summary conviction, or seven years on conviction on indictment).</w:t>
      </w:r>
    </w:p>
    <w:p>
      <w:pPr>
        <w:spacing w:after="0" w:line="165" w:lineRule="exact"/>
        <w:rPr>
          <w:sz w:val="20"/>
          <w:szCs w:val="20"/>
          <w:color w:val="auto"/>
        </w:rPr>
      </w:pPr>
    </w:p>
    <w:p>
      <w:pPr>
        <w:jc w:val="both"/>
        <w:ind w:left="40"/>
        <w:spacing w:after="0" w:line="254" w:lineRule="auto"/>
        <w:rPr>
          <w:sz w:val="20"/>
          <w:szCs w:val="20"/>
          <w:color w:val="auto"/>
        </w:rPr>
      </w:pPr>
      <w:r>
        <w:rPr>
          <w:rFonts w:ascii="Arial" w:cs="Arial" w:eastAsia="Arial" w:hAnsi="Arial"/>
          <w:sz w:val="20"/>
          <w:szCs w:val="20"/>
          <w:color w:val="auto"/>
        </w:rPr>
        <w:t>Violation of this Insider Trading Policy or any U.S. federal, state or United Kingdom insider trading laws may subject the person violating such policy or laws to disciplinary action by the Company up to and including termination.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5.  How Do You Report A Violation Of This Insider Trading Policy?</w:t>
      </w:r>
    </w:p>
    <w:p>
      <w:pPr>
        <w:spacing w:after="0" w:line="200" w:lineRule="exact"/>
        <w:rPr>
          <w:sz w:val="20"/>
          <w:szCs w:val="20"/>
          <w:color w:val="auto"/>
        </w:rPr>
      </w:pPr>
    </w:p>
    <w:p>
      <w:pPr>
        <w:spacing w:after="0" w:line="367" w:lineRule="exact"/>
        <w:rPr>
          <w:sz w:val="20"/>
          <w:szCs w:val="20"/>
          <w:color w:val="auto"/>
        </w:rPr>
      </w:pPr>
    </w:p>
    <w:p>
      <w:pPr>
        <w:jc w:val="both"/>
        <w:ind w:left="40"/>
        <w:spacing w:after="0" w:line="258" w:lineRule="auto"/>
        <w:rPr>
          <w:sz w:val="20"/>
          <w:szCs w:val="20"/>
          <w:color w:val="auto"/>
        </w:rPr>
      </w:pPr>
      <w:r>
        <w:rPr>
          <w:rFonts w:ascii="Arial" w:cs="Arial" w:eastAsia="Arial" w:hAnsi="Arial"/>
          <w:sz w:val="20"/>
          <w:szCs w:val="20"/>
          <w:color w:val="auto"/>
        </w:rPr>
        <w:t>If you have a question about this Insider Trading Policy, including whether certain information you are aware of is material or has been made public, you are encouraged to consult with the Compliance Officer. In addition, if you violate this Insider Trading Policy or any U.S. federal, state or United Kingdom laws governing insider trading, or know of any such violation by any director, officer or employee of the Company, you must report the violation immediately to the Compliance Officer.</w:t>
      </w:r>
    </w:p>
    <w:p>
      <w:pPr>
        <w:sectPr>
          <w:pgSz w:w="11900" w:h="16838" w:orient="portrait"/>
          <w:cols w:equalWidth="0" w:num="1">
            <w:col w:w="10260"/>
          </w:cols>
          <w:pgMar w:left="1300" w:top="1414" w:right="339" w:bottom="1440" w:gutter="0" w:footer="0" w:header="0"/>
        </w:sectPr>
      </w:pPr>
    </w:p>
    <w:bookmarkStart w:id="193" w:name="page194"/>
    <w:bookmarkEnd w:id="193"/>
    <w:p>
      <w:pPr>
        <w:ind w:left="340"/>
        <w:spacing w:after="0"/>
        <w:rPr>
          <w:sz w:val="20"/>
          <w:szCs w:val="20"/>
          <w:color w:val="auto"/>
        </w:rPr>
      </w:pPr>
      <w:r>
        <w:rPr>
          <w:rFonts w:ascii="Arial" w:cs="Arial" w:eastAsia="Arial" w:hAnsi="Arial"/>
          <w:sz w:val="20"/>
          <w:szCs w:val="20"/>
          <w:b w:val="1"/>
          <w:bCs w:val="1"/>
          <w:color w:val="auto"/>
        </w:rPr>
        <w:t>PART II. TRADING PROCEDURES</w:t>
      </w:r>
    </w:p>
    <w:p>
      <w:pPr>
        <w:spacing w:after="0" w:line="231" w:lineRule="exact"/>
        <w:rPr>
          <w:sz w:val="20"/>
          <w:szCs w:val="20"/>
          <w:color w:val="auto"/>
        </w:rPr>
      </w:pPr>
    </w:p>
    <w:p>
      <w:pPr>
        <w:ind w:left="420" w:hanging="411"/>
        <w:spacing w:after="0"/>
        <w:tabs>
          <w:tab w:leader="none" w:pos="420" w:val="left"/>
        </w:tabs>
        <w:numPr>
          <w:ilvl w:val="0"/>
          <w:numId w:val="12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Special Trading Restrictions Applicable to Insiders</w:t>
      </w:r>
    </w:p>
    <w:p>
      <w:pPr>
        <w:spacing w:after="0" w:line="216"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In addition to the restrictions on trading in Company securities set forth above, Insiders and their Affiliated Persons are subject to the following special trading restrictions:</w:t>
      </w:r>
    </w:p>
    <w:p>
      <w:pPr>
        <w:spacing w:after="0" w:line="140" w:lineRule="exact"/>
        <w:rPr>
          <w:sz w:val="20"/>
          <w:szCs w:val="20"/>
          <w:color w:val="auto"/>
        </w:rPr>
      </w:pPr>
    </w:p>
    <w:p>
      <w:pPr>
        <w:ind w:left="460" w:hanging="451"/>
        <w:spacing w:after="0"/>
        <w:tabs>
          <w:tab w:leader="none" w:pos="46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All Trades Must be Precleared by the Compliance Officer</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No Insider may trade in Company securities unless the trade has been approved by the Compliance Officer in accordance with the procedures set forth below. The Compliance Officer will review and either approve or prohibit all proposed trades by Insiders in accordance with the procedures set forth in Section B below. The Compliance Officer may consult with the Company’s other officers and/or outside legal counsel and will receive approval for his or her own trades from the Company’s Chief Executive Officer.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If you are unable to contact the Compliance Officer, or if you do not feel you can discuss the matter with the Compliance Officer, you may contact the Chief Executive Officer, who shall be the alternate Compliance Officer (the Compliance Officer and the alternate Compliance Officer are collectively referred to as the “Compliance Officer” in these Trading Procedures).</w:t>
      </w:r>
    </w:p>
    <w:p>
      <w:pPr>
        <w:spacing w:after="0" w:line="168" w:lineRule="exact"/>
        <w:rPr>
          <w:sz w:val="20"/>
          <w:szCs w:val="20"/>
          <w:color w:val="auto"/>
        </w:rPr>
      </w:pPr>
    </w:p>
    <w:p>
      <w:pPr>
        <w:ind w:left="460" w:hanging="451"/>
        <w:spacing w:after="0"/>
        <w:tabs>
          <w:tab w:leader="none" w:pos="4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No Trading Except During Trading Windows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announcement of the Company’s quarterly financial results almost always has the potential to have a material effect on the market for the Company’s securities. Although an Insider may not know the financial results prior to public announcement, if an Insider engages in a trade before the financial results are disclosed to the public, such trades may give an appearance of impropriety that could subject the Insider and the Company to a charge of insider trading. Therefore, subject to limited exceptions described herein, Insiders may trade in Company securities only during four quarterly trading windows and then only after obtaining pre-clearance from the Compliance Officer in accordance with the procedures set forth below. Unless otherwise advised, the four trading windows consist of the periods that begin after market close on the first full trading day following the Company’s issuance of a press release (or other method of broad public dissemination) announcing its quarterly or annual earnings and end at the close of business on the last day of the third month of the then-current quarter. Insiders may be allowed to trade outside of a trading window only (a) pursuant to a pre-approved Rule 10b5-1 Plan as described below or (b) in accordance with the procedure for waivers as described below.</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Of course, if an Insider has material non-public information about the Company during one of these trading windows, the Insider may not trade in the Company’s securities.</w:t>
      </w:r>
    </w:p>
    <w:p>
      <w:pPr>
        <w:sectPr>
          <w:pgSz w:w="11900" w:h="16838" w:orient="portrait"/>
          <w:cols w:equalWidth="0" w:num="1">
            <w:col w:w="10220"/>
          </w:cols>
          <w:pgMar w:left="1340" w:top="1412" w:right="339" w:bottom="1440" w:gutter="0" w:footer="0" w:header="0"/>
        </w:sectPr>
      </w:pPr>
    </w:p>
    <w:bookmarkStart w:id="194" w:name="page195"/>
    <w:bookmarkEnd w:id="194"/>
    <w:p>
      <w:pPr>
        <w:ind w:left="500" w:hanging="451"/>
        <w:spacing w:after="0"/>
        <w:tabs>
          <w:tab w:leader="none" w:pos="50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Special Closed Trading Periods</w:t>
      </w:r>
    </w:p>
    <w:p>
      <w:pPr>
        <w:spacing w:after="0" w:line="229" w:lineRule="exact"/>
        <w:rPr>
          <w:sz w:val="20"/>
          <w:szCs w:val="20"/>
          <w:color w:val="auto"/>
        </w:rPr>
      </w:pPr>
    </w:p>
    <w:p>
      <w:pPr>
        <w:jc w:val="both"/>
        <w:ind w:left="40"/>
        <w:spacing w:after="0" w:line="251" w:lineRule="auto"/>
        <w:rPr>
          <w:sz w:val="20"/>
          <w:szCs w:val="20"/>
          <w:color w:val="auto"/>
        </w:rPr>
      </w:pPr>
      <w:r>
        <w:rPr>
          <w:rFonts w:ascii="Arial" w:cs="Arial" w:eastAsia="Arial" w:hAnsi="Arial"/>
          <w:sz w:val="20"/>
          <w:szCs w:val="20"/>
          <w:color w:val="auto"/>
        </w:rPr>
        <w:t>The Compliance Officer may designate, from time to time, a “Special Closed Window” during what would be a permitted trading window. During a Special Closed Window, designated Insiders (which could be all Insiders or a subset of them) may not trade in the Company’s securities. The Compliance Officer may also impose a Special Closed Window on Insiders or a subset of them to prohibit trading in the securities of other companies, including specified peers or competitors of the Company. The imposition of a Special Closed Window will not be announced to the Company generally, should not be communicated to any other person, and may itself be considered under this Insider Trading Policy to be material non-public information about the Company.</w:t>
      </w:r>
    </w:p>
    <w:p>
      <w:pPr>
        <w:spacing w:after="0" w:line="193" w:lineRule="exact"/>
        <w:rPr>
          <w:sz w:val="20"/>
          <w:szCs w:val="20"/>
          <w:color w:val="auto"/>
        </w:rPr>
      </w:pPr>
    </w:p>
    <w:p>
      <w:pPr>
        <w:ind w:left="500" w:hanging="451"/>
        <w:spacing w:after="0"/>
        <w:tabs>
          <w:tab w:leader="none" w:pos="50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No Pledges by Insider</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No Insider may pledge Company securities as collateral for a loan (or modify an existing pledge).</w:t>
      </w:r>
    </w:p>
    <w:p>
      <w:pPr>
        <w:spacing w:after="0" w:line="229" w:lineRule="exact"/>
        <w:rPr>
          <w:sz w:val="20"/>
          <w:szCs w:val="20"/>
          <w:color w:val="auto"/>
        </w:rPr>
      </w:pPr>
    </w:p>
    <w:p>
      <w:pPr>
        <w:ind w:left="500" w:right="440" w:hanging="451"/>
        <w:spacing w:after="0" w:line="286" w:lineRule="auto"/>
        <w:tabs>
          <w:tab w:leader="none" w:pos="495" w:val="left"/>
        </w:tabs>
        <w:numPr>
          <w:ilvl w:val="0"/>
          <w:numId w:val="127"/>
        </w:numPr>
        <w:rPr>
          <w:rFonts w:ascii="Arial" w:cs="Arial" w:eastAsia="Arial" w:hAnsi="Arial"/>
          <w:sz w:val="20"/>
          <w:szCs w:val="20"/>
          <w:color w:val="auto"/>
        </w:rPr>
      </w:pPr>
      <w:r>
        <w:rPr>
          <w:rFonts w:ascii="Arial" w:cs="Arial" w:eastAsia="Arial" w:hAnsi="Arial"/>
          <w:sz w:val="20"/>
          <w:szCs w:val="20"/>
          <w:color w:val="auto"/>
        </w:rPr>
        <w:t>Distributions, Gifts and Other Transfers for No Consideration are Subject to Same Restrictions as All Other Securities Trades.</w:t>
      </w:r>
    </w:p>
    <w:p>
      <w:pPr>
        <w:spacing w:after="0" w:line="140" w:lineRule="exact"/>
        <w:rPr>
          <w:sz w:val="20"/>
          <w:szCs w:val="20"/>
          <w:color w:val="auto"/>
        </w:rPr>
      </w:pPr>
    </w:p>
    <w:p>
      <w:pPr>
        <w:jc w:val="both"/>
        <w:ind w:left="40"/>
        <w:spacing w:after="0" w:line="259" w:lineRule="auto"/>
        <w:rPr>
          <w:sz w:val="20"/>
          <w:szCs w:val="20"/>
          <w:color w:val="auto"/>
        </w:rPr>
      </w:pPr>
      <w:r>
        <w:rPr>
          <w:rFonts w:ascii="Arial" w:cs="Arial" w:eastAsia="Arial" w:hAnsi="Arial"/>
          <w:sz w:val="20"/>
          <w:szCs w:val="20"/>
          <w:color w:val="auto"/>
        </w:rPr>
        <w:t>No Insider may donate or make any other transfer of Company securities without consideration when the Insider is not permitted to trade unless the donee agrees not to sell the shares until the Insider is permitted to sell. In addition to charitable donations or gifts to family members, friends, trusts or others, this prohibition applies to distributions to limited partners by limited partnerships that are subject to this Insider Trading Policy.</w:t>
      </w:r>
    </w:p>
    <w:p>
      <w:pPr>
        <w:spacing w:after="0" w:line="182" w:lineRule="exact"/>
        <w:rPr>
          <w:sz w:val="20"/>
          <w:szCs w:val="20"/>
          <w:color w:val="auto"/>
        </w:rPr>
      </w:pPr>
    </w:p>
    <w:p>
      <w:pPr>
        <w:ind w:left="500" w:hanging="451"/>
        <w:spacing w:after="0"/>
        <w:tabs>
          <w:tab w:leader="none" w:pos="50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Prohibited Transactions</w:t>
      </w:r>
    </w:p>
    <w:p>
      <w:pPr>
        <w:spacing w:after="0" w:line="215" w:lineRule="exact"/>
        <w:rPr>
          <w:rFonts w:ascii="Arial" w:cs="Arial" w:eastAsia="Arial" w:hAnsi="Arial"/>
          <w:sz w:val="20"/>
          <w:szCs w:val="20"/>
          <w:color w:val="auto"/>
        </w:rPr>
      </w:pPr>
    </w:p>
    <w:p>
      <w:pPr>
        <w:ind w:left="320" w:right="580" w:hanging="320"/>
        <w:spacing w:after="0" w:line="295" w:lineRule="auto"/>
        <w:tabs>
          <w:tab w:leader="none" w:pos="308" w:val="left"/>
        </w:tabs>
        <w:numPr>
          <w:ilvl w:val="0"/>
          <w:numId w:val="128"/>
        </w:numPr>
        <w:rPr>
          <w:rFonts w:ascii="Times New Roman" w:cs="Times New Roman" w:eastAsia="Times New Roman" w:hAnsi="Times New Roman"/>
          <w:sz w:val="20"/>
          <w:szCs w:val="20"/>
          <w:color w:val="auto"/>
        </w:rPr>
      </w:pPr>
      <w:r>
        <w:rPr>
          <w:rFonts w:ascii="Arial" w:cs="Arial" w:eastAsia="Arial" w:hAnsi="Arial"/>
          <w:sz w:val="20"/>
          <w:szCs w:val="20"/>
          <w:b w:val="1"/>
          <w:bCs w:val="1"/>
          <w:i w:val="1"/>
          <w:iCs w:val="1"/>
          <w:color w:val="auto"/>
        </w:rPr>
        <w:t>No Short Sales</w:t>
      </w:r>
      <w:r>
        <w:rPr>
          <w:rFonts w:ascii="Arial" w:cs="Arial" w:eastAsia="Arial" w:hAnsi="Arial"/>
          <w:sz w:val="20"/>
          <w:szCs w:val="20"/>
          <w:color w:val="auto"/>
        </w:rPr>
        <w:t>. No Insider may at any time sell any securities of the Company that are not owned by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Insider at the time of the sale (a “</w:t>
      </w:r>
      <w:r>
        <w:rPr>
          <w:rFonts w:ascii="Arial" w:cs="Arial" w:eastAsia="Arial" w:hAnsi="Arial"/>
          <w:sz w:val="20"/>
          <w:szCs w:val="20"/>
          <w:b w:val="1"/>
          <w:bCs w:val="1"/>
          <w:color w:val="auto"/>
        </w:rPr>
        <w:t>short sale</w:t>
      </w:r>
      <w:r>
        <w:rPr>
          <w:rFonts w:ascii="Arial" w:cs="Arial" w:eastAsia="Arial" w:hAnsi="Arial"/>
          <w:sz w:val="20"/>
          <w:szCs w:val="20"/>
          <w:color w:val="auto"/>
        </w:rPr>
        <w:t>”).</w:t>
      </w:r>
    </w:p>
    <w:p>
      <w:pPr>
        <w:spacing w:after="0" w:line="122" w:lineRule="exact"/>
        <w:rPr>
          <w:rFonts w:ascii="Times New Roman" w:cs="Times New Roman" w:eastAsia="Times New Roman" w:hAnsi="Times New Roman"/>
          <w:sz w:val="20"/>
          <w:szCs w:val="20"/>
          <w:color w:val="auto"/>
        </w:rPr>
      </w:pPr>
    </w:p>
    <w:p>
      <w:pPr>
        <w:ind w:left="320" w:right="60" w:hanging="320"/>
        <w:spacing w:after="0" w:line="257" w:lineRule="auto"/>
        <w:tabs>
          <w:tab w:leader="none" w:pos="308" w:val="left"/>
        </w:tabs>
        <w:numPr>
          <w:ilvl w:val="0"/>
          <w:numId w:val="128"/>
        </w:numPr>
        <w:rPr>
          <w:rFonts w:ascii="Times New Roman" w:cs="Times New Roman" w:eastAsia="Times New Roman" w:hAnsi="Times New Roman"/>
          <w:sz w:val="20"/>
          <w:szCs w:val="20"/>
          <w:color w:val="auto"/>
        </w:rPr>
      </w:pPr>
      <w:r>
        <w:rPr>
          <w:rFonts w:ascii="Arial" w:cs="Arial" w:eastAsia="Arial" w:hAnsi="Arial"/>
          <w:sz w:val="20"/>
          <w:szCs w:val="20"/>
          <w:b w:val="1"/>
          <w:bCs w:val="1"/>
          <w:i w:val="1"/>
          <w:iCs w:val="1"/>
          <w:color w:val="auto"/>
        </w:rPr>
        <w:t>No Purchases or Sales of Derivative Securities or Hedging Transactions</w:t>
      </w:r>
      <w:r>
        <w:rPr>
          <w:rFonts w:ascii="Arial" w:cs="Arial" w:eastAsia="Arial" w:hAnsi="Arial"/>
          <w:sz w:val="20"/>
          <w:szCs w:val="20"/>
          <w:color w:val="auto"/>
        </w:rPr>
        <w:t>. No Insider may buy or sell puts,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calls,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w:t>
      </w:r>
    </w:p>
    <w:p>
      <w:pPr>
        <w:spacing w:after="0" w:line="171" w:lineRule="exact"/>
        <w:rPr>
          <w:rFonts w:ascii="Times New Roman" w:cs="Times New Roman" w:eastAsia="Times New Roman" w:hAnsi="Times New Roman"/>
          <w:sz w:val="20"/>
          <w:szCs w:val="20"/>
          <w:color w:val="auto"/>
        </w:rPr>
      </w:pPr>
    </w:p>
    <w:p>
      <w:pPr>
        <w:ind w:left="320" w:right="80" w:hanging="320"/>
        <w:spacing w:after="0" w:line="285" w:lineRule="auto"/>
        <w:tabs>
          <w:tab w:leader="none" w:pos="308" w:val="left"/>
        </w:tabs>
        <w:numPr>
          <w:ilvl w:val="0"/>
          <w:numId w:val="128"/>
        </w:numPr>
        <w:rPr>
          <w:rFonts w:ascii="Times New Roman" w:cs="Times New Roman" w:eastAsia="Times New Roman" w:hAnsi="Times New Roman"/>
          <w:sz w:val="20"/>
          <w:szCs w:val="20"/>
          <w:color w:val="auto"/>
        </w:rPr>
      </w:pPr>
      <w:r>
        <w:rPr>
          <w:rFonts w:ascii="Arial" w:cs="Arial" w:eastAsia="Arial" w:hAnsi="Arial"/>
          <w:sz w:val="20"/>
          <w:szCs w:val="20"/>
          <w:b w:val="1"/>
          <w:bCs w:val="1"/>
          <w:i w:val="1"/>
          <w:iCs w:val="1"/>
          <w:color w:val="auto"/>
        </w:rPr>
        <w:t>No Company Securities Subject to Margin Calls</w:t>
      </w:r>
      <w:r>
        <w:rPr>
          <w:rFonts w:ascii="Arial" w:cs="Arial" w:eastAsia="Arial" w:hAnsi="Arial"/>
          <w:sz w:val="20"/>
          <w:szCs w:val="20"/>
          <w:color w:val="auto"/>
        </w:rPr>
        <w:t>. No Insider may use the Company’s securities as collateral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margin account.</w:t>
      </w:r>
    </w:p>
    <w:p>
      <w:pPr>
        <w:spacing w:after="0" w:line="141" w:lineRule="exact"/>
        <w:rPr>
          <w:sz w:val="20"/>
          <w:szCs w:val="20"/>
          <w:color w:val="auto"/>
        </w:rPr>
      </w:pPr>
    </w:p>
    <w:p>
      <w:pPr>
        <w:ind w:left="520" w:hanging="471"/>
        <w:spacing w:after="0"/>
        <w:tabs>
          <w:tab w:leader="none" w:pos="520" w:val="left"/>
        </w:tabs>
        <w:numPr>
          <w:ilvl w:val="0"/>
          <w:numId w:val="129"/>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Pre-Clearance Procedures</w:t>
      </w:r>
    </w:p>
    <w:p>
      <w:pPr>
        <w:spacing w:after="0" w:line="229" w:lineRule="exact"/>
        <w:rPr>
          <w:sz w:val="20"/>
          <w:szCs w:val="20"/>
          <w:color w:val="auto"/>
        </w:rPr>
      </w:pPr>
    </w:p>
    <w:p>
      <w:pPr>
        <w:jc w:val="both"/>
        <w:ind w:left="40"/>
        <w:spacing w:after="0" w:line="262" w:lineRule="auto"/>
        <w:rPr>
          <w:sz w:val="20"/>
          <w:szCs w:val="20"/>
          <w:color w:val="auto"/>
        </w:rPr>
      </w:pPr>
      <w:r>
        <w:rPr>
          <w:rFonts w:ascii="Arial" w:cs="Arial" w:eastAsia="Arial" w:hAnsi="Arial"/>
          <w:sz w:val="20"/>
          <w:szCs w:val="20"/>
          <w:color w:val="auto"/>
        </w:rPr>
        <w:t>No Insider may trade in our securities, even during an open trading window, unless the trade has been approved by the Compliance Officer in accordance with the procedures described below. Gifts of Company securities are considered a trade in</w:t>
      </w:r>
    </w:p>
    <w:p>
      <w:pPr>
        <w:sectPr>
          <w:pgSz w:w="11900" w:h="16838" w:orient="portrait"/>
          <w:cols w:equalWidth="0" w:num="1">
            <w:col w:w="10260"/>
          </w:cols>
          <w:pgMar w:left="1300" w:top="1414" w:right="339" w:bottom="1440" w:gutter="0" w:footer="0" w:header="0"/>
        </w:sectPr>
      </w:pPr>
    </w:p>
    <w:bookmarkStart w:id="195" w:name="page196"/>
    <w:bookmarkEnd w:id="195"/>
    <w:p>
      <w:pPr>
        <w:jc w:val="both"/>
        <w:ind w:left="800"/>
        <w:spacing w:after="0" w:line="262" w:lineRule="auto"/>
        <w:rPr>
          <w:sz w:val="20"/>
          <w:szCs w:val="20"/>
          <w:color w:val="auto"/>
        </w:rPr>
      </w:pPr>
      <w:r>
        <w:rPr>
          <w:rFonts w:ascii="Arial" w:cs="Arial" w:eastAsia="Arial" w:hAnsi="Arial"/>
          <w:sz w:val="20"/>
          <w:szCs w:val="20"/>
          <w:color w:val="auto"/>
        </w:rPr>
        <w:t>securities for purposes of this Part II.B. In reviewing trading requests, the Compliance Officer may consult with our other officers and/or outside legal counsel and will seek approval of their own trades from the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Procedures</w:t>
      </w:r>
      <w:r>
        <w:rPr>
          <w:rFonts w:ascii="Arial" w:cs="Arial" w:eastAsia="Arial" w:hAnsi="Arial"/>
          <w:sz w:val="20"/>
          <w:szCs w:val="20"/>
          <w:color w:val="auto"/>
        </w:rPr>
        <w:t>. No Insider may trade in Company securities until:</w:t>
      </w:r>
    </w:p>
    <w:p>
      <w:pPr>
        <w:spacing w:after="0" w:line="216" w:lineRule="exact"/>
        <w:rPr>
          <w:sz w:val="20"/>
          <w:szCs w:val="20"/>
          <w:color w:val="auto"/>
        </w:rPr>
      </w:pPr>
    </w:p>
    <w:p>
      <w:pPr>
        <w:ind w:left="1080" w:hanging="320"/>
        <w:spacing w:after="0" w:line="254" w:lineRule="auto"/>
        <w:tabs>
          <w:tab w:leader="none" w:pos="1068" w:val="left"/>
        </w:tabs>
        <w:numPr>
          <w:ilvl w:val="0"/>
          <w:numId w:val="130"/>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the Insider has notified the Compliance Officer of the amount and nature of the proposed trade(s) using the </w:t>
      </w:r>
      <w:r>
        <w:rPr>
          <w:rFonts w:ascii="Arial" w:cs="Arial" w:eastAsia="Arial" w:hAnsi="Arial"/>
          <w:sz w:val="20"/>
          <w:szCs w:val="20"/>
          <w:b w:val="1"/>
          <w:bCs w:val="1"/>
          <w:color w:val="auto"/>
        </w:rPr>
        <w:t xml:space="preserve">Share Transaction Request Form </w:t>
      </w:r>
      <w:r>
        <w:rPr>
          <w:rFonts w:ascii="Arial" w:cs="Arial" w:eastAsia="Arial" w:hAnsi="Arial"/>
          <w:sz w:val="20"/>
          <w:szCs w:val="20"/>
          <w:color w:val="auto"/>
        </w:rPr>
        <w:t>(which may be requested from the Compliance Officer at any time) or through</w:t>
      </w:r>
      <w:r>
        <w:rPr>
          <w:rFonts w:ascii="Arial" w:cs="Arial" w:eastAsia="Arial" w:hAnsi="Arial"/>
          <w:sz w:val="20"/>
          <w:szCs w:val="20"/>
          <w:b w:val="1"/>
          <w:bCs w:val="1"/>
          <w:color w:val="auto"/>
        </w:rPr>
        <w:t xml:space="preserve"> </w:t>
      </w:r>
      <w:r>
        <w:rPr>
          <w:rFonts w:ascii="Arial" w:cs="Arial" w:eastAsia="Arial" w:hAnsi="Arial"/>
          <w:sz w:val="20"/>
          <w:szCs w:val="20"/>
          <w:color w:val="auto"/>
        </w:rPr>
        <w:t>such other means as the Compliance Officer may specify (such form or other means of request being referred to as the “Share Transaction Request” for the purposes of this Insider Trading Policy). In order to provide adequate time for the preparation of any required reports under Section 16 of the Exchange Act, if and when required, a Share Transaction Request should, if practicable, be received by the Compliance Officer at least two (2) business days prior to the intended trade date;</w:t>
      </w:r>
    </w:p>
    <w:p>
      <w:pPr>
        <w:spacing w:after="0" w:line="77" w:lineRule="exact"/>
        <w:rPr>
          <w:rFonts w:ascii="Times New Roman" w:cs="Times New Roman" w:eastAsia="Times New Roman" w:hAnsi="Times New Roman"/>
          <w:sz w:val="20"/>
          <w:szCs w:val="20"/>
          <w:color w:val="auto"/>
        </w:rPr>
      </w:pPr>
    </w:p>
    <w:p>
      <w:pPr>
        <w:ind w:left="1080" w:right="60" w:hanging="320"/>
        <w:spacing w:after="0" w:line="271" w:lineRule="auto"/>
        <w:tabs>
          <w:tab w:leader="none" w:pos="1068" w:val="left"/>
        </w:tabs>
        <w:numPr>
          <w:ilvl w:val="0"/>
          <w:numId w:val="130"/>
        </w:numPr>
        <w:rPr>
          <w:rFonts w:ascii="Times New Roman" w:cs="Times New Roman" w:eastAsia="Times New Roman" w:hAnsi="Times New Roman"/>
          <w:sz w:val="20"/>
          <w:szCs w:val="20"/>
          <w:color w:val="auto"/>
        </w:rPr>
      </w:pPr>
      <w:r>
        <w:rPr>
          <w:rFonts w:ascii="Arial" w:cs="Arial" w:eastAsia="Arial" w:hAnsi="Arial"/>
          <w:sz w:val="20"/>
          <w:szCs w:val="20"/>
          <w:color w:val="auto"/>
        </w:rPr>
        <w:t>the Insider has certified to the Compliance Officer in writing prior to the proposed trade(s) that the Insider is not in possession of material, non-public information concerning the Company;</w:t>
      </w:r>
    </w:p>
    <w:p>
      <w:pPr>
        <w:spacing w:after="0" w:line="60" w:lineRule="exact"/>
        <w:rPr>
          <w:rFonts w:ascii="Times New Roman" w:cs="Times New Roman" w:eastAsia="Times New Roman" w:hAnsi="Times New Roman"/>
          <w:sz w:val="20"/>
          <w:szCs w:val="20"/>
          <w:color w:val="auto"/>
        </w:rPr>
      </w:pPr>
    </w:p>
    <w:p>
      <w:pPr>
        <w:ind w:left="1080" w:right="80" w:hanging="320"/>
        <w:spacing w:after="0" w:line="254" w:lineRule="auto"/>
        <w:tabs>
          <w:tab w:leader="none" w:pos="1068" w:val="left"/>
        </w:tabs>
        <w:numPr>
          <w:ilvl w:val="0"/>
          <w:numId w:val="130"/>
        </w:numPr>
        <w:rPr>
          <w:rFonts w:ascii="Times New Roman" w:cs="Times New Roman" w:eastAsia="Times New Roman" w:hAnsi="Times New Roman"/>
          <w:sz w:val="20"/>
          <w:szCs w:val="20"/>
          <w:color w:val="auto"/>
        </w:rPr>
      </w:pPr>
      <w:r>
        <w:rPr>
          <w:rFonts w:ascii="Arial" w:cs="Arial" w:eastAsia="Arial" w:hAnsi="Arial"/>
          <w:sz w:val="20"/>
          <w:szCs w:val="20"/>
          <w:color w:val="auto"/>
        </w:rPr>
        <w:t>the Insider has informed the Compliance Officer, in the Share Transaction Request,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w:t>
      </w:r>
      <w:r>
        <w:rPr>
          <w:rFonts w:ascii="Arial" w:cs="Arial" w:eastAsia="Arial" w:hAnsi="Arial"/>
          <w:sz w:val="20"/>
          <w:szCs w:val="20"/>
          <w:b w:val="1"/>
          <w:bCs w:val="1"/>
          <w:color w:val="auto"/>
        </w:rPr>
        <w:t>Rule 144</w:t>
      </w:r>
      <w:r>
        <w:rPr>
          <w:rFonts w:ascii="Arial" w:cs="Arial" w:eastAsia="Arial" w:hAnsi="Arial"/>
          <w:sz w:val="20"/>
          <w:szCs w:val="20"/>
          <w:color w:val="auto"/>
        </w:rPr>
        <w:t>”)), whether the transaction meets all of the applicable conditions of Rule 144; and</w:t>
      </w:r>
    </w:p>
    <w:p>
      <w:pPr>
        <w:spacing w:after="0" w:line="64" w:lineRule="exact"/>
        <w:rPr>
          <w:rFonts w:ascii="Times New Roman" w:cs="Times New Roman" w:eastAsia="Times New Roman" w:hAnsi="Times New Roman"/>
          <w:sz w:val="20"/>
          <w:szCs w:val="20"/>
          <w:color w:val="auto"/>
        </w:rPr>
      </w:pPr>
    </w:p>
    <w:p>
      <w:pPr>
        <w:ind w:left="1080" w:right="420" w:hanging="320"/>
        <w:spacing w:after="0" w:line="262" w:lineRule="auto"/>
        <w:tabs>
          <w:tab w:leader="none" w:pos="1068" w:val="left"/>
        </w:tabs>
        <w:numPr>
          <w:ilvl w:val="0"/>
          <w:numId w:val="130"/>
        </w:numPr>
        <w:rPr>
          <w:rFonts w:ascii="Times New Roman" w:cs="Times New Roman" w:eastAsia="Times New Roman" w:hAnsi="Times New Roman"/>
          <w:sz w:val="20"/>
          <w:szCs w:val="20"/>
          <w:color w:val="auto"/>
        </w:rPr>
      </w:pPr>
      <w:r>
        <w:rPr>
          <w:rFonts w:ascii="Arial" w:cs="Arial" w:eastAsia="Arial" w:hAnsi="Arial"/>
          <w:sz w:val="20"/>
          <w:szCs w:val="20"/>
          <w:color w:val="auto"/>
        </w:rPr>
        <w:t>the Compliance Officer or his or her designee has approved the trade(s) and has certified such approval in writing. Such certification may be made via digitally-signed electronic mail or other means as the Compliance Officer may specify.</w:t>
      </w:r>
    </w:p>
    <w:p>
      <w:pPr>
        <w:spacing w:after="0" w:line="69" w:lineRule="exact"/>
        <w:rPr>
          <w:sz w:val="20"/>
          <w:szCs w:val="20"/>
          <w:color w:val="auto"/>
        </w:rPr>
      </w:pPr>
    </w:p>
    <w:p>
      <w:pPr>
        <w:jc w:val="both"/>
        <w:ind w:left="800" w:right="20"/>
        <w:spacing w:after="0" w:line="286" w:lineRule="auto"/>
        <w:rPr>
          <w:sz w:val="20"/>
          <w:szCs w:val="20"/>
          <w:color w:val="auto"/>
        </w:rPr>
      </w:pPr>
      <w:r>
        <w:rPr>
          <w:rFonts w:ascii="Arial" w:cs="Arial" w:eastAsia="Arial" w:hAnsi="Arial"/>
          <w:sz w:val="20"/>
          <w:szCs w:val="20"/>
          <w:color w:val="auto"/>
        </w:rPr>
        <w:t>The Compliance Officer does not assume the responsibility for, and approval from the Compliance Officer does not protect the Insider from, the consequences of prohibited insider trading.</w:t>
      </w:r>
    </w:p>
    <w:p>
      <w:pPr>
        <w:spacing w:after="0" w:line="32" w:lineRule="exact"/>
        <w:rPr>
          <w:sz w:val="20"/>
          <w:szCs w:val="20"/>
          <w:color w:val="auto"/>
        </w:rPr>
      </w:pPr>
    </w:p>
    <w:p>
      <w:pPr>
        <w:jc w:val="both"/>
        <w:ind w:left="800"/>
        <w:spacing w:after="0" w:line="262" w:lineRule="auto"/>
        <w:rPr>
          <w:sz w:val="20"/>
          <w:szCs w:val="20"/>
          <w:color w:val="auto"/>
        </w:rPr>
      </w:pPr>
      <w:r>
        <w:rPr>
          <w:rFonts w:ascii="Arial" w:cs="Arial" w:eastAsia="Arial" w:hAnsi="Arial"/>
          <w:sz w:val="20"/>
          <w:szCs w:val="20"/>
          <w:b w:val="1"/>
          <w:bCs w:val="1"/>
          <w:i w:val="1"/>
          <w:iCs w:val="1"/>
          <w:color w:val="auto"/>
        </w:rPr>
        <w:t>Additional Information</w:t>
      </w:r>
      <w:r>
        <w:rPr>
          <w:rFonts w:ascii="Arial" w:cs="Arial" w:eastAsia="Arial" w:hAnsi="Arial"/>
          <w:sz w:val="20"/>
          <w:szCs w:val="20"/>
          <w:color w:val="auto"/>
        </w:rPr>
        <w:t>. Insiders shall provide to the Compliance Officer any documentation reasonably requested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him or her in furtherance of the foregoing procedures. Any failure to provide such requested information will be grounds for denial of approval by the Compliance Officer.</w:t>
      </w:r>
    </w:p>
    <w:p>
      <w:pPr>
        <w:spacing w:after="0" w:line="178" w:lineRule="exact"/>
        <w:rPr>
          <w:sz w:val="20"/>
          <w:szCs w:val="20"/>
          <w:color w:val="auto"/>
        </w:rPr>
      </w:pPr>
    </w:p>
    <w:p>
      <w:pPr>
        <w:jc w:val="both"/>
        <w:ind w:left="800"/>
        <w:spacing w:after="0" w:line="262" w:lineRule="auto"/>
        <w:rPr>
          <w:sz w:val="20"/>
          <w:szCs w:val="20"/>
          <w:color w:val="auto"/>
        </w:rPr>
      </w:pPr>
      <w:r>
        <w:rPr>
          <w:rFonts w:ascii="Arial" w:cs="Arial" w:eastAsia="Arial" w:hAnsi="Arial"/>
          <w:sz w:val="20"/>
          <w:szCs w:val="20"/>
          <w:b w:val="1"/>
          <w:bCs w:val="1"/>
          <w:i w:val="1"/>
          <w:iCs w:val="1"/>
          <w:color w:val="auto"/>
        </w:rPr>
        <w:t>No Obligation to Approve Trades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existence of the foregoing approval procedures does not in any way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obligate the Compliance Officer to approve any trade requested by an Insider. The Compliance Officer may reject any trading request at his or her sole discretion.</w:t>
      </w:r>
    </w:p>
    <w:p>
      <w:pPr>
        <w:spacing w:after="0" w:line="178" w:lineRule="exact"/>
        <w:rPr>
          <w:sz w:val="20"/>
          <w:szCs w:val="20"/>
          <w:color w:val="auto"/>
        </w:rPr>
      </w:pPr>
    </w:p>
    <w:p>
      <w:pPr>
        <w:jc w:val="both"/>
        <w:ind w:left="800"/>
        <w:spacing w:after="0" w:line="262" w:lineRule="auto"/>
        <w:rPr>
          <w:sz w:val="20"/>
          <w:szCs w:val="20"/>
          <w:color w:val="auto"/>
        </w:rPr>
      </w:pPr>
      <w:r>
        <w:rPr>
          <w:rFonts w:ascii="Arial" w:cs="Arial" w:eastAsia="Arial" w:hAnsi="Arial"/>
          <w:sz w:val="20"/>
          <w:szCs w:val="20"/>
          <w:b w:val="1"/>
          <w:bCs w:val="1"/>
          <w:i w:val="1"/>
          <w:iCs w:val="1"/>
          <w:color w:val="auto"/>
        </w:rPr>
        <w:t>Completion of Trades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After receiving written clearance to engage in a trade signed by the Compliance Officer,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Insider must complete the proposed trade within two (2) business days or make a new trading request. Even if an Insider has</w:t>
      </w:r>
    </w:p>
    <w:p>
      <w:pPr>
        <w:sectPr>
          <w:pgSz w:w="11900" w:h="16838" w:orient="portrait"/>
          <w:cols w:equalWidth="0" w:num="1">
            <w:col w:w="11020"/>
          </w:cols>
          <w:pgMar w:left="540" w:top="1414" w:right="339" w:bottom="1440" w:gutter="0" w:footer="0" w:header="0"/>
        </w:sectPr>
      </w:pPr>
    </w:p>
    <w:bookmarkStart w:id="196" w:name="page197"/>
    <w:bookmarkEnd w:id="196"/>
    <w:p>
      <w:pPr>
        <w:jc w:val="both"/>
        <w:spacing w:after="0" w:line="262" w:lineRule="auto"/>
        <w:rPr>
          <w:sz w:val="20"/>
          <w:szCs w:val="20"/>
          <w:color w:val="auto"/>
        </w:rPr>
      </w:pPr>
      <w:r>
        <w:rPr>
          <w:rFonts w:ascii="Arial" w:cs="Arial" w:eastAsia="Arial" w:hAnsi="Arial"/>
          <w:sz w:val="20"/>
          <w:szCs w:val="20"/>
          <w:color w:val="auto"/>
        </w:rPr>
        <w:t>received clearance, the Insider may not engage in a trade if (i) such clearance has been rescinded by the Compliance Officer, (ii) the Insider has otherwise received notice that the trading window has closed or (iii) the Insider has or acquires material non-public information.</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Post-Trade Reporting</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transactions in the Company’s securities by an Insider (including transactions effected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pursuant to a Rule 10b5-1 Plan) must be reported to the Compliance Officer by completing the “Confirmation of Transaction” section of the Share Transaction Request Form (which may be requested from the Compliance Officer at any time) or such other means as the Compliance Officer may specify, on the same day in which such a transaction occurs. Each report an Insider makes to the Compliance Officer should include the date of the transaction, quantity of securities, price and broker-dealer through which the transaction was effected. This reporting requirement may be satisfied by sending (or having such Insider’s broker send) duplicate confirmations of trades to the Compliance Officer if such information is received by the Compliance Officer on or before the required date. Compliance by directors and executive officers with this provision is imperative given the requirement of Section 16 of the Exchange Act that these persons generally must report changes in ownership of Company securities within two (2) business days. The sanctions for noncompliance with this reporting deadline include mandatory disclosure in the Company’s proxy statement for the next annual meeting of shareholders, as well as possible civil or criminal sanctions for chronic or egregious violators.</w:t>
      </w:r>
    </w:p>
    <w:p>
      <w:pPr>
        <w:spacing w:after="0" w:line="193" w:lineRule="exact"/>
        <w:rPr>
          <w:sz w:val="20"/>
          <w:szCs w:val="20"/>
          <w:color w:val="auto"/>
        </w:rPr>
      </w:pPr>
    </w:p>
    <w:p>
      <w:pPr>
        <w:ind w:left="480" w:hanging="471"/>
        <w:spacing w:after="0"/>
        <w:tabs>
          <w:tab w:leader="none" w:pos="480" w:val="left"/>
        </w:tabs>
        <w:numPr>
          <w:ilvl w:val="0"/>
          <w:numId w:val="13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Exemptions</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Pre-Approved Rule 10b5-1 Plan. Transactions effected pursuant to a Rule 10b5-1 Plan (as defined below) will not be subject to the Company’s trading windows or pre-clearance procedures, and Insiders are not required to complete a Share Transaction Request for such transactions. Rule 10b5-1 of the Exchange Act provides an affirmative defence from insider trading liability under the federal securities laws for trading plans, arrangements or instructions that meet certain requirements. A trading plan, arrangement or instruction that meets the requirements of Rule 10b5-1 (a “</w:t>
      </w:r>
      <w:r>
        <w:rPr>
          <w:rFonts w:ascii="Arial" w:cs="Arial" w:eastAsia="Arial" w:hAnsi="Arial"/>
          <w:sz w:val="20"/>
          <w:szCs w:val="20"/>
          <w:b w:val="1"/>
          <w:bCs w:val="1"/>
          <w:color w:val="auto"/>
        </w:rPr>
        <w:t>Rule</w:t>
      </w:r>
      <w:r>
        <w:rPr>
          <w:rFonts w:ascii="Arial" w:cs="Arial" w:eastAsia="Arial" w:hAnsi="Arial"/>
          <w:sz w:val="20"/>
          <w:szCs w:val="20"/>
          <w:color w:val="auto"/>
        </w:rPr>
        <w:t xml:space="preserve"> </w:t>
      </w:r>
      <w:r>
        <w:rPr>
          <w:rFonts w:ascii="Arial" w:cs="Arial" w:eastAsia="Arial" w:hAnsi="Arial"/>
          <w:sz w:val="20"/>
          <w:szCs w:val="20"/>
          <w:b w:val="1"/>
          <w:bCs w:val="1"/>
          <w:color w:val="auto"/>
        </w:rPr>
        <w:t>10b5-1 Plan</w:t>
      </w:r>
      <w:r>
        <w:rPr>
          <w:rFonts w:ascii="Arial" w:cs="Arial" w:eastAsia="Arial" w:hAnsi="Arial"/>
          <w:sz w:val="20"/>
          <w:szCs w:val="20"/>
          <w:color w:val="auto"/>
        </w:rPr>
        <w:t>”) enables Insiders to establish arrangements to trade in Company securities outside of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trading windows, even when in possession of material, non-public information.</w:t>
      </w:r>
    </w:p>
    <w:p>
      <w:pPr>
        <w:spacing w:after="0" w:line="173"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 Company has adopted a separate Rule 10b5-1 Trading Plan Policy that sets forth the requirements for putting in place a Rule 10b5-1 Plan with respect to Company securities.</w:t>
      </w:r>
    </w:p>
    <w:p>
      <w:pPr>
        <w:spacing w:after="0" w:line="140" w:lineRule="exact"/>
        <w:rPr>
          <w:sz w:val="20"/>
          <w:szCs w:val="20"/>
          <w:color w:val="auto"/>
        </w:rPr>
      </w:pPr>
    </w:p>
    <w:p>
      <w:pPr>
        <w:ind w:left="480" w:hanging="471"/>
        <w:spacing w:after="0"/>
        <w:tabs>
          <w:tab w:leader="none" w:pos="480" w:val="left"/>
        </w:tabs>
        <w:numPr>
          <w:ilvl w:val="0"/>
          <w:numId w:val="13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Employee Benefit Plans.</w:t>
      </w:r>
    </w:p>
    <w:p>
      <w:pPr>
        <w:spacing w:after="0" w:line="227" w:lineRule="exact"/>
        <w:rPr>
          <w:sz w:val="20"/>
          <w:szCs w:val="20"/>
          <w:color w:val="auto"/>
        </w:rPr>
      </w:pPr>
    </w:p>
    <w:p>
      <w:pPr>
        <w:jc w:val="both"/>
        <w:ind w:firstLine="9"/>
        <w:spacing w:after="0" w:line="260" w:lineRule="auto"/>
        <w:tabs>
          <w:tab w:leader="none" w:pos="398" w:val="left"/>
        </w:tabs>
        <w:numPr>
          <w:ilvl w:val="0"/>
          <w:numId w:val="133"/>
        </w:numPr>
        <w:rPr>
          <w:rFonts w:ascii="Arial" w:cs="Arial" w:eastAsia="Arial" w:hAnsi="Arial"/>
          <w:sz w:val="20"/>
          <w:szCs w:val="20"/>
          <w:color w:val="auto"/>
        </w:rPr>
      </w:pPr>
      <w:r>
        <w:rPr>
          <w:rFonts w:ascii="Arial" w:cs="Arial" w:eastAsia="Arial" w:hAnsi="Arial"/>
          <w:sz w:val="20"/>
          <w:szCs w:val="20"/>
          <w:b w:val="1"/>
          <w:bCs w:val="1"/>
          <w:color w:val="auto"/>
        </w:rPr>
        <w:t>Exercise of Share Options</w:t>
      </w:r>
      <w:r>
        <w:rPr>
          <w:rFonts w:ascii="Arial" w:cs="Arial" w:eastAsia="Arial" w:hAnsi="Arial"/>
          <w:sz w:val="20"/>
          <w:szCs w:val="20"/>
          <w:color w:val="auto"/>
        </w:rPr>
        <w:t>. The trading prohibitions and restrictions set forth in the Trading Procedures do not</w:t>
      </w:r>
      <w:r>
        <w:rPr>
          <w:rFonts w:ascii="Arial" w:cs="Arial" w:eastAsia="Arial" w:hAnsi="Arial"/>
          <w:sz w:val="20"/>
          <w:szCs w:val="20"/>
          <w:b w:val="1"/>
          <w:bCs w:val="1"/>
          <w:color w:val="auto"/>
        </w:rPr>
        <w:t xml:space="preserve"> </w:t>
      </w:r>
      <w:r>
        <w:rPr>
          <w:rFonts w:ascii="Arial" w:cs="Arial" w:eastAsia="Arial" w:hAnsi="Arial"/>
          <w:sz w:val="20"/>
          <w:szCs w:val="20"/>
          <w:color w:val="auto"/>
        </w:rPr>
        <w:t>apply to the exercise of an option to purchase securities of the Company when payment of the exercise price is made in cash. However, the exercise of an option to purchase securities of the Company is subject to the current reporting requirements of Section 16 of the Exchange Act and,</w:t>
      </w:r>
    </w:p>
    <w:p>
      <w:pPr>
        <w:sectPr>
          <w:pgSz w:w="11900" w:h="16838" w:orient="portrait"/>
          <w:cols w:equalWidth="0" w:num="1">
            <w:col w:w="10220"/>
          </w:cols>
          <w:pgMar w:left="1340" w:top="1414" w:right="339" w:bottom="1440" w:gutter="0" w:footer="0" w:header="0"/>
        </w:sectPr>
      </w:pPr>
    </w:p>
    <w:bookmarkStart w:id="197" w:name="page198"/>
    <w:bookmarkEnd w:id="197"/>
    <w:p>
      <w:pPr>
        <w:jc w:val="both"/>
        <w:spacing w:after="0" w:line="269" w:lineRule="auto"/>
        <w:rPr>
          <w:sz w:val="20"/>
          <w:szCs w:val="20"/>
          <w:color w:val="auto"/>
        </w:rPr>
      </w:pPr>
      <w:r>
        <w:rPr>
          <w:rFonts w:ascii="Arial" w:cs="Arial" w:eastAsia="Arial" w:hAnsi="Arial"/>
          <w:sz w:val="19"/>
          <w:szCs w:val="19"/>
          <w:color w:val="auto"/>
        </w:rPr>
        <w:t>therefore, Insiders must comply with the post-trade reporting requirement described in Section C above for any such transaction. In addition, the securities acquired upon the exercise of an option to purchase Company securities are subject to all of the requirements of this Insider Trading Policy, including the Trading Procedures contained herein. Moreover, the Trading Procedures apply to the use of outstanding Company securities to constitute part or all of the exercise price of an option, any net option exercise, any exercise of a security appreciation right, share withholding, any sale of securities as part of a broker-assisted cashless exercise of an option, or any other market sale for the purpose of generating the cash needed to pay the exercise price of an option.</w:t>
      </w:r>
    </w:p>
    <w:p>
      <w:pPr>
        <w:spacing w:after="0" w:line="160" w:lineRule="exact"/>
        <w:rPr>
          <w:sz w:val="20"/>
          <w:szCs w:val="20"/>
          <w:color w:val="auto"/>
        </w:rPr>
      </w:pPr>
    </w:p>
    <w:p>
      <w:pPr>
        <w:jc w:val="both"/>
        <w:ind w:firstLine="9"/>
        <w:spacing w:after="0" w:line="258" w:lineRule="auto"/>
        <w:tabs>
          <w:tab w:leader="none" w:pos="467" w:val="left"/>
        </w:tabs>
        <w:numPr>
          <w:ilvl w:val="0"/>
          <w:numId w:val="134"/>
        </w:numPr>
        <w:rPr>
          <w:rFonts w:ascii="Arial" w:cs="Arial" w:eastAsia="Arial" w:hAnsi="Arial"/>
          <w:sz w:val="20"/>
          <w:szCs w:val="20"/>
          <w:color w:val="auto"/>
        </w:rPr>
      </w:pPr>
      <w:r>
        <w:rPr>
          <w:rFonts w:ascii="Arial" w:cs="Arial" w:eastAsia="Arial" w:hAnsi="Arial"/>
          <w:sz w:val="20"/>
          <w:szCs w:val="20"/>
          <w:b w:val="1"/>
          <w:bCs w:val="1"/>
          <w:color w:val="auto"/>
        </w:rPr>
        <w:t>Tax Withholding on Restricted Share/Units</w:t>
      </w:r>
      <w:r>
        <w:rPr>
          <w:rFonts w:ascii="Arial" w:cs="Arial" w:eastAsia="Arial" w:hAnsi="Arial"/>
          <w:sz w:val="20"/>
          <w:szCs w:val="20"/>
          <w:color w:val="auto"/>
        </w:rPr>
        <w:t>. The trading prohibitions and restrictions set forth in the Trading</w:t>
      </w:r>
      <w:r>
        <w:rPr>
          <w:rFonts w:ascii="Arial" w:cs="Arial" w:eastAsia="Arial" w:hAnsi="Arial"/>
          <w:sz w:val="20"/>
          <w:szCs w:val="20"/>
          <w:b w:val="1"/>
          <w:bCs w:val="1"/>
          <w:color w:val="auto"/>
        </w:rPr>
        <w:t xml:space="preserve"> </w:t>
      </w:r>
      <w:r>
        <w:rPr>
          <w:rFonts w:ascii="Arial" w:cs="Arial" w:eastAsia="Arial" w:hAnsi="Arial"/>
          <w:sz w:val="20"/>
          <w:szCs w:val="20"/>
          <w:color w:val="auto"/>
        </w:rPr>
        <w:t>Procedures do not apply to the withholding by the Company of securities upon vesting of restricted shares or upon settlement of restricted share units to satisfy applicable tax withholding requirements if: (a) such withholding is required by the applicable plan or award agreement or Company policy; or (b) the election to exercise such tax withholding right was made by the Insider in compliance with the Trading Procedures.</w:t>
      </w:r>
    </w:p>
    <w:p>
      <w:pPr>
        <w:spacing w:after="0" w:line="59" w:lineRule="exact"/>
        <w:rPr>
          <w:rFonts w:ascii="Arial" w:cs="Arial" w:eastAsia="Arial" w:hAnsi="Arial"/>
          <w:sz w:val="20"/>
          <w:szCs w:val="20"/>
          <w:color w:val="auto"/>
        </w:rPr>
      </w:pPr>
    </w:p>
    <w:p>
      <w:pPr>
        <w:jc w:val="both"/>
        <w:ind w:firstLine="9"/>
        <w:spacing w:after="0" w:line="265" w:lineRule="auto"/>
        <w:tabs>
          <w:tab w:leader="none" w:pos="425" w:val="left"/>
        </w:tabs>
        <w:numPr>
          <w:ilvl w:val="0"/>
          <w:numId w:val="134"/>
        </w:numPr>
        <w:rPr>
          <w:rFonts w:ascii="Arial" w:cs="Arial" w:eastAsia="Arial" w:hAnsi="Arial"/>
          <w:sz w:val="19"/>
          <w:szCs w:val="19"/>
          <w:color w:val="auto"/>
        </w:rPr>
      </w:pPr>
      <w:r>
        <w:rPr>
          <w:rFonts w:ascii="Arial" w:cs="Arial" w:eastAsia="Arial" w:hAnsi="Arial"/>
          <w:sz w:val="19"/>
          <w:szCs w:val="19"/>
          <w:b w:val="1"/>
          <w:bCs w:val="1"/>
          <w:color w:val="auto"/>
        </w:rPr>
        <w:t>Employee Share Purchase Plan</w:t>
      </w:r>
      <w:r>
        <w:rPr>
          <w:rFonts w:ascii="Arial" w:cs="Arial" w:eastAsia="Arial" w:hAnsi="Arial"/>
          <w:sz w:val="19"/>
          <w:szCs w:val="19"/>
          <w:color w:val="auto"/>
        </w:rPr>
        <w:t>. The trading prohibitions and restrictions set forth in the Trading Procedures</w:t>
      </w:r>
      <w:r>
        <w:rPr>
          <w:rFonts w:ascii="Arial" w:cs="Arial" w:eastAsia="Arial" w:hAnsi="Arial"/>
          <w:sz w:val="19"/>
          <w:szCs w:val="19"/>
          <w:b w:val="1"/>
          <w:bCs w:val="1"/>
          <w:color w:val="auto"/>
        </w:rPr>
        <w:t xml:space="preserve"> </w:t>
      </w:r>
      <w:r>
        <w:rPr>
          <w:rFonts w:ascii="Arial" w:cs="Arial" w:eastAsia="Arial" w:hAnsi="Arial"/>
          <w:sz w:val="19"/>
          <w:szCs w:val="19"/>
          <w:color w:val="auto"/>
        </w:rPr>
        <w:t>do not apply to periodic wage withholding contributions by the Company or employees of the Company which are used to purchase the Company’s securities pursuant to the employees’ advance instructions under the Company’s 2021 Employee Share Purchase Plan. However, no Insider may: (a) elect to participate in the plan or alter his or her instructions regarding the level of withholding or purchase by the Insider of Company securities under such plan; or</w:t>
      </w:r>
    </w:p>
    <w:p>
      <w:pPr>
        <w:spacing w:after="0" w:line="1" w:lineRule="exact"/>
        <w:rPr>
          <w:rFonts w:ascii="Arial" w:cs="Arial" w:eastAsia="Arial" w:hAnsi="Arial"/>
          <w:sz w:val="19"/>
          <w:szCs w:val="19"/>
          <w:color w:val="auto"/>
        </w:rPr>
      </w:pPr>
    </w:p>
    <w:p>
      <w:pPr>
        <w:jc w:val="both"/>
        <w:spacing w:after="0" w:line="253" w:lineRule="auto"/>
        <w:rPr>
          <w:rFonts w:ascii="Arial" w:cs="Arial" w:eastAsia="Arial" w:hAnsi="Arial"/>
          <w:sz w:val="19"/>
          <w:szCs w:val="19"/>
          <w:color w:val="auto"/>
        </w:rPr>
      </w:pPr>
      <w:r>
        <w:rPr>
          <w:rFonts w:ascii="Arial" w:cs="Arial" w:eastAsia="Arial" w:hAnsi="Arial"/>
          <w:sz w:val="20"/>
          <w:szCs w:val="20"/>
          <w:color w:val="auto"/>
        </w:rPr>
        <w:t>(b) make cash contributions to such plan (other than through periodic wage withholding) without complying with the Trading Procedures. Any sale of securities acquired under such plan is subject to the prohibitions and restrictions of the Trading Procedures.</w:t>
      </w:r>
    </w:p>
    <w:p>
      <w:pPr>
        <w:spacing w:after="0" w:line="186" w:lineRule="exact"/>
        <w:rPr>
          <w:sz w:val="20"/>
          <w:szCs w:val="20"/>
          <w:color w:val="auto"/>
        </w:rPr>
      </w:pPr>
    </w:p>
    <w:p>
      <w:pPr>
        <w:ind w:left="420" w:hanging="411"/>
        <w:spacing w:after="0"/>
        <w:tabs>
          <w:tab w:leader="none" w:pos="420" w:val="left"/>
        </w:tabs>
        <w:numPr>
          <w:ilvl w:val="0"/>
          <w:numId w:val="13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Waivers</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 waiver of any provision of this Insider Trading Policy, or the Trading Procedures contained herein, in a specific instance may be authorized in writing by the Compliance Officer or the Audit Committee of the Board, and any such waiver shall be reported to the Company’s Board of Directors.</w:t>
      </w:r>
    </w:p>
    <w:p>
      <w:pPr>
        <w:sectPr>
          <w:pgSz w:w="11900" w:h="16838" w:orient="portrait"/>
          <w:cols w:equalWidth="0" w:num="1">
            <w:col w:w="10220"/>
          </w:cols>
          <w:pgMar w:left="1340" w:top="1414" w:right="339" w:bottom="1440" w:gutter="0" w:footer="0" w:header="0"/>
        </w:sectPr>
      </w:pPr>
    </w:p>
    <w:bookmarkStart w:id="198" w:name="page199"/>
    <w:bookmarkEnd w:id="198"/>
    <w:p>
      <w:pPr>
        <w:ind w:left="340"/>
        <w:spacing w:after="0"/>
        <w:rPr>
          <w:sz w:val="20"/>
          <w:szCs w:val="20"/>
          <w:color w:val="auto"/>
        </w:rPr>
      </w:pPr>
      <w:r>
        <w:rPr>
          <w:rFonts w:ascii="Arial" w:cs="Arial" w:eastAsia="Arial" w:hAnsi="Arial"/>
          <w:sz w:val="20"/>
          <w:szCs w:val="20"/>
          <w:b w:val="1"/>
          <w:bCs w:val="1"/>
          <w:color w:val="auto"/>
        </w:rPr>
        <w:t>PART III. ACKNOWLEDGMENT</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This Insider Trading Policy will be delivered to all current Insiders and to all directors, officers, employees and designated consultants at the start of their employment or relationship with the Company. Upon first receiving a copy of this Insider Trading Policy, each individual must acknowledge that he or she has received a copy and agrees to comply with the terms of this Insider Trading Policy, and, if applicable, the Trading Procedures contained herein. The acknowledgment attached on Exhibit B must be returned within ten (10) days of receipt to:</w:t>
      </w:r>
    </w:p>
    <w:p>
      <w:pPr>
        <w:spacing w:after="0" w:line="187" w:lineRule="exact"/>
        <w:rPr>
          <w:sz w:val="20"/>
          <w:szCs w:val="20"/>
          <w:color w:val="auto"/>
        </w:rPr>
      </w:pPr>
    </w:p>
    <w:p>
      <w:pPr>
        <w:ind w:left="2340"/>
        <w:spacing w:after="0"/>
        <w:rPr>
          <w:sz w:val="20"/>
          <w:szCs w:val="20"/>
          <w:color w:val="auto"/>
        </w:rPr>
      </w:pPr>
      <w:r>
        <w:rPr>
          <w:rFonts w:ascii="Arial" w:cs="Arial" w:eastAsia="Arial" w:hAnsi="Arial"/>
          <w:sz w:val="20"/>
          <w:szCs w:val="20"/>
          <w:color w:val="auto"/>
        </w:rPr>
        <w:t>Chief Financial Officer (Insider Trading Compliance Officer)</w:t>
      </w:r>
    </w:p>
    <w:p>
      <w:pPr>
        <w:spacing w:after="0" w:line="18"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Vaccitech plc</w:t>
      </w:r>
    </w:p>
    <w:p>
      <w:pPr>
        <w:spacing w:after="0" w:line="13" w:lineRule="exact"/>
        <w:rPr>
          <w:sz w:val="20"/>
          <w:szCs w:val="20"/>
          <w:color w:val="auto"/>
        </w:rPr>
      </w:pPr>
    </w:p>
    <w:p>
      <w:pPr>
        <w:jc w:val="center"/>
        <w:ind w:right="820"/>
        <w:spacing w:after="0"/>
        <w:rPr>
          <w:sz w:val="20"/>
          <w:szCs w:val="20"/>
          <w:color w:val="auto"/>
        </w:rPr>
      </w:pPr>
      <w:r>
        <w:rPr>
          <w:rFonts w:ascii="Arial" w:cs="Arial" w:eastAsia="Arial" w:hAnsi="Arial"/>
          <w:sz w:val="20"/>
          <w:szCs w:val="20"/>
          <w:color w:val="auto"/>
        </w:rPr>
        <w:t>Unit 6-10, Zeus Building,</w:t>
      </w:r>
    </w:p>
    <w:p>
      <w:pPr>
        <w:jc w:val="center"/>
        <w:ind w:right="820"/>
        <w:spacing w:after="0"/>
        <w:rPr>
          <w:sz w:val="20"/>
          <w:szCs w:val="20"/>
          <w:color w:val="auto"/>
        </w:rPr>
      </w:pPr>
      <w:r>
        <w:rPr>
          <w:rFonts w:ascii="Arial" w:cs="Arial" w:eastAsia="Arial" w:hAnsi="Arial"/>
          <w:sz w:val="20"/>
          <w:szCs w:val="20"/>
          <w:color w:val="auto"/>
        </w:rPr>
        <w:t>Rutherford Avenue,</w:t>
      </w:r>
    </w:p>
    <w:p>
      <w:pPr>
        <w:spacing w:after="0" w:line="13" w:lineRule="exact"/>
        <w:rPr>
          <w:sz w:val="20"/>
          <w:szCs w:val="20"/>
          <w:color w:val="auto"/>
        </w:rPr>
      </w:pPr>
    </w:p>
    <w:p>
      <w:pPr>
        <w:jc w:val="center"/>
        <w:ind w:right="820"/>
        <w:spacing w:after="0"/>
        <w:rPr>
          <w:sz w:val="20"/>
          <w:szCs w:val="20"/>
          <w:color w:val="auto"/>
        </w:rPr>
      </w:pPr>
      <w:r>
        <w:rPr>
          <w:rFonts w:ascii="Arial" w:cs="Arial" w:eastAsia="Arial" w:hAnsi="Arial"/>
          <w:sz w:val="20"/>
          <w:szCs w:val="20"/>
          <w:color w:val="auto"/>
        </w:rPr>
        <w:t>Harwell, Didcot,</w:t>
      </w:r>
    </w:p>
    <w:p>
      <w:pPr>
        <w:spacing w:after="0" w:line="13" w:lineRule="exact"/>
        <w:rPr>
          <w:sz w:val="20"/>
          <w:szCs w:val="20"/>
          <w:color w:val="auto"/>
        </w:rPr>
      </w:pPr>
    </w:p>
    <w:p>
      <w:pPr>
        <w:jc w:val="center"/>
        <w:ind w:right="820"/>
        <w:spacing w:after="0"/>
        <w:rPr>
          <w:sz w:val="20"/>
          <w:szCs w:val="20"/>
          <w:color w:val="auto"/>
        </w:rPr>
      </w:pPr>
      <w:r>
        <w:rPr>
          <w:rFonts w:ascii="Arial" w:cs="Arial" w:eastAsia="Arial" w:hAnsi="Arial"/>
          <w:sz w:val="20"/>
          <w:szCs w:val="20"/>
          <w:color w:val="auto"/>
        </w:rPr>
        <w:t>United Kingdom, OX11 0DF</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acknowledgment may be delivered electronically, signed via electronic signature (including but not limited to DocuSign) or otherwise acknowledged via electronic means, as the Compliance Officer may determine from time to time.</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This acknowledgment will constitute consent for the Company to impose sanctions for violation of the Insider Trading Policy, including the Trading Procedures, and to issue any necessary stop-transfer orders to the Company’s transfer agent to ensure compliance.</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All directors, officers, employees and designated consultants will be required upon the Company’s request to re-acknowledge and agree to comply with the Insider Trading Policy (including any amendments or modifications). For such purpose, an individual will be deemed to have acknowledged and agreed to comply with the Insider Trading Policy, as amended from time to time, when copies of such items have been delivered by regular or electronic mail (or other delivery option used by the Company) by the Compliance Officer or his or her designee.</w:t>
      </w:r>
    </w:p>
    <w:p>
      <w:pPr>
        <w:spacing w:after="0" w:line="200" w:lineRule="exact"/>
        <w:rPr>
          <w:sz w:val="20"/>
          <w:szCs w:val="20"/>
          <w:color w:val="auto"/>
        </w:rPr>
      </w:pPr>
    </w:p>
    <w:p>
      <w:pPr>
        <w:spacing w:after="0" w:line="22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b w:val="1"/>
          <w:bCs w:val="1"/>
          <w:u w:val="single" w:color="auto"/>
          <w:color w:val="auto"/>
        </w:rPr>
        <w:t>Questions regarding this Insider Trading Policy are encouraged and may be directed to the Compliance Officer.</w:t>
      </w:r>
    </w:p>
    <w:p>
      <w:pPr>
        <w:sectPr>
          <w:pgSz w:w="11900" w:h="16838" w:orient="portrait"/>
          <w:cols w:equalWidth="0" w:num="1">
            <w:col w:w="10220"/>
          </w:cols>
          <w:pgMar w:left="1340" w:top="1412" w:right="339" w:bottom="1440" w:gutter="0" w:footer="0" w:header="0"/>
        </w:sectPr>
      </w:pPr>
    </w:p>
    <w:bookmarkStart w:id="199" w:name="page200"/>
    <w:bookmarkEnd w:id="199"/>
    <w:p>
      <w:pPr>
        <w:spacing w:after="0" w:line="324"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Exhibit A</w:t>
      </w:r>
    </w:p>
    <w:p>
      <w:pPr>
        <w:spacing w:after="0" w:line="121"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Insiders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The below listed individuals are considered “Insiders” for the purpose of this Insider Trading Policy:</w:t>
      </w:r>
    </w:p>
    <w:p>
      <w:pPr>
        <w:spacing w:after="0" w:line="133" w:lineRule="exact"/>
        <w:rPr>
          <w:sz w:val="20"/>
          <w:szCs w:val="20"/>
          <w:color w:val="auto"/>
        </w:rPr>
      </w:pPr>
    </w:p>
    <w:p>
      <w:pPr>
        <w:ind w:left="640" w:hanging="308"/>
        <w:spacing w:after="0"/>
        <w:tabs>
          <w:tab w:leader="none" w:pos="6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Directors, officers, and all other employees at the vice-president level or above;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Members of the Finance Department involved in periodic financial reporting.</w:t>
      </w:r>
    </w:p>
    <w:p>
      <w:pPr>
        <w:sectPr>
          <w:pgSz w:w="11900" w:h="16838" w:orient="portrait"/>
          <w:cols w:equalWidth="0" w:num="1">
            <w:col w:w="10139"/>
          </w:cols>
          <w:pgMar w:left="320" w:top="1440" w:right="1440" w:bottom="1440" w:gutter="0" w:footer="0" w:header="0"/>
        </w:sectPr>
      </w:pPr>
    </w:p>
    <w:bookmarkStart w:id="200" w:name="page201"/>
    <w:bookmarkEnd w:id="200"/>
    <w:p>
      <w:pPr>
        <w:spacing w:after="0" w:line="89" w:lineRule="exact"/>
        <w:rPr>
          <w:sz w:val="20"/>
          <w:szCs w:val="20"/>
          <w:color w:val="auto"/>
        </w:rPr>
      </w:pPr>
    </w:p>
    <w:p>
      <w:pPr>
        <w:jc w:val="center"/>
        <w:ind w:right="1020"/>
        <w:spacing w:after="0"/>
        <w:rPr>
          <w:sz w:val="20"/>
          <w:szCs w:val="20"/>
          <w:color w:val="auto"/>
        </w:rPr>
      </w:pPr>
      <w:r>
        <w:rPr>
          <w:rFonts w:ascii="Arial" w:cs="Arial" w:eastAsia="Arial" w:hAnsi="Arial"/>
          <w:sz w:val="22"/>
          <w:szCs w:val="22"/>
          <w:b w:val="1"/>
          <w:bCs w:val="1"/>
          <w:color w:val="auto"/>
        </w:rPr>
        <w:t>Exhibit B</w:t>
      </w:r>
    </w:p>
    <w:p>
      <w:pPr>
        <w:spacing w:after="0" w:line="103"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ACKNOWLEDGMENT</w:t>
      </w:r>
    </w:p>
    <w:p>
      <w:pPr>
        <w:spacing w:after="0" w:line="1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 hereby acknowledge that I have read, that I understand, and that I agree to comply with, the Insider Trading Policy (the “</w:t>
      </w:r>
      <w:r>
        <w:rPr>
          <w:rFonts w:ascii="Times New Roman" w:cs="Times New Roman" w:eastAsia="Times New Roman" w:hAnsi="Times New Roman"/>
          <w:sz w:val="20"/>
          <w:szCs w:val="20"/>
          <w:b w:val="1"/>
          <w:bCs w:val="1"/>
          <w:color w:val="auto"/>
        </w:rPr>
        <w:t>Insider Trading Policy</w:t>
      </w:r>
      <w:r>
        <w:rPr>
          <w:rFonts w:ascii="Times New Roman" w:cs="Times New Roman" w:eastAsia="Times New Roman" w:hAnsi="Times New Roman"/>
          <w:sz w:val="20"/>
          <w:szCs w:val="20"/>
          <w:color w:val="auto"/>
        </w:rPr>
        <w:t>”) of Vaccitech plc and its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 further acknowledge and agree that I am responsible for ensuring compliance with the Insider Trading Policy and the Trading Procedures by all of my “Affiliated Persons” (including such persons listed below).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against the transfer of any Company securities in a transaction that the Company considers to be in contravention of the Insider Trading Policy.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hereby designate the following Affiliated Persons as entities for which the Trading Procedures shall not apply:</w:t>
      </w: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 hereby represent to the Company that such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communicating such information to any other person under circumstances in which it is reasonably foreseeable that such person is likely to purchase or sell securities.</w:t>
      </w:r>
    </w:p>
    <w:p>
      <w:pPr>
        <w:spacing w:after="0" w:line="200" w:lineRule="exact"/>
        <w:rPr>
          <w:sz w:val="20"/>
          <w:szCs w:val="20"/>
          <w:color w:val="auto"/>
        </w:rPr>
      </w:pPr>
    </w:p>
    <w:p>
      <w:pPr>
        <w:spacing w:after="0" w:line="298" w:lineRule="exact"/>
        <w:rPr>
          <w:sz w:val="20"/>
          <w:szCs w:val="20"/>
          <w:color w:val="auto"/>
        </w:rPr>
      </w:pPr>
    </w:p>
    <w:p>
      <w:pPr>
        <w:ind w:left="80"/>
        <w:spacing w:after="0"/>
        <w:tabs>
          <w:tab w:leader="none" w:pos="5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27940</wp:posOffset>
            </wp:positionV>
            <wp:extent cx="24003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27940</wp:posOffset>
            </wp:positionV>
            <wp:extent cx="1534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30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27940</wp:posOffset>
            </wp:positionV>
            <wp:extent cx="24003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8" w:lineRule="exact"/>
        <w:rPr>
          <w:sz w:val="20"/>
          <w:szCs w:val="20"/>
          <w:color w:val="auto"/>
        </w:rPr>
      </w:pPr>
    </w:p>
    <w:p>
      <w:pPr>
        <w:jc w:val="center"/>
        <w:ind w:left="15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27940</wp:posOffset>
            </wp:positionV>
            <wp:extent cx="24003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0220"/>
          </w:cols>
          <w:pgMar w:left="1340" w:top="1440"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bl>
      <w:tblPr>
        <w:tblLayout w:type="fixed"/>
        <w:tblInd w:w="0" w:type="dxa"/>
        <w:tblCellMar>
          <w:top w:w="0" w:type="dxa"/>
          <w:left w:w="0" w:type="dxa"/>
          <w:bottom w:w="0" w:type="dxa"/>
          <w:right w:w="0" w:type="dxa"/>
        </w:tblCellMar>
      </w:tblPr>
      <w:tr>
        <w:trPr>
          <w:trHeight w:val="238"/>
        </w:trPr>
        <w:tc>
          <w:tcPr>
            <w:tcW w:w="11140" w:type="dxa"/>
            <w:vAlign w:val="bottom"/>
            <w:gridSpan w:val="3"/>
          </w:tcPr>
          <w:p>
            <w:pPr>
              <w:ind w:left="498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435"/>
        </w:trPr>
        <w:tc>
          <w:tcPr>
            <w:tcW w:w="5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Subsidiary</w:t>
            </w: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Jurisdiction of Incorporation</w:t>
            </w:r>
          </w:p>
        </w:tc>
      </w:tr>
      <w:tr>
        <w:trPr>
          <w:trHeight w:val="169"/>
        </w:trPr>
        <w:tc>
          <w:tcPr>
            <w:tcW w:w="5680" w:type="dxa"/>
            <w:vAlign w:val="bottom"/>
            <w:tcBorders>
              <w:top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Barinthus Biotherapeutics Pty Limited (formerly Vaccitech Australia Pty</w:t>
            </w:r>
          </w:p>
        </w:tc>
        <w:tc>
          <w:tcPr>
            <w:tcW w:w="300" w:type="dxa"/>
            <w:vAlign w:val="bottom"/>
          </w:tcPr>
          <w:p>
            <w:pPr>
              <w:spacing w:after="0"/>
              <w:rPr>
                <w:sz w:val="14"/>
                <w:szCs w:val="14"/>
                <w:color w:val="auto"/>
              </w:rPr>
            </w:pPr>
          </w:p>
        </w:tc>
        <w:tc>
          <w:tcPr>
            <w:tcW w:w="5160" w:type="dxa"/>
            <w:vAlign w:val="bottom"/>
            <w:tcBorders>
              <w:top w:val="single" w:sz="8" w:color="auto"/>
            </w:tcBorders>
          </w:tcPr>
          <w:p>
            <w:pPr>
              <w:spacing w:after="0"/>
              <w:rPr>
                <w:sz w:val="14"/>
                <w:szCs w:val="14"/>
                <w:color w:val="auto"/>
              </w:rPr>
            </w:pPr>
          </w:p>
        </w:tc>
      </w:tr>
      <w:tr>
        <w:trPr>
          <w:trHeight w:val="238"/>
        </w:trPr>
        <w:tc>
          <w:tcPr>
            <w:tcW w:w="5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Limited)</w:t>
            </w: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5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Vaccitech Oncology Limited</w:t>
            </w: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29"/>
        </w:trPr>
        <w:tc>
          <w:tcPr>
            <w:tcW w:w="5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Barinthus Biotherapeutics (UK) Limited (formerly Vaccitech (UK) Limited)</w:t>
            </w: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180"/>
        </w:trPr>
        <w:tc>
          <w:tcPr>
            <w:tcW w:w="59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Barinthus Biotherapeutics North America, Inc. (formerly Vaccitech North</w:t>
            </w:r>
          </w:p>
        </w:tc>
        <w:tc>
          <w:tcPr>
            <w:tcW w:w="5160" w:type="dxa"/>
            <w:vAlign w:val="bottom"/>
          </w:tcPr>
          <w:p>
            <w:pPr>
              <w:spacing w:after="0"/>
              <w:rPr>
                <w:sz w:val="15"/>
                <w:szCs w:val="15"/>
                <w:color w:val="auto"/>
              </w:rPr>
            </w:pPr>
          </w:p>
        </w:tc>
      </w:tr>
      <w:tr>
        <w:trPr>
          <w:trHeight w:val="238"/>
        </w:trPr>
        <w:tc>
          <w:tcPr>
            <w:tcW w:w="5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America, Inc.)</w:t>
            </w: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Barinthus Biotherapeutics Italia S.R.L. (formerly Vaccitech Italia S.R.L.)</w:t>
            </w: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Italy</w:t>
            </w:r>
          </w:p>
        </w:tc>
      </w:tr>
      <w:tr>
        <w:trPr>
          <w:trHeight w:val="180"/>
        </w:trPr>
        <w:tc>
          <w:tcPr>
            <w:tcW w:w="59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Barinthus Biotherapeutics Switzerland GmbH (formerly Vaccitech</w:t>
            </w:r>
          </w:p>
        </w:tc>
        <w:tc>
          <w:tcPr>
            <w:tcW w:w="5160" w:type="dxa"/>
            <w:vAlign w:val="bottom"/>
          </w:tcPr>
          <w:p>
            <w:pPr>
              <w:spacing w:after="0"/>
              <w:rPr>
                <w:sz w:val="15"/>
                <w:szCs w:val="15"/>
                <w:color w:val="auto"/>
              </w:rPr>
            </w:pPr>
          </w:p>
        </w:tc>
      </w:tr>
      <w:tr>
        <w:trPr>
          <w:trHeight w:val="243"/>
        </w:trPr>
        <w:tc>
          <w:tcPr>
            <w:tcW w:w="5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Switzerland GmbH)</w:t>
            </w: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Switzerland</w:t>
            </w:r>
          </w:p>
        </w:tc>
      </w:tr>
    </w:tbl>
    <w:p>
      <w:pPr>
        <w:sectPr>
          <w:pgSz w:w="11900" w:h="16838" w:orient="portrait"/>
          <w:cols w:equalWidth="0" w:num="1">
            <w:col w:w="11240"/>
          </w:cols>
          <w:pgMar w:left="320" w:top="1392" w:right="339" w:bottom="1440" w:gutter="0" w:footer="0" w:header="0"/>
        </w:sectPr>
      </w:pPr>
    </w:p>
    <w:bookmarkStart w:id="202" w:name="page203"/>
    <w:bookmarkEnd w:id="202"/>
    <w:p>
      <w:pPr>
        <w:jc w:val="right"/>
        <w:spacing w:after="0"/>
        <w:rPr>
          <w:sz w:val="20"/>
          <w:szCs w:val="20"/>
          <w:color w:val="auto"/>
        </w:rPr>
      </w:pPr>
      <w:r>
        <w:rPr>
          <w:rFonts w:ascii="Georgia" w:cs="Georgia" w:eastAsia="Georgia" w:hAnsi="Georgia"/>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180"/>
        <w:spacing w:after="0"/>
        <w:rPr>
          <w:sz w:val="20"/>
          <w:szCs w:val="20"/>
          <w:color w:val="auto"/>
        </w:rPr>
      </w:pPr>
      <w:r>
        <w:rPr>
          <w:rFonts w:ascii="Georgia" w:cs="Georgia" w:eastAsia="Georgia" w:hAnsi="Georgia"/>
          <w:sz w:val="18"/>
          <w:szCs w:val="18"/>
          <w:b w:val="1"/>
          <w:bCs w:val="1"/>
          <w:color w:val="auto"/>
        </w:rPr>
        <w:t>CONSENT OF INDEPENDENT REGISTERED PUBLIC ACCOUNTING FIRM</w:t>
      </w:r>
    </w:p>
    <w:p>
      <w:pPr>
        <w:spacing w:after="0" w:line="200" w:lineRule="exact"/>
        <w:rPr>
          <w:sz w:val="20"/>
          <w:szCs w:val="20"/>
          <w:color w:val="auto"/>
        </w:rPr>
      </w:pPr>
    </w:p>
    <w:p>
      <w:pPr>
        <w:spacing w:after="0" w:line="28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333-255664, 333-263844, 333-270815 and 333-278111) and Form S-3 (Nos. 333-265763 and 333-266724) of Barinthus Biotherapeutics plc of our report dated March 20, 2025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13" w:lineRule="auto"/>
        <w:rPr>
          <w:sz w:val="20"/>
          <w:szCs w:val="20"/>
          <w:color w:val="auto"/>
        </w:rPr>
      </w:pPr>
      <w:r>
        <w:rPr>
          <w:rFonts w:ascii="Georgia" w:cs="Georgia" w:eastAsia="Georgia" w:hAnsi="Georgia"/>
          <w:sz w:val="16"/>
          <w:szCs w:val="16"/>
          <w:i w:val="1"/>
          <w:iCs w:val="1"/>
          <w:color w:val="auto"/>
        </w:rPr>
        <w:t>PricewaterhouseCoopers LLP, 3 Forbury Place, 23 Forbury Road, Reading, Berkshire, RG1 3JH</w:t>
      </w:r>
    </w:p>
    <w:p>
      <w:pPr>
        <w:ind w:left="200" w:hanging="192"/>
        <w:spacing w:after="0" w:line="201" w:lineRule="auto"/>
        <w:tabs>
          <w:tab w:leader="none" w:pos="200" w:val="left"/>
        </w:tabs>
        <w:numPr>
          <w:ilvl w:val="0"/>
          <w:numId w:val="137"/>
        </w:numPr>
        <w:rPr>
          <w:rFonts w:ascii="Georgia" w:cs="Georgia" w:eastAsia="Georgia" w:hAnsi="Georgia"/>
          <w:sz w:val="4"/>
          <w:szCs w:val="4"/>
          <w:i w:val="1"/>
          <w:iCs w:val="1"/>
          <w:color w:val="auto"/>
        </w:rPr>
      </w:pPr>
      <w:r>
        <w:rPr>
          <w:rFonts w:ascii="Georgia" w:cs="Georgia" w:eastAsia="Georgia" w:hAnsi="Georgia"/>
          <w:sz w:val="4"/>
          <w:szCs w:val="4"/>
          <w:i w:val="1"/>
          <w:iCs w:val="1"/>
          <w:color w:val="auto"/>
        </w:rPr>
        <w:t>+44 (0) 118 959 7111, F: +44 (0) 1189 383 020, www.pwc.co.uk</w:t>
      </w:r>
    </w:p>
    <w:p>
      <w:pPr>
        <w:spacing w:after="0" w:line="238" w:lineRule="auto"/>
        <w:rPr>
          <w:rFonts w:ascii="Georgia" w:cs="Georgia" w:eastAsia="Georgia" w:hAnsi="Georgia"/>
          <w:sz w:val="4"/>
          <w:szCs w:val="4"/>
          <w:i w:val="1"/>
          <w:iCs w:val="1"/>
          <w:color w:val="auto"/>
        </w:rPr>
      </w:pPr>
      <w:r>
        <w:rPr>
          <w:rFonts w:ascii="Georgia" w:cs="Georgia" w:eastAsia="Georgia" w:hAnsi="Georgia"/>
          <w:sz w:val="18"/>
          <w:szCs w:val="18"/>
          <w:color w:val="auto"/>
        </w:rPr>
        <w:t>Reading, United Kingdom</w:t>
      </w:r>
    </w:p>
    <w:p>
      <w:pPr>
        <w:spacing w:after="0" w:line="79" w:lineRule="exact"/>
        <w:rPr>
          <w:sz w:val="20"/>
          <w:szCs w:val="20"/>
          <w:color w:val="auto"/>
        </w:rPr>
      </w:pPr>
    </w:p>
    <w:p>
      <w:pPr>
        <w:spacing w:after="0"/>
        <w:rPr>
          <w:sz w:val="20"/>
          <w:szCs w:val="20"/>
          <w:color w:val="auto"/>
        </w:rPr>
      </w:pPr>
      <w:r>
        <w:rPr>
          <w:rFonts w:ascii="Cambria" w:cs="Cambria" w:eastAsia="Cambria" w:hAnsi="Cambria"/>
          <w:sz w:val="11"/>
          <w:szCs w:val="11"/>
          <w:b w:val="1"/>
          <w:bCs w:val="1"/>
          <w:color w:val="auto"/>
        </w:rPr>
        <w:t>PricewaterhouseCoopers</w:t>
      </w:r>
      <w:r>
        <w:rPr>
          <w:rFonts w:ascii="Georgia" w:cs="Georgia" w:eastAsia="Georgia" w:hAnsi="Georgia"/>
          <w:sz w:val="17"/>
          <w:szCs w:val="17"/>
          <w:color w:val="auto"/>
        </w:rPr>
        <w:t>March20,2025</w:t>
      </w:r>
      <w:r>
        <w:rPr>
          <w:rFonts w:ascii="Cambria" w:cs="Cambria" w:eastAsia="Cambria" w:hAnsi="Cambria"/>
          <w:sz w:val="11"/>
          <w:szCs w:val="11"/>
          <w:b w:val="1"/>
          <w:bCs w:val="1"/>
          <w:color w:val="auto"/>
        </w:rPr>
        <w:t>LLP is a limited liability partnership registered in England with registered number OC303525. The registered office of</w:t>
      </w:r>
    </w:p>
    <w:p>
      <w:pPr>
        <w:spacing w:after="0" w:line="231" w:lineRule="auto"/>
        <w:rPr>
          <w:sz w:val="20"/>
          <w:szCs w:val="20"/>
          <w:color w:val="auto"/>
        </w:rPr>
      </w:pPr>
      <w:r>
        <w:rPr>
          <w:rFonts w:ascii="Cambria" w:cs="Cambria" w:eastAsia="Cambria" w:hAnsi="Cambria"/>
          <w:sz w:val="11"/>
          <w:szCs w:val="11"/>
          <w:b w:val="1"/>
          <w:bCs w:val="1"/>
          <w:color w:val="auto"/>
        </w:rPr>
        <w:t>PricewaterhouseCoopers LLP is 1 Embankment Place, London WC2N 6RH. PricewaterhouseCoopers LLP is authorised and regulated by the Financial Conduct Authority for designated investment business.</w:t>
      </w:r>
    </w:p>
    <w:p>
      <w:pPr>
        <w:sectPr>
          <w:pgSz w:w="11900" w:h="16838" w:orient="portrait"/>
          <w:cols w:equalWidth="0" w:num="1">
            <w:col w:w="10980"/>
          </w:cols>
          <w:pgMar w:left="320" w:top="1364" w:right="59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15d-14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UNDER THE SECURITIES EXCHANGE ACT OF 1934</w:t>
      </w:r>
      <w:r>
        <w:rPr>
          <w:rFonts w:ascii="Times New Roman" w:cs="Times New Roman" w:eastAsia="Times New Roman" w:hAnsi="Times New Roman"/>
          <w:sz w:val="18"/>
          <w:szCs w:val="18"/>
          <w:color w:val="auto"/>
        </w:rPr>
        <w:t>,</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Enright, certify that:</w:t>
      </w:r>
    </w:p>
    <w:p>
      <w:pPr>
        <w:spacing w:after="0" w:line="225" w:lineRule="exact"/>
        <w:rPr>
          <w:sz w:val="20"/>
          <w:szCs w:val="20"/>
          <w:color w:val="auto"/>
        </w:rPr>
      </w:pPr>
    </w:p>
    <w:p>
      <w:pPr>
        <w:ind w:left="340" w:hanging="332"/>
        <w:spacing w:after="0"/>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Barinthus Biotherapeutics plc;</w:t>
      </w:r>
    </w:p>
    <w:p>
      <w:pPr>
        <w:spacing w:after="0" w:line="211" w:lineRule="exact"/>
        <w:rPr>
          <w:rFonts w:ascii="Times New Roman" w:cs="Times New Roman" w:eastAsia="Times New Roman" w:hAnsi="Times New Roman"/>
          <w:sz w:val="18"/>
          <w:szCs w:val="18"/>
          <w:color w:val="auto"/>
        </w:rPr>
      </w:pPr>
    </w:p>
    <w:p>
      <w:pPr>
        <w:jc w:val="both"/>
        <w:ind w:left="340" w:right="440" w:hanging="332"/>
        <w:spacing w:after="0" w:line="258"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340" w:right="400" w:hanging="332"/>
        <w:spacing w:after="0" w:line="266"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7"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660" w:right="860" w:hanging="328"/>
        <w:spacing w:after="0" w:line="296" w:lineRule="auto"/>
        <w:tabs>
          <w:tab w:leader="none" w:pos="657"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660" w:right="80" w:hanging="328"/>
        <w:spacing w:after="0" w:line="258" w:lineRule="auto"/>
        <w:tabs>
          <w:tab w:leader="none" w:pos="65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7"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March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William Enright</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43"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p>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15d-14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UNDER THE SECURITIES EXCHANGE ACT OF 1934</w:t>
      </w:r>
      <w:r>
        <w:rPr>
          <w:rFonts w:ascii="Times New Roman" w:cs="Times New Roman" w:eastAsia="Times New Roman" w:hAnsi="Times New Roman"/>
          <w:sz w:val="18"/>
          <w:szCs w:val="18"/>
          <w:color w:val="auto"/>
        </w:rPr>
        <w:t>,</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Gemma Brown, certify that:</w:t>
      </w:r>
    </w:p>
    <w:p>
      <w:pPr>
        <w:spacing w:after="0" w:line="225" w:lineRule="exact"/>
        <w:rPr>
          <w:sz w:val="20"/>
          <w:szCs w:val="20"/>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Barinthus Biotherapeutics plc;</w:t>
      </w:r>
    </w:p>
    <w:p>
      <w:pPr>
        <w:spacing w:after="0" w:line="211" w:lineRule="exact"/>
        <w:rPr>
          <w:rFonts w:ascii="Times New Roman" w:cs="Times New Roman" w:eastAsia="Times New Roman" w:hAnsi="Times New Roman"/>
          <w:sz w:val="18"/>
          <w:szCs w:val="18"/>
          <w:color w:val="auto"/>
        </w:rPr>
      </w:pPr>
    </w:p>
    <w:p>
      <w:pPr>
        <w:jc w:val="both"/>
        <w:ind w:left="660" w:right="120" w:hanging="328"/>
        <w:spacing w:after="0" w:line="258"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980" w:right="60" w:hanging="324"/>
        <w:spacing w:after="0" w:line="250" w:lineRule="auto"/>
        <w:tabs>
          <w:tab w:leader="none" w:pos="97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980" w:right="540" w:hanging="324"/>
        <w:spacing w:after="0" w:line="296" w:lineRule="auto"/>
        <w:tabs>
          <w:tab w:leader="none" w:pos="977"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980" w:right="60" w:hanging="324"/>
        <w:spacing w:after="0" w:line="258" w:lineRule="auto"/>
        <w:tabs>
          <w:tab w:leader="none" w:pos="97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980" w:right="780" w:hanging="324"/>
        <w:spacing w:after="0" w:line="266" w:lineRule="auto"/>
        <w:tabs>
          <w:tab w:leader="none" w:pos="97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480" w:hanging="324"/>
        <w:spacing w:after="0" w:line="266" w:lineRule="auto"/>
        <w:tabs>
          <w:tab w:leader="none" w:pos="97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March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Gemma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Gemma Brown</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3"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w:t>
      </w:r>
    </w:p>
    <w:p>
      <w:pPr>
        <w:spacing w:after="0" w:line="21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1350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Barinthus Biotherapeutics plc (the “Company”) on Form 10-K for the fiscal year ending December 31, 2024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169" w:lineRule="exact"/>
        <w:rPr>
          <w:sz w:val="20"/>
          <w:szCs w:val="20"/>
          <w:color w:val="auto"/>
        </w:rPr>
      </w:pPr>
    </w:p>
    <w:p>
      <w:pPr>
        <w:ind w:left="640" w:hanging="308"/>
        <w:spacing w:after="0"/>
        <w:tabs>
          <w:tab w:leader="none" w:pos="6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66"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March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William Enright</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200025</wp:posOffset>
            </wp:positionV>
            <wp:extent cx="34118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04"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March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Gemma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34290</wp:posOffset>
            </wp:positionV>
            <wp:extent cx="34118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Gemma Brown</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3" w:right="339" w:bottom="1440" w:gutter="0" w:footer="0" w:header="0"/>
        </w:sectPr>
      </w:pPr>
    </w:p>
    <w:bookmarkStart w:id="206" w:name="page207"/>
    <w:bookmarkEnd w:id="206"/>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BARINTHUS BIOTHERAPEUTICS PLC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Adopted as of November 9, 2023</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Updated August 6, 2024</w:t>
      </w:r>
    </w:p>
    <w:p>
      <w:pPr>
        <w:spacing w:after="0" w:line="22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Barinthus Biotherapeutics PLC, a public limited company incorporated pursuant to the laws of England and Wales and listed in the U.S.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a Compensation Recovery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described below.</w:t>
      </w:r>
    </w:p>
    <w:p>
      <w:pPr>
        <w:spacing w:after="0" w:line="181" w:lineRule="exact"/>
        <w:rPr>
          <w:sz w:val="20"/>
          <w:szCs w:val="20"/>
          <w:color w:val="auto"/>
        </w:rPr>
      </w:pPr>
    </w:p>
    <w:p>
      <w:pPr>
        <w:ind w:left="380" w:hanging="372"/>
        <w:spacing w:after="0"/>
        <w:tabs>
          <w:tab w:leader="none" w:pos="38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2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1"/>
          <w:szCs w:val="21"/>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under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and the Nasdaq Stock Market. Capitalized terms used and not otherwise defined herein shall have the meanings given in Section 3 below.</w:t>
      </w:r>
    </w:p>
    <w:p>
      <w:pPr>
        <w:spacing w:after="0" w:line="173" w:lineRule="exact"/>
        <w:rPr>
          <w:sz w:val="20"/>
          <w:szCs w:val="20"/>
          <w:color w:val="auto"/>
        </w:rPr>
      </w:pPr>
    </w:p>
    <w:p>
      <w:pPr>
        <w:ind w:left="380" w:hanging="372"/>
        <w:spacing w:after="0"/>
        <w:tabs>
          <w:tab w:leader="none" w:pos="38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Requirement</w:t>
      </w:r>
    </w:p>
    <w:p>
      <w:pPr>
        <w:spacing w:after="0" w:line="224"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22"/>
          <w:szCs w:val="22"/>
          <w:color w:val="auto"/>
        </w:rPr>
        <w:t>In the event the Company is required to prepare a Financial Restatement, the Company shall recover reasonably promptly all Erroneously Awarded Compensation with respect to such Financial Restatement.</w:t>
      </w:r>
    </w:p>
    <w:p>
      <w:pPr>
        <w:spacing w:after="0" w:line="154" w:lineRule="exact"/>
        <w:rPr>
          <w:sz w:val="20"/>
          <w:szCs w:val="20"/>
          <w:color w:val="auto"/>
        </w:rPr>
      </w:pPr>
    </w:p>
    <w:p>
      <w:pPr>
        <w:ind w:left="380" w:hanging="372"/>
        <w:spacing w:after="0"/>
        <w:tabs>
          <w:tab w:leader="none" w:pos="38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23" w:lineRule="exact"/>
        <w:rPr>
          <w:rFonts w:ascii="Times New Roman" w:cs="Times New Roman" w:eastAsia="Times New Roman" w:hAnsi="Times New Roman"/>
          <w:sz w:val="22"/>
          <w:szCs w:val="22"/>
          <w:b w:val="1"/>
          <w:bCs w:val="1"/>
          <w:color w:val="auto"/>
        </w:rPr>
      </w:pPr>
    </w:p>
    <w:p>
      <w:pPr>
        <w:ind w:left="980" w:hanging="324"/>
        <w:spacing w:after="0" w:line="253" w:lineRule="auto"/>
        <w:tabs>
          <w:tab w:leader="none" w:pos="968"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Recovery Period</w:t>
      </w:r>
      <w:r>
        <w:rPr>
          <w:rFonts w:ascii="Times New Roman" w:cs="Times New Roman" w:eastAsia="Times New Roman" w:hAnsi="Times New Roman"/>
          <w:sz w:val="22"/>
          <w:szCs w:val="22"/>
          <w:color w:val="auto"/>
        </w:rPr>
        <w:t>”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8" w:lineRule="exact"/>
        <w:rPr>
          <w:rFonts w:ascii="Times New Roman" w:cs="Times New Roman" w:eastAsia="Times New Roman" w:hAnsi="Times New Roman"/>
          <w:sz w:val="22"/>
          <w:szCs w:val="22"/>
          <w:color w:val="auto"/>
        </w:rPr>
      </w:pPr>
    </w:p>
    <w:p>
      <w:pPr>
        <w:ind w:left="980" w:right="240" w:hanging="324"/>
        <w:spacing w:after="0" w:line="263" w:lineRule="auto"/>
        <w:tabs>
          <w:tab w:leader="none" w:pos="98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Rules</w:t>
      </w:r>
      <w:r>
        <w:rPr>
          <w:rFonts w:ascii="Times New Roman" w:cs="Times New Roman" w:eastAsia="Times New Roman" w:hAnsi="Times New Roman"/>
          <w:sz w:val="22"/>
          <w:szCs w:val="22"/>
          <w:color w:val="auto"/>
        </w:rPr>
        <w:t>” means any rules or regulations adopted by the Exchange pursuant to Rule 10D-1 under the Exchange Act and any applicable rules or regulations adopted by the SEC pursuant to Section 10D of the Exchange Act.</w:t>
      </w:r>
    </w:p>
    <w:p>
      <w:pPr>
        <w:spacing w:after="0" w:line="167"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19" w:lineRule="exact"/>
        <w:rPr>
          <w:rFonts w:ascii="Times New Roman" w:cs="Times New Roman" w:eastAsia="Times New Roman" w:hAnsi="Times New Roman"/>
          <w:sz w:val="22"/>
          <w:szCs w:val="22"/>
          <w:color w:val="auto"/>
        </w:rPr>
      </w:pPr>
    </w:p>
    <w:p>
      <w:pPr>
        <w:ind w:left="980" w:right="280" w:hanging="324"/>
        <w:spacing w:after="0" w:line="271" w:lineRule="auto"/>
        <w:tabs>
          <w:tab w:leader="none" w:pos="98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in the absence of such committee, a majority of independent directors serving on the Board.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ACTIVE/130761058.2</w:t>
      </w:r>
    </w:p>
    <w:p>
      <w:pPr>
        <w:sectPr>
          <w:pgSz w:w="11900" w:h="16838" w:orient="portrait"/>
          <w:cols w:equalWidth="0" w:num="1">
            <w:col w:w="11220"/>
          </w:cols>
          <w:pgMar w:left="320" w:top="1440" w:right="359" w:bottom="1440" w:gutter="0" w:footer="0" w:header="0"/>
        </w:sectPr>
      </w:pPr>
    </w:p>
    <w:bookmarkStart w:id="207" w:name="page208"/>
    <w:bookmarkEnd w:id="207"/>
    <w:p>
      <w:pPr>
        <w:spacing w:after="0" w:line="158" w:lineRule="exact"/>
        <w:rPr>
          <w:sz w:val="20"/>
          <w:szCs w:val="20"/>
          <w:color w:val="auto"/>
        </w:rPr>
      </w:pPr>
    </w:p>
    <w:p>
      <w:pPr>
        <w:ind w:left="960" w:right="60" w:hanging="324"/>
        <w:spacing w:after="0" w:line="250" w:lineRule="auto"/>
        <w:tabs>
          <w:tab w:leader="none" w:pos="94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means any Executive Officer and any other person designated by the Board or the Committee as being subject to this Policy. A person’s status as a 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79" w:lineRule="exact"/>
        <w:rPr>
          <w:rFonts w:ascii="Times New Roman" w:cs="Times New Roman" w:eastAsia="Times New Roman" w:hAnsi="Times New Roman"/>
          <w:sz w:val="22"/>
          <w:szCs w:val="22"/>
          <w:color w:val="auto"/>
        </w:rPr>
      </w:pPr>
    </w:p>
    <w:p>
      <w:pPr>
        <w:ind w:left="960" w:hanging="324"/>
        <w:spacing w:after="0"/>
        <w:tabs>
          <w:tab w:leader="none" w:pos="9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October 2, 2023.</w:t>
      </w:r>
    </w:p>
    <w:p>
      <w:pPr>
        <w:spacing w:after="0" w:line="219" w:lineRule="exact"/>
        <w:rPr>
          <w:rFonts w:ascii="Times New Roman" w:cs="Times New Roman" w:eastAsia="Times New Roman" w:hAnsi="Times New Roman"/>
          <w:sz w:val="22"/>
          <w:szCs w:val="22"/>
          <w:color w:val="auto"/>
        </w:rPr>
      </w:pPr>
    </w:p>
    <w:p>
      <w:pPr>
        <w:ind w:left="960" w:hanging="324"/>
        <w:spacing w:after="0" w:line="250" w:lineRule="auto"/>
        <w:tabs>
          <w:tab w:leader="none" w:pos="9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85" w:lineRule="exact"/>
        <w:rPr>
          <w:rFonts w:ascii="Times New Roman" w:cs="Times New Roman" w:eastAsia="Times New Roman" w:hAnsi="Times New Roman"/>
          <w:sz w:val="22"/>
          <w:szCs w:val="22"/>
          <w:color w:val="auto"/>
        </w:rPr>
      </w:pPr>
    </w:p>
    <w:p>
      <w:pPr>
        <w:ind w:left="960" w:hanging="324"/>
        <w:spacing w:after="0"/>
        <w:tabs>
          <w:tab w:leader="none" w:pos="9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means the Nasdaq Stock Market LLC.</w:t>
      </w:r>
    </w:p>
    <w:p>
      <w:pPr>
        <w:spacing w:after="0" w:line="219" w:lineRule="exact"/>
        <w:rPr>
          <w:rFonts w:ascii="Times New Roman" w:cs="Times New Roman" w:eastAsia="Times New Roman" w:hAnsi="Times New Roman"/>
          <w:sz w:val="22"/>
          <w:szCs w:val="22"/>
          <w:color w:val="auto"/>
        </w:rPr>
      </w:pPr>
    </w:p>
    <w:p>
      <w:pPr>
        <w:ind w:left="960" w:right="160" w:hanging="324"/>
        <w:spacing w:after="0" w:line="249" w:lineRule="auto"/>
        <w:tabs>
          <w:tab w:leader="none" w:pos="95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any person who served the Company in any of the following roles at any time during the performance period applicable to Incentive-Based Compensation and received Incentive-Based Compensation after beginning service in any such role (regardless of whether such Incentive-Based Compensation was received during or after such person’s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83" w:lineRule="exact"/>
        <w:rPr>
          <w:sz w:val="20"/>
          <w:szCs w:val="20"/>
          <w:color w:val="auto"/>
        </w:rPr>
      </w:pPr>
    </w:p>
    <w:p>
      <w:pPr>
        <w:spacing w:after="0"/>
        <w:rPr>
          <w:sz w:val="20"/>
          <w:szCs w:val="20"/>
          <w:color w:val="auto"/>
        </w:rPr>
      </w:pPr>
      <w:r>
        <w:rPr>
          <w:rFonts w:ascii="Calibri" w:cs="Calibri" w:eastAsia="Calibri" w:hAnsi="Calibri"/>
          <w:sz w:val="14"/>
          <w:szCs w:val="14"/>
          <w:color w:val="auto"/>
        </w:rPr>
        <w:t>ACTIVE/130761058.2</w:t>
      </w:r>
    </w:p>
    <w:p>
      <w:pPr>
        <w:sectPr>
          <w:pgSz w:w="11900" w:h="16838" w:orient="portrait"/>
          <w:cols w:equalWidth="0" w:num="1">
            <w:col w:w="11200"/>
          </w:cols>
          <w:pgMar w:left="340" w:top="1440" w:right="359" w:bottom="1440" w:gutter="0" w:footer="0" w:header="0"/>
        </w:sectPr>
      </w:pPr>
    </w:p>
    <w:bookmarkStart w:id="208" w:name="page209"/>
    <w:bookmarkEnd w:id="208"/>
    <w:p>
      <w:pPr>
        <w:spacing w:after="0" w:line="158" w:lineRule="exact"/>
        <w:rPr>
          <w:sz w:val="20"/>
          <w:szCs w:val="20"/>
          <w:color w:val="auto"/>
        </w:rPr>
      </w:pPr>
    </w:p>
    <w:p>
      <w:pPr>
        <w:ind w:left="980" w:right="240"/>
        <w:spacing w:after="0" w:line="284" w:lineRule="auto"/>
        <w:rPr>
          <w:sz w:val="20"/>
          <w:szCs w:val="20"/>
          <w:color w:val="auto"/>
        </w:rPr>
      </w:pPr>
      <w:r>
        <w:rPr>
          <w:rFonts w:ascii="Times New Roman" w:cs="Times New Roman" w:eastAsia="Times New Roman" w:hAnsi="Times New Roman"/>
          <w:sz w:val="22"/>
          <w:szCs w:val="22"/>
          <w:color w:val="auto"/>
        </w:rPr>
        <w:t>subsidiaries of the Company may be deemed executive officers of the Company if they perform such policy making functions for the Company.</w:t>
      </w:r>
    </w:p>
    <w:p>
      <w:pPr>
        <w:spacing w:after="0" w:line="144" w:lineRule="exact"/>
        <w:rPr>
          <w:sz w:val="20"/>
          <w:szCs w:val="20"/>
          <w:color w:val="auto"/>
        </w:rPr>
      </w:pPr>
    </w:p>
    <w:p>
      <w:pPr>
        <w:jc w:val="both"/>
        <w:ind w:left="980" w:right="80" w:hanging="324"/>
        <w:spacing w:after="0" w:line="275" w:lineRule="auto"/>
        <w:tabs>
          <w:tab w:leader="none" w:pos="972"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Reporting Measures</w:t>
      </w:r>
      <w:r>
        <w:rPr>
          <w:rFonts w:ascii="Times New Roman" w:cs="Times New Roman" w:eastAsia="Times New Roman" w:hAnsi="Times New Roman"/>
          <w:sz w:val="21"/>
          <w:szCs w:val="21"/>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55" w:lineRule="exact"/>
        <w:rPr>
          <w:rFonts w:ascii="Times New Roman" w:cs="Times New Roman" w:eastAsia="Times New Roman" w:hAnsi="Times New Roman"/>
          <w:sz w:val="21"/>
          <w:szCs w:val="21"/>
          <w:color w:val="auto"/>
        </w:rPr>
      </w:pPr>
    </w:p>
    <w:p>
      <w:pPr>
        <w:ind w:left="980" w:hanging="324"/>
        <w:spacing w:after="0" w:line="250" w:lineRule="auto"/>
        <w:tabs>
          <w:tab w:leader="none" w:pos="98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provided, directly or indirectly, by the Company or any of its subsidiaries that is granted, earned, or vested based, in whole or in part, upon the attainment of a Financial Reporting Measure and any equity-based compensation provided by the Company or any of its subsidiaries, including, without limitation, stock options, restricted stock awards, restricted stock units and stock appreciation rights. For the avoidance of doubt, Incentive-Based Compensation is “received” for purposes of this Policy in fiscal period during which the Financial Reporting Measure specified in the Incentive-Based Compensation award is attained, even if the payment or grant of such Incentive-Based Compensation occurs after the end of that period.</w:t>
      </w:r>
    </w:p>
    <w:p>
      <w:pPr>
        <w:spacing w:after="0" w:line="193" w:lineRule="exact"/>
        <w:rPr>
          <w:rFonts w:ascii="Times New Roman" w:cs="Times New Roman" w:eastAsia="Times New Roman" w:hAnsi="Times New Roman"/>
          <w:sz w:val="22"/>
          <w:szCs w:val="22"/>
          <w:color w:val="auto"/>
        </w:rPr>
      </w:pPr>
    </w:p>
    <w:p>
      <w:pPr>
        <w:ind w:left="980" w:right="20" w:hanging="324"/>
        <w:spacing w:after="0" w:line="250" w:lineRule="auto"/>
        <w:tabs>
          <w:tab w:leader="none" w:pos="972"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Financial Restatement</w:t>
      </w:r>
      <w:r>
        <w:rPr>
          <w:rFonts w:ascii="Times New Roman" w:cs="Times New Roman" w:eastAsia="Times New Roman" w:hAnsi="Times New Roman"/>
          <w:sz w:val="22"/>
          <w:szCs w:val="22"/>
          <w:color w:val="auto"/>
        </w:rPr>
        <w: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94" w:lineRule="exact"/>
        <w:rPr>
          <w:rFonts w:ascii="Times New Roman" w:cs="Times New Roman" w:eastAsia="Times New Roman" w:hAnsi="Times New Roman"/>
          <w:sz w:val="22"/>
          <w:szCs w:val="22"/>
          <w:color w:val="auto"/>
        </w:rPr>
      </w:pPr>
    </w:p>
    <w:p>
      <w:pPr>
        <w:ind w:left="980" w:right="20" w:hanging="324"/>
        <w:spacing w:after="0" w:line="252" w:lineRule="auto"/>
        <w:tabs>
          <w:tab w:leader="none" w:pos="972"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w:t>
      </w:r>
    </w:p>
    <w:p>
      <w:pPr>
        <w:spacing w:after="0" w:line="17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Compensation Recovery Requirement</w:t>
      </w:r>
    </w:p>
    <w:p>
      <w:pPr>
        <w:spacing w:after="0" w:line="22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1"/>
          <w:szCs w:val="21"/>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(ii) recovery would cause the Company to violate a law of England and Wales that was adopted prior to November 28, 2022, and the Company obtains an opinion of English counsel that recovery would result in a violation of such country’s law and provides the opinion to the Exchange; or (iii) recovery would</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70"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ACTIVE/130761058.2</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likely cause an otherwise tax-qualified retirement plan to fail to be so qualified under applicable regulations.</w:t>
      </w:r>
    </w:p>
    <w:p>
      <w:pPr>
        <w:spacing w:after="0" w:line="2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5.</w:t>
      </w:r>
      <w:r>
        <w:rPr>
          <w:sz w:val="20"/>
          <w:szCs w:val="20"/>
          <w:color w:val="auto"/>
        </w:rPr>
        <w:tab/>
      </w:r>
      <w:r>
        <w:rPr>
          <w:rFonts w:ascii="Times New Roman" w:cs="Times New Roman" w:eastAsia="Times New Roman" w:hAnsi="Times New Roman"/>
          <w:sz w:val="21"/>
          <w:szCs w:val="21"/>
          <w:b w:val="1"/>
          <w:bCs w:val="1"/>
          <w:color w:val="auto"/>
        </w:rPr>
        <w:t>Tax Considerations</w:t>
      </w:r>
    </w:p>
    <w:p>
      <w:pPr>
        <w:spacing w:after="0" w:line="237"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22"/>
          <w:szCs w:val="22"/>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Method of Compensation Recovery</w:t>
      </w:r>
    </w:p>
    <w:p>
      <w:pPr>
        <w:spacing w:after="0" w:line="23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The Committee shall determine, in its sole discretion, the method for recovering Erroneously Awarded Compensation hereunder, which may include, without limitation, any one or more of the following:</w:t>
      </w:r>
    </w:p>
    <w:p>
      <w:pPr>
        <w:spacing w:after="0" w:line="171" w:lineRule="exact"/>
        <w:rPr>
          <w:sz w:val="20"/>
          <w:szCs w:val="20"/>
          <w:color w:val="auto"/>
        </w:rPr>
      </w:pPr>
    </w:p>
    <w:p>
      <w:pPr>
        <w:ind w:left="1300" w:hanging="320"/>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w:t>
      </w:r>
    </w:p>
    <w:p>
      <w:pPr>
        <w:spacing w:after="0" w:line="219" w:lineRule="exact"/>
        <w:rPr>
          <w:rFonts w:ascii="Times New Roman" w:cs="Times New Roman" w:eastAsia="Times New Roman" w:hAnsi="Times New Roman"/>
          <w:sz w:val="22"/>
          <w:szCs w:val="22"/>
          <w:color w:val="auto"/>
        </w:rPr>
      </w:pPr>
    </w:p>
    <w:p>
      <w:pPr>
        <w:ind w:left="1300" w:right="20" w:hanging="320"/>
        <w:spacing w:after="0" w:line="271" w:lineRule="auto"/>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7"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equity-based awards;</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w:t>
      </w:r>
    </w:p>
    <w:p>
      <w:pPr>
        <w:spacing w:after="0" w:line="23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offsetting against planned future grants of equity-based awards; and/or</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applicable law or contract.</w:t>
      </w:r>
    </w:p>
    <w:p>
      <w:pPr>
        <w:spacing w:after="0" w:line="220" w:lineRule="exact"/>
        <w:rPr>
          <w:sz w:val="20"/>
          <w:szCs w:val="20"/>
          <w:color w:val="auto"/>
        </w:rPr>
      </w:pPr>
    </w:p>
    <w:p>
      <w:pPr>
        <w:ind w:right="1040"/>
        <w:spacing w:after="0" w:line="271" w:lineRule="auto"/>
        <w:rPr>
          <w:sz w:val="20"/>
          <w:szCs w:val="20"/>
          <w:color w:val="auto"/>
        </w:rPr>
      </w:pPr>
      <w:r>
        <w:rPr>
          <w:rFonts w:ascii="Times New Roman" w:cs="Times New Roman" w:eastAsia="Times New Roman" w:hAnsi="Times New Roman"/>
          <w:sz w:val="22"/>
          <w:szCs w:val="22"/>
          <w:color w:val="auto"/>
        </w:rPr>
        <w:t>The Committee need not utilize the same method of recovery from all Covered Persons or with respect to all types of Erroneously Awarded Compensation.</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In the event the Company is required to recover Erroneously Awarded Compensation from a Covered Person who is no longer an employee, the Company is entitled to seek such recovery in order to comply with applicable law, regardless of the terms of any release of claims or separation agreement such individual may have signed.</w:t>
      </w:r>
    </w:p>
    <w:p>
      <w:pPr>
        <w:spacing w:after="0" w:line="182" w:lineRule="exact"/>
        <w:rPr>
          <w:sz w:val="20"/>
          <w:szCs w:val="20"/>
          <w:color w:val="auto"/>
        </w:rPr>
      </w:pPr>
    </w:p>
    <w:p>
      <w:pPr>
        <w:ind w:left="400" w:hanging="392"/>
        <w:spacing w:after="0"/>
        <w:tabs>
          <w:tab w:leader="none" w:pos="400"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Interpretation</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70"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ACTIVE/130761058.2</w:t>
      </w:r>
    </w:p>
    <w:p>
      <w:pPr>
        <w:sectPr>
          <w:pgSz w:w="11900" w:h="16838" w:orient="portrait"/>
          <w:cols w:equalWidth="0" w:num="1">
            <w:col w:w="11180"/>
          </w:cols>
          <w:pgMar w:left="320" w:top="1440" w:right="399" w:bottom="1440" w:gutter="0" w:footer="0" w:header="0"/>
        </w:sectPr>
      </w:pPr>
    </w:p>
    <w:bookmarkStart w:id="210" w:name="page211"/>
    <w:bookmarkEnd w:id="210"/>
    <w:p>
      <w:pPr>
        <w:spacing w:after="0" w:line="158" w:lineRule="exact"/>
        <w:rPr>
          <w:sz w:val="20"/>
          <w:szCs w:val="20"/>
          <w:color w:val="auto"/>
        </w:rPr>
      </w:pPr>
    </w:p>
    <w:p>
      <w:pPr>
        <w:ind w:right="400"/>
        <w:spacing w:after="0" w:line="251" w:lineRule="auto"/>
        <w:rPr>
          <w:sz w:val="20"/>
          <w:szCs w:val="20"/>
          <w:color w:val="auto"/>
        </w:rPr>
      </w:pPr>
      <w:r>
        <w:rPr>
          <w:rFonts w:ascii="Times New Roman" w:cs="Times New Roman" w:eastAsia="Times New Roman" w:hAnsi="Times New Roman"/>
          <w:sz w:val="22"/>
          <w:szCs w:val="22"/>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spacing w:after="0" w:line="17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8.</w:t>
      </w:r>
      <w:r>
        <w:rPr>
          <w:sz w:val="20"/>
          <w:szCs w:val="20"/>
          <w:color w:val="auto"/>
        </w:rPr>
        <w:tab/>
      </w:r>
      <w:r>
        <w:rPr>
          <w:rFonts w:ascii="Times New Roman" w:cs="Times New Roman" w:eastAsia="Times New Roman" w:hAnsi="Times New Roman"/>
          <w:sz w:val="21"/>
          <w:szCs w:val="21"/>
          <w:b w:val="1"/>
          <w:bCs w:val="1"/>
          <w:color w:val="auto"/>
        </w:rPr>
        <w:t>Policy Administration</w:t>
      </w:r>
    </w:p>
    <w:p>
      <w:pPr>
        <w:spacing w:after="0" w:line="25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7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9.</w:t>
      </w:r>
      <w:r>
        <w:rPr>
          <w:sz w:val="20"/>
          <w:szCs w:val="20"/>
          <w:color w:val="auto"/>
        </w:rPr>
        <w:tab/>
      </w:r>
      <w:r>
        <w:rPr>
          <w:rFonts w:ascii="Times New Roman" w:cs="Times New Roman" w:eastAsia="Times New Roman" w:hAnsi="Times New Roman"/>
          <w:sz w:val="21"/>
          <w:szCs w:val="21"/>
          <w:b w:val="1"/>
          <w:bCs w:val="1"/>
          <w:color w:val="auto"/>
        </w:rPr>
        <w:t>Compensation Recovery Repayments not Subject to Indemnification</w:t>
      </w:r>
    </w:p>
    <w:p>
      <w:pPr>
        <w:spacing w:after="0" w:line="237"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21"/>
          <w:szCs w:val="21"/>
          <w:color w:val="auto"/>
        </w:rPr>
        <w:t>Notwithstanding anything to the contrary set forth in any agreement with, or the organizational documents of, the Company or any of its subsidiaries, Covered Persons are not entitled to indemnification for Erroneously Awarded Compensation or for any claim or losses arising out of or in any way related to Erroneously Awarded Compensation recovered under this Policy.</w:t>
      </w:r>
    </w:p>
    <w:p>
      <w:pPr>
        <w:spacing w:after="0" w:line="147" w:lineRule="exact"/>
        <w:rPr>
          <w:sz w:val="20"/>
          <w:szCs w:val="20"/>
          <w:color w:val="auto"/>
        </w:rPr>
      </w:pPr>
    </w:p>
    <w:p>
      <w:pPr>
        <w:ind w:left="480" w:hanging="472"/>
        <w:spacing w:after="0"/>
        <w:tabs>
          <w:tab w:leader="none" w:pos="48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Impairment of Other Remedies</w:t>
      </w:r>
    </w:p>
    <w:p>
      <w:pPr>
        <w:spacing w:after="0" w:line="22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Nothing contained in this Policy, and no recoupment or recovery as contemplated herein, shall limit any claims, damages or other legal remedies the Company or any of its affiliates may have against a Covered Person arising out of or resulting from any actions or omissions by the Covered Person. This Policy does not preclude the Company from taking any other action to enforce a Covered Person’s obligations to the Company, including, without limitation, termination of employment and/or institution of civil proceedings. This Policy is in addition to the requirements of Section 304 of the Sarbanes-Oxley Act of 2002 (“SOX 304”)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70"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ACTIVE/130761058.2</w:t>
      </w:r>
    </w:p>
    <w:p>
      <w:pPr>
        <w:sectPr>
          <w:pgSz w:w="11900" w:h="16838" w:orient="portrait"/>
          <w:cols w:equalWidth="0" w:num="1">
            <w:col w:w="11220"/>
          </w:cols>
          <w:pgMar w:left="320" w:top="1440" w:right="359" w:bottom="1440" w:gutter="0" w:footer="0" w:header="0"/>
        </w:sectPr>
      </w:pPr>
    </w:p>
    <w:bookmarkStart w:id="211" w:name="page212"/>
    <w:bookmarkEnd w:id="211"/>
    <w:p>
      <w:pPr>
        <w:spacing w:after="0" w:line="15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recouped pursuant to SOX 304 or any such compensation recoupment policy and/or similar provisions in any such employment, equity plan, equity award, or other individual agreement except as may be required by law.</w:t>
      </w:r>
    </w:p>
    <w:p>
      <w:pPr>
        <w:spacing w:after="0" w:line="140" w:lineRule="exact"/>
        <w:rPr>
          <w:sz w:val="20"/>
          <w:szCs w:val="20"/>
          <w:color w:val="auto"/>
        </w:rPr>
      </w:pPr>
    </w:p>
    <w:p>
      <w:pPr>
        <w:ind w:right="980" w:firstLine="8"/>
        <w:spacing w:after="0" w:line="275" w:lineRule="auto"/>
        <w:tabs>
          <w:tab w:leader="none" w:pos="486"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Recovery Requirement Shall not Constitute “Good Reason” Under Employment or Other Compensation Agreements</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Any action by the Company to recoup or any recoupment of Erroneously Awarded Compensation under this Policy from a Covered Person shall not be deemed (i) “good reason” for such Covered Person’s resignation or to serve as a basis for a claim of constructive termination under any employment or severance agreement with the Company or under the terms of any benefits or compensation arrangement applicable to such Covered Person, or (ii) to constitute a breach of a contract or other arrangement to which such Covered Person is party.</w:t>
      </w:r>
    </w:p>
    <w:p>
      <w:pPr>
        <w:spacing w:after="0" w:line="17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Amendment; Termination</w:t>
      </w:r>
    </w:p>
    <w:p>
      <w:pPr>
        <w:spacing w:after="0" w:line="224"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color w:val="auto"/>
        </w:rPr>
        <w:t>The Committee may amend this Policy in its discretion, including as it deems necessary to comply with the regulations adopted by the SEC under Rule 10D-1 and the rules of any national securities exchange or national securities association on which the Company’s securities are listed. The Committee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w:t>
      </w:r>
    </w:p>
    <w:p>
      <w:pPr>
        <w:spacing w:after="0" w:line="177" w:lineRule="exact"/>
        <w:rPr>
          <w:sz w:val="20"/>
          <w:szCs w:val="20"/>
          <w:color w:val="auto"/>
        </w:rPr>
      </w:pPr>
    </w:p>
    <w:p>
      <w:pPr>
        <w:ind w:left="500" w:hanging="492"/>
        <w:spacing w:after="0"/>
        <w:tabs>
          <w:tab w:leader="none" w:pos="500"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w:t>
      </w:r>
    </w:p>
    <w:p>
      <w:pPr>
        <w:spacing w:after="0" w:line="23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This Policy shall be binding and enforceable against all Covered Executives and their successors,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6</w:t>
      </w:r>
    </w:p>
    <w:p>
      <w:pPr>
        <w:spacing w:after="0" w:line="70"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ACTIVE/130761058.2</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13EFDC5"/>
    <w:multiLevelType w:val="hybridMultilevel"/>
    <w:lvl w:ilvl="0">
      <w:lvlJc w:val="left"/>
      <w:lvlText w:val="x"/>
      <w:numFmt w:val="bullet"/>
      <w:start w:val="1"/>
    </w:lvl>
  </w:abstractNum>
  <w:abstractNum w:abstractNumId="1">
    <w:nsid w:val="BF72B14"/>
    <w:multiLevelType w:val="hybridMultilevel"/>
    <w:lvl w:ilvl="0">
      <w:lvlJc w:val="left"/>
      <w:lvlText w:val="o"/>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1"/>
      <w:numFmt w:val="bullet"/>
      <w:start w:val="1"/>
    </w:lvl>
  </w:abstractNum>
  <w:abstractNum w:abstractNumId="13">
    <w:nsid w:val="7FFFCA11"/>
    <w:multiLevelType w:val="hybridMultilevel"/>
    <w:lvl w:ilvl="0">
      <w:lvlJc w:val="left"/>
      <w:lvlText w:val="(%1)"/>
      <w:numFmt w:val="lowerRoman"/>
      <w:start w:val="3"/>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1"/>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
      <w:numFmt w:val="bullet"/>
      <w:start w:val="1"/>
    </w:lvl>
  </w:abstractNum>
  <w:abstractNum w:abstractNumId="41">
    <w:nsid w:val="5FB8370B"/>
    <w:multiLevelType w:val="hybridMultilevel"/>
    <w:lvl w:ilvl="0">
      <w:lvlJc w:val="left"/>
      <w:lvlText w:val="(%1)"/>
      <w:numFmt w:val="lowerRoman"/>
      <w:start w:val="2"/>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
      <w:numFmt w:val="bullet"/>
      <w:start w:val="1"/>
    </w:lvl>
  </w:abstractNum>
  <w:abstractNum w:abstractNumId="46">
    <w:nsid w:val="7672BD23"/>
    <w:multiLevelType w:val="hybridMultilevel"/>
    <w:lvl w:ilvl="0">
      <w:lvlJc w:val="left"/>
      <w:lvlText w:val="•"/>
      <w:numFmt w:val="bullet"/>
      <w:start w:val="1"/>
    </w:lvl>
  </w:abstractNum>
  <w:abstractNum w:abstractNumId="47">
    <w:nsid w:val="6FC75AF8"/>
    <w:multiLevelType w:val="hybridMultilevel"/>
    <w:lvl w:ilvl="0">
      <w:lvlJc w:val="left"/>
      <w:lvlText w:val="•"/>
      <w:numFmt w:val="bullet"/>
      <w:start w:val="1"/>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
      <w:numFmt w:val="bullet"/>
      <w:start w:val="1"/>
    </w:lvl>
  </w:abstractNum>
  <w:abstractNum w:abstractNumId="51">
    <w:nsid w:val="73A1821B"/>
    <w:multiLevelType w:val="hybridMultilevel"/>
    <w:lvl w:ilvl="0">
      <w:lvlJc w:val="left"/>
      <w:lvlText w:val="(%1)"/>
      <w:numFmt w:val="lowerRoman"/>
      <w:start w:val="2"/>
    </w:lvl>
  </w:abstractNum>
  <w:abstractNum w:abstractNumId="52">
    <w:nsid w:val="7DE67713"/>
    <w:multiLevelType w:val="hybridMultilevel"/>
    <w:lvl w:ilvl="0">
      <w:lvlJc w:val="left"/>
      <w:lvlText w:val="•"/>
      <w:numFmt w:val="bullet"/>
      <w:start w:val="1"/>
    </w:lvl>
  </w:abstractNum>
  <w:abstractNum w:abstractNumId="53">
    <w:nsid w:val="555C55B5"/>
    <w:multiLevelType w:val="hybridMultilevel"/>
    <w:lvl w:ilvl="0">
      <w:lvlJc w:val="left"/>
      <w:lvlText w:val="•"/>
      <w:numFmt w:val="bullet"/>
      <w:start w:val="1"/>
    </w:lvl>
  </w:abstractNum>
  <w:abstractNum w:abstractNumId="54">
    <w:nsid w:val="3FA62ACA"/>
    <w:multiLevelType w:val="hybridMultilevel"/>
    <w:lvl w:ilvl="0">
      <w:lvlJc w:val="left"/>
      <w:lvlText w:val="•"/>
      <w:numFmt w:val="bullet"/>
      <w:start w:val="1"/>
    </w:lvl>
  </w:abstractNum>
  <w:abstractNum w:abstractNumId="55">
    <w:nsid w:val="14FCE74E"/>
    <w:multiLevelType w:val="hybridMultilevel"/>
    <w:lvl w:ilvl="0">
      <w:lvlJc w:val="left"/>
      <w:lvlText w:val="•"/>
      <w:numFmt w:val="bullet"/>
      <w:start w:val="1"/>
    </w:lvl>
  </w:abstractNum>
  <w:abstractNum w:abstractNumId="56">
    <w:nsid w:val="6A3DD3E8"/>
    <w:multiLevelType w:val="hybridMultilevel"/>
    <w:lvl w:ilvl="0">
      <w:lvlJc w:val="left"/>
      <w:lvlText w:val="•"/>
      <w:numFmt w:val="bullet"/>
      <w:start w:val="1"/>
    </w:lvl>
  </w:abstractNum>
  <w:abstractNum w:abstractNumId="57">
    <w:nsid w:val="71C91298"/>
    <w:multiLevelType w:val="hybridMultilevel"/>
    <w:lvl w:ilvl="0">
      <w:lvlJc w:val="left"/>
      <w:lvlText w:val="•"/>
      <w:numFmt w:val="bullet"/>
      <w:start w:val="1"/>
    </w:lvl>
  </w:abstractNum>
  <w:abstractNum w:abstractNumId="58">
    <w:nsid w:val="9DAF632"/>
    <w:multiLevelType w:val="hybridMultilevel"/>
    <w:lvl w:ilvl="0">
      <w:lvlJc w:val="left"/>
      <w:lvlText w:val="1"/>
      <w:numFmt w:val="bullet"/>
      <w:start w:val="1"/>
    </w:lvl>
  </w:abstractNum>
  <w:abstractNum w:abstractNumId="59">
    <w:nsid w:val="53299938"/>
    <w:multiLevelType w:val="hybridMultilevel"/>
    <w:lvl w:ilvl="0">
      <w:lvlJc w:val="left"/>
      <w:lvlText w:val="2"/>
      <w:numFmt w:val="bullet"/>
      <w:start w:val="1"/>
    </w:lvl>
  </w:abstractNum>
  <w:abstractNum w:abstractNumId="60">
    <w:nsid w:val="1FBFE8E0"/>
    <w:multiLevelType w:val="hybridMultilevel"/>
    <w:lvl w:ilvl="0">
      <w:lvlJc w:val="left"/>
      <w:lvlText w:val="4"/>
      <w:numFmt w:val="bullet"/>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
      <w:numFmt w:val="bullet"/>
      <w:start w:val="1"/>
    </w:lvl>
  </w:abstractNum>
  <w:abstractNum w:abstractNumId="63">
    <w:nsid w:val="59ADEA3D"/>
    <w:multiLevelType w:val="hybridMultilevel"/>
    <w:lvl w:ilvl="0">
      <w:lvlJc w:val="left"/>
      <w:lvlText w:val="•"/>
      <w:numFmt w:val="bullet"/>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
      <w:numFmt w:val="bullet"/>
      <w:start w:val="1"/>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1"/>
      <w:numFmt w:val="bullet"/>
      <w:start w:val="1"/>
    </w:lvl>
  </w:abstractNum>
  <w:abstractNum w:abstractNumId="69">
    <w:nsid w:val="1CA0C5FA"/>
    <w:multiLevelType w:val="hybridMultilevel"/>
    <w:lvl w:ilvl="0">
      <w:lvlJc w:val="left"/>
      <w:lvlText w:val="1"/>
      <w:numFmt w:val="bullet"/>
      <w:start w:val="1"/>
    </w:lvl>
  </w:abstractNum>
  <w:abstractNum w:abstractNumId="70">
    <w:nsid w:val="53584BCB"/>
    <w:multiLevelType w:val="hybridMultilevel"/>
    <w:lvl w:ilvl="0">
      <w:lvlJc w:val="left"/>
      <w:lvlText w:val="1"/>
      <w:numFmt w:val="bullet"/>
      <w:start w:val="1"/>
    </w:lvl>
  </w:abstractNum>
  <w:abstractNum w:abstractNumId="71">
    <w:nsid w:val="415E286C"/>
    <w:multiLevelType w:val="hybridMultilevel"/>
    <w:lvl w:ilvl="0">
      <w:lvlJc w:val="left"/>
      <w:lvlText w:val="3"/>
      <w:numFmt w:val="bullet"/>
      <w:start w:val="1"/>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1)"/>
      <w:numFmt w:val="lowerRoman"/>
      <w:start w:val="2"/>
    </w:lvl>
  </w:abstractNum>
  <w:abstractNum w:abstractNumId="74">
    <w:nsid w:val="45E6D486"/>
    <w:multiLevelType w:val="hybridMultilevel"/>
    <w:lvl w:ilvl="0">
      <w:lvlJc w:val="left"/>
      <w:lvlText w:val="&amp;"/>
      <w:numFmt w:val="bullet"/>
      <w:start w:val="1"/>
    </w:lvl>
  </w:abstractNum>
  <w:abstractNum w:abstractNumId="75">
    <w:nsid w:val="5C10FE21"/>
    <w:multiLevelType w:val="hybridMultilevel"/>
    <w:lvl w:ilvl="0">
      <w:lvlJc w:val="left"/>
      <w:lvlText w:val="%1."/>
      <w:numFmt w:val="decimal"/>
      <w:start w:val="1"/>
    </w:lvl>
    <w:lvl w:ilvl="1">
      <w:lvlJc w:val="left"/>
      <w:lvlText w:val="(%2)"/>
      <w:numFmt w:val="lowerLetter"/>
      <w:start w:val="1"/>
    </w:lvl>
  </w:abstractNum>
  <w:abstractNum w:abstractNumId="76">
    <w:nsid w:val="E7FFA2B"/>
    <w:multiLevelType w:val="hybridMultilevel"/>
    <w:lvl w:ilvl="0">
      <w:lvlJc w:val="left"/>
      <w:lvlText w:val="%1"/>
      <w:numFmt w:val="decimal"/>
      <w:start w:val="1"/>
    </w:lvl>
    <w:lvl w:ilvl="1">
      <w:lvlJc w:val="left"/>
      <w:lvlText w:val="(%2)"/>
      <w:numFmt w:val="lowerLetter"/>
      <w:start w:val="3"/>
    </w:lvl>
  </w:abstractNum>
  <w:abstractNum w:abstractNumId="77">
    <w:nsid w:val="3C5991AA"/>
    <w:multiLevelType w:val="hybridMultilevel"/>
    <w:lvl w:ilvl="0">
      <w:lvlJc w:val="left"/>
      <w:lvlText w:val="%1."/>
      <w:numFmt w:val="decimal"/>
      <w:start w:val="3"/>
    </w:lvl>
    <w:lvl w:ilvl="1">
      <w:lvlJc w:val="left"/>
      <w:lvlText w:val="(%2)"/>
      <w:numFmt w:val="lowerLetter"/>
      <w:start w:val="1"/>
    </w:lvl>
  </w:abstractNum>
  <w:abstractNum w:abstractNumId="78">
    <w:nsid w:val="4BD8591A"/>
    <w:multiLevelType w:val="hybridMultilevel"/>
    <w:lvl w:ilvl="0">
      <w:lvlJc w:val="left"/>
      <w:lvlText w:val="(%1)"/>
      <w:numFmt w:val="lowerLetter"/>
      <w:start w:val="3"/>
    </w:lvl>
    <w:lvl w:ilvl="1">
      <w:lvlJc w:val="left"/>
      <w:lvlText w:val="(%2)"/>
      <w:numFmt w:val="lowerRoman"/>
      <w:start w:val="1"/>
    </w:lvl>
  </w:abstractNum>
  <w:abstractNum w:abstractNumId="79">
    <w:nsid w:val="78DF6A55"/>
    <w:multiLevelType w:val="hybridMultilevel"/>
    <w:lvl w:ilvl="0">
      <w:lvlJc w:val="left"/>
      <w:lvlText w:val="(%1)"/>
      <w:numFmt w:val="lowerLetter"/>
      <w:start w:val="2"/>
    </w:lvl>
    <w:lvl w:ilvl="1">
      <w:lvlJc w:val="left"/>
      <w:lvlText w:val="(%2)"/>
      <w:numFmt w:val="lowerLetter"/>
      <w:start w:val="5"/>
    </w:lvl>
    <w:lvl w:ilvl="2">
      <w:lvlJc w:val="left"/>
      <w:lvlText w:val="(%3)"/>
      <w:numFmt w:val="lowerRoman"/>
      <w:start w:val="1"/>
    </w:lvl>
  </w:abstractNum>
  <w:abstractNum w:abstractNumId="80">
    <w:nsid w:val="39B7AAA2"/>
    <w:multiLevelType w:val="hybridMultilevel"/>
    <w:lvl w:ilvl="0">
      <w:lvlJc w:val="left"/>
      <w:lvlText w:val="(%1)"/>
      <w:numFmt w:val="lowerRoman"/>
      <w:start w:val="1"/>
    </w:lvl>
  </w:abstractNum>
  <w:abstractNum w:abstractNumId="81">
    <w:nsid w:val="2B0D8DBE"/>
    <w:multiLevelType w:val="hybridMultilevel"/>
    <w:lvl w:ilvl="0">
      <w:lvlJc w:val="left"/>
      <w:lvlText w:val="%1."/>
      <w:numFmt w:val="decimal"/>
      <w:start w:val="4"/>
    </w:lvl>
    <w:lvl w:ilvl="1">
      <w:lvlJc w:val="left"/>
      <w:lvlText w:val="(%2)"/>
      <w:numFmt w:val="lowerLetter"/>
      <w:start w:val="1"/>
    </w:lvl>
  </w:abstractNum>
  <w:abstractNum w:abstractNumId="82">
    <w:nsid w:val="6C80EC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83">
    <w:nsid w:val="379E21B5"/>
    <w:multiLevelType w:val="hybridMultilevel"/>
    <w:lvl w:ilvl="0">
      <w:lvlJc w:val="left"/>
      <w:lvlText w:val="(%1)"/>
      <w:numFmt w:val="lowerLetter"/>
      <w:start w:val="22"/>
    </w:lvl>
    <w:lvl w:ilvl="1">
      <w:lvlJc w:val="left"/>
      <w:lvlText w:val="%2."/>
      <w:numFmt w:val="decimal"/>
      <w:start w:val="4"/>
    </w:lvl>
    <w:lvl w:ilvl="2">
      <w:lvlJc w:val="left"/>
      <w:lvlText w:val="(%3)"/>
      <w:numFmt w:val="lowerLetter"/>
      <w:start w:val="3"/>
    </w:lvl>
  </w:abstractNum>
  <w:abstractNum w:abstractNumId="84">
    <w:nsid w:val="69E37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5">
    <w:nsid w:val="2C27173B"/>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86">
    <w:nsid w:val="4C9B0904"/>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87">
    <w:nsid w:val="6AA7B7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88">
    <w:nsid w:val="1DF029D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9">
    <w:nsid w:val="5675FF36"/>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90">
    <w:nsid w:val="3DD15094"/>
    <w:multiLevelType w:val="hybridMultilevel"/>
    <w:lvl w:ilvl="0">
      <w:lvlJc w:val="left"/>
      <w:lvlText w:val="%1"/>
      <w:numFmt w:val="decimal"/>
      <w:start w:val="1"/>
    </w:lvl>
    <w:lvl w:ilvl="1">
      <w:lvlJc w:val="left"/>
      <w:lvlText w:val="(%2)"/>
      <w:numFmt w:val="lowerLetter"/>
      <w:start w:val="5"/>
    </w:lvl>
  </w:abstractNum>
  <w:abstractNum w:abstractNumId="91">
    <w:nsid w:val="3DB012B3"/>
    <w:multiLevelType w:val="hybridMultilevel"/>
    <w:lvl w:ilvl="0">
      <w:lvlJc w:val="left"/>
      <w:lvlText w:val="%1."/>
      <w:numFmt w:val="decimal"/>
      <w:start w:val="8"/>
    </w:lvl>
    <w:lvl w:ilvl="1">
      <w:lvlJc w:val="left"/>
      <w:lvlText w:val="(%2)"/>
      <w:numFmt w:val="lowerLetter"/>
      <w:start w:val="1"/>
    </w:lvl>
  </w:abstractNum>
  <w:abstractNum w:abstractNumId="92">
    <w:nsid w:val="2708C9AF"/>
    <w:multiLevelType w:val="hybridMultilevel"/>
    <w:lvl w:ilvl="0">
      <w:lvlJc w:val="left"/>
      <w:lvlText w:val="%1"/>
      <w:numFmt w:val="decimal"/>
      <w:start w:val="1"/>
    </w:lvl>
    <w:lvl w:ilvl="1">
      <w:lvlJc w:val="left"/>
      <w:lvlText w:val="(%2)"/>
      <w:numFmt w:val="lowerLetter"/>
      <w:start w:val="4"/>
    </w:lvl>
  </w:abstractNum>
  <w:abstractNum w:abstractNumId="93">
    <w:nsid w:val="5B25ACE2"/>
    <w:multiLevelType w:val="hybridMultilevel"/>
    <w:lvl w:ilvl="0">
      <w:lvlJc w:val="left"/>
      <w:lvlText w:val="%1."/>
      <w:numFmt w:val="decimal"/>
      <w:start w:val="9"/>
    </w:lvl>
    <w:lvl w:ilvl="1">
      <w:lvlJc w:val="left"/>
      <w:lvlText w:val="%2"/>
      <w:numFmt w:val="lowerLetter"/>
      <w:start w:val="1"/>
    </w:lvl>
  </w:abstractNum>
  <w:abstractNum w:abstractNumId="94">
    <w:nsid w:val="175DFCF0"/>
    <w:multiLevelType w:val="hybridMultilevel"/>
    <w:lvl w:ilvl="0">
      <w:lvlJc w:val="left"/>
      <w:lvlText w:val="%1."/>
      <w:numFmt w:val="decimal"/>
      <w:start w:val="15"/>
    </w:lvl>
  </w:abstractNum>
  <w:abstractNum w:abstractNumId="95">
    <w:nsid w:val="4F97E3E4"/>
    <w:multiLevelType w:val="hybridMultilevel"/>
    <w:lvl w:ilvl="0">
      <w:lvlJc w:val="left"/>
      <w:lvlText w:val="%1."/>
      <w:numFmt w:val="upperLetter"/>
      <w:start w:val="1"/>
    </w:lvl>
  </w:abstractNum>
  <w:abstractNum w:abstractNumId="96">
    <w:nsid w:val="53B0A9E"/>
    <w:multiLevelType w:val="hybridMultilevel"/>
    <w:lvl w:ilvl="0">
      <w:lvlJc w:val="left"/>
      <w:lvlText w:val="%1."/>
      <w:numFmt w:val="decimal"/>
      <w:start w:val="1"/>
    </w:lvl>
  </w:abstractNum>
  <w:abstractNum w:abstractNumId="97">
    <w:nsid w:val="34FD6B4F"/>
    <w:multiLevelType w:val="hybridMultilevel"/>
    <w:lvl w:ilvl="0">
      <w:lvlJc w:val="left"/>
      <w:lvlText w:val="%1."/>
      <w:numFmt w:val="decimal"/>
      <w:start w:val="1"/>
    </w:lvl>
  </w:abstractNum>
  <w:abstractNum w:abstractNumId="98">
    <w:nsid w:val="5915FF32"/>
    <w:multiLevelType w:val="hybridMultilevel"/>
    <w:lvl w:ilvl="0">
      <w:lvlJc w:val="left"/>
      <w:lvlText w:val="%1."/>
      <w:numFmt w:val="decimal"/>
      <w:start w:val="1"/>
    </w:lvl>
  </w:abstractNum>
  <w:abstractNum w:abstractNumId="99">
    <w:nsid w:val="56438D15"/>
    <w:multiLevelType w:val="hybridMultilevel"/>
    <w:lvl w:ilvl="0">
      <w:lvlJc w:val="left"/>
      <w:lvlText w:val="%1."/>
      <w:numFmt w:val="decimal"/>
      <w:start w:val="1"/>
    </w:lvl>
  </w:abstractNum>
  <w:abstractNum w:abstractNumId="100">
    <w:nsid w:val="519E3149"/>
    <w:multiLevelType w:val="hybridMultilevel"/>
    <w:lvl w:ilvl="0">
      <w:lvlJc w:val="left"/>
      <w:lvlText w:val="%1."/>
      <w:numFmt w:val="decimal"/>
      <w:start w:val="2"/>
    </w:lvl>
  </w:abstractNum>
  <w:abstractNum w:abstractNumId="101">
    <w:nsid w:val="2C6E4AFD"/>
    <w:multiLevelType w:val="hybridMultilevel"/>
    <w:lvl w:ilvl="0">
      <w:lvlJc w:val="left"/>
      <w:lvlText w:val="%1."/>
      <w:numFmt w:val="decimal"/>
      <w:start w:val="1"/>
    </w:lvl>
  </w:abstractNum>
  <w:abstractNum w:abstractNumId="102">
    <w:nsid w:val="17A1B582"/>
    <w:multiLevelType w:val="hybridMultilevel"/>
    <w:lvl w:ilvl="0">
      <w:lvlJc w:val="left"/>
      <w:lvlText w:val="%1."/>
      <w:numFmt w:val="decimal"/>
      <w:start w:val="1"/>
    </w:lvl>
  </w:abstractNum>
  <w:abstractNum w:abstractNumId="103">
    <w:nsid w:val="4DF72E4E"/>
    <w:multiLevelType w:val="hybridMultilevel"/>
    <w:lvl w:ilvl="0">
      <w:lvlJc w:val="left"/>
      <w:lvlText w:val="%1."/>
      <w:numFmt w:val="decimal"/>
      <w:start w:val="1"/>
    </w:lvl>
  </w:abstractNum>
  <w:abstractNum w:abstractNumId="104">
    <w:nsid w:val="5046B5A9"/>
    <w:multiLevelType w:val="hybridMultilevel"/>
    <w:lvl w:ilvl="0">
      <w:lvlJc w:val="left"/>
      <w:lvlText w:val="%1."/>
      <w:numFmt w:val="decimal"/>
      <w:start w:val="1"/>
    </w:lvl>
  </w:abstractNum>
  <w:abstractNum w:abstractNumId="105">
    <w:nsid w:val="5D888A08"/>
    <w:multiLevelType w:val="hybridMultilevel"/>
    <w:lvl w:ilvl="0">
      <w:lvlJc w:val="left"/>
      <w:lvlText w:val="%1."/>
      <w:numFmt w:val="decimal"/>
      <w:start w:val="1"/>
    </w:lvl>
  </w:abstractNum>
  <w:abstractNum w:abstractNumId="106">
    <w:nsid w:val="2A082C70"/>
    <w:multiLevelType w:val="hybridMultilevel"/>
    <w:lvl w:ilvl="0">
      <w:lvlJc w:val="left"/>
      <w:lvlText w:val="%1."/>
      <w:numFmt w:val="decimal"/>
      <w:start w:val="1"/>
    </w:lvl>
  </w:abstractNum>
  <w:abstractNum w:abstractNumId="107">
    <w:nsid w:val="5EC6AFD4"/>
    <w:multiLevelType w:val="hybridMultilevel"/>
    <w:lvl w:ilvl="0">
      <w:lvlJc w:val="left"/>
      <w:lvlText w:val="%1."/>
      <w:numFmt w:val="decimal"/>
      <w:start w:val="1"/>
    </w:lvl>
  </w:abstractNum>
  <w:abstractNum w:abstractNumId="108">
    <w:nsid w:val="19E21BB2"/>
    <w:multiLevelType w:val="hybridMultilevel"/>
    <w:lvl w:ilvl="0">
      <w:lvlJc w:val="left"/>
      <w:lvlText w:val="%1."/>
      <w:numFmt w:val="decimal"/>
      <w:start w:val="1"/>
    </w:lvl>
  </w:abstractNum>
  <w:abstractNum w:abstractNumId="109">
    <w:nsid w:val="75E0858A"/>
    <w:multiLevelType w:val="hybridMultilevel"/>
    <w:lvl w:ilvl="0">
      <w:lvlJc w:val="left"/>
      <w:lvlText w:val="%1."/>
      <w:numFmt w:val="decimal"/>
      <w:start w:val="1"/>
    </w:lvl>
  </w:abstractNum>
  <w:abstractNum w:abstractNumId="110">
    <w:nsid w:val="57A61A29"/>
    <w:multiLevelType w:val="hybridMultilevel"/>
    <w:lvl w:ilvl="0">
      <w:lvlJc w:val="left"/>
      <w:lvlText w:val="%1."/>
      <w:numFmt w:val="decimal"/>
      <w:start w:val="1"/>
    </w:lvl>
  </w:abstractNum>
  <w:abstractNum w:abstractNumId="111">
    <w:nsid w:val="5399C654"/>
    <w:multiLevelType w:val="hybridMultilevel"/>
    <w:lvl w:ilvl="0">
      <w:lvlJc w:val="left"/>
      <w:lvlText w:val="1"/>
      <w:numFmt w:val="bullet"/>
      <w:start w:val="1"/>
    </w:lvl>
  </w:abstractNum>
  <w:abstractNum w:abstractNumId="112">
    <w:nsid w:val="20EE1348"/>
    <w:multiLevelType w:val="hybridMultilevel"/>
    <w:lvl w:ilvl="0">
      <w:lvlJc w:val="left"/>
      <w:lvlText w:val="2"/>
      <w:numFmt w:val="bullet"/>
      <w:start w:val="1"/>
    </w:lvl>
  </w:abstractNum>
  <w:abstractNum w:abstractNumId="113">
    <w:nsid w:val="4427069A"/>
    <w:multiLevelType w:val="hybridMultilevel"/>
    <w:lvl w:ilvl="0">
      <w:lvlJc w:val="left"/>
      <w:lvlText w:val="3"/>
      <w:numFmt w:val="bullet"/>
      <w:start w:val="1"/>
    </w:lvl>
  </w:abstractNum>
  <w:abstractNum w:abstractNumId="114">
    <w:nsid w:val="B37E80A"/>
    <w:multiLevelType w:val="hybridMultilevel"/>
    <w:lvl w:ilvl="0">
      <w:lvlJc w:val="left"/>
      <w:lvlText w:val="•"/>
      <w:numFmt w:val="bullet"/>
      <w:start w:val="1"/>
    </w:lvl>
  </w:abstractNum>
  <w:abstractNum w:abstractNumId="115">
    <w:nsid w:val="2157F6BC"/>
    <w:multiLevelType w:val="hybridMultilevel"/>
    <w:lvl w:ilvl="0">
      <w:lvlJc w:val="left"/>
      <w:lvlText w:val="4"/>
      <w:numFmt w:val="bullet"/>
      <w:start w:val="1"/>
    </w:lvl>
  </w:abstractNum>
  <w:abstractNum w:abstractNumId="116">
    <w:nsid w:val="704E1DD5"/>
    <w:multiLevelType w:val="hybridMultilevel"/>
    <w:lvl w:ilvl="0">
      <w:lvlJc w:val="left"/>
      <w:lvlText w:val="(%1)"/>
      <w:numFmt w:val="lowerLetter"/>
      <w:start w:val="2"/>
    </w:lvl>
  </w:abstractNum>
  <w:abstractNum w:abstractNumId="117">
    <w:nsid w:val="57D2F10E"/>
    <w:multiLevelType w:val="hybridMultilevel"/>
    <w:lvl w:ilvl="0">
      <w:lvlJc w:val="left"/>
      <w:lvlText w:val="%1."/>
      <w:numFmt w:val="upperLetter"/>
      <w:start w:val="3"/>
    </w:lvl>
  </w:abstractNum>
  <w:abstractNum w:abstractNumId="118">
    <w:nsid w:val="BFFAE18"/>
    <w:multiLevelType w:val="hybridMultilevel"/>
    <w:lvl w:ilvl="0">
      <w:lvlJc w:val="left"/>
      <w:lvlText w:val="•"/>
      <w:numFmt w:val="bullet"/>
      <w:start w:val="1"/>
    </w:lvl>
  </w:abstractNum>
  <w:abstractNum w:abstractNumId="119">
    <w:nsid w:val="E3E47A8"/>
    <w:multiLevelType w:val="hybridMultilevel"/>
    <w:lvl w:ilvl="0">
      <w:lvlJc w:val="left"/>
      <w:lvlText w:val="•"/>
      <w:numFmt w:val="bullet"/>
      <w:start w:val="1"/>
    </w:lvl>
  </w:abstractNum>
  <w:abstractNum w:abstractNumId="120">
    <w:nsid w:val="2E48F044"/>
    <w:multiLevelType w:val="hybridMultilevel"/>
    <w:lvl w:ilvl="0">
      <w:lvlJc w:val="left"/>
      <w:lvlText w:val="•"/>
      <w:numFmt w:val="bullet"/>
      <w:start w:val="1"/>
    </w:lvl>
  </w:abstractNum>
  <w:abstractNum w:abstractNumId="121">
    <w:nsid w:val="49D0FEAC"/>
    <w:multiLevelType w:val="hybridMultilevel"/>
    <w:lvl w:ilvl="0">
      <w:lvlJc w:val="left"/>
      <w:lvlText w:val="%1."/>
      <w:numFmt w:val="upperLetter"/>
      <w:start w:val="1"/>
    </w:lvl>
  </w:abstractNum>
  <w:abstractNum w:abstractNumId="122">
    <w:nsid w:val="4BEE5A5B"/>
    <w:multiLevelType w:val="hybridMultilevel"/>
    <w:lvl w:ilvl="0">
      <w:lvlJc w:val="left"/>
      <w:lvlText w:val="%1."/>
      <w:numFmt w:val="decimal"/>
      <w:start w:val="1"/>
    </w:lvl>
  </w:abstractNum>
  <w:abstractNum w:abstractNumId="123">
    <w:nsid w:val="5551B9F3"/>
    <w:multiLevelType w:val="hybridMultilevel"/>
    <w:lvl w:ilvl="0">
      <w:lvlJc w:val="left"/>
      <w:lvlText w:val="%1."/>
      <w:numFmt w:val="decimal"/>
      <w:start w:val="2"/>
    </w:lvl>
  </w:abstractNum>
  <w:abstractNum w:abstractNumId="124">
    <w:nsid w:val="24F6AB8E"/>
    <w:multiLevelType w:val="hybridMultilevel"/>
    <w:lvl w:ilvl="0">
      <w:lvlJc w:val="left"/>
      <w:lvlText w:val="%1."/>
      <w:numFmt w:val="decimal"/>
      <w:start w:val="3"/>
    </w:lvl>
  </w:abstractNum>
  <w:abstractNum w:abstractNumId="125">
    <w:nsid w:val="634C574C"/>
    <w:multiLevelType w:val="hybridMultilevel"/>
    <w:lvl w:ilvl="0">
      <w:lvlJc w:val="left"/>
      <w:lvlText w:val="%1."/>
      <w:numFmt w:val="decimal"/>
      <w:start w:val="4"/>
    </w:lvl>
  </w:abstractNum>
  <w:abstractNum w:abstractNumId="126">
    <w:nsid w:val="24E99DD7"/>
    <w:multiLevelType w:val="hybridMultilevel"/>
    <w:lvl w:ilvl="0">
      <w:lvlJc w:val="left"/>
      <w:lvlText w:val="%1."/>
      <w:numFmt w:val="decimal"/>
      <w:start w:val="5"/>
    </w:lvl>
  </w:abstractNum>
  <w:abstractNum w:abstractNumId="127">
    <w:nsid w:val="2A31B62D"/>
    <w:multiLevelType w:val="hybridMultilevel"/>
    <w:lvl w:ilvl="0">
      <w:lvlJc w:val="left"/>
      <w:lvlText w:val="•"/>
      <w:numFmt w:val="bullet"/>
      <w:start w:val="1"/>
    </w:lvl>
    <w:lvl w:ilvl="1">
      <w:lvlJc w:val="left"/>
      <w:lvlText w:val="%2."/>
      <w:numFmt w:val="decimal"/>
      <w:start w:val="6"/>
    </w:lvl>
  </w:abstractNum>
  <w:abstractNum w:abstractNumId="128">
    <w:nsid w:val="1849C29B"/>
    <w:multiLevelType w:val="hybridMultilevel"/>
    <w:lvl w:ilvl="0">
      <w:lvlJc w:val="left"/>
      <w:lvlText w:val="%1."/>
      <w:numFmt w:val="upperLetter"/>
      <w:start w:val="2"/>
    </w:lvl>
  </w:abstractNum>
  <w:abstractNum w:abstractNumId="129">
    <w:nsid w:val="7DFF9D09"/>
    <w:multiLevelType w:val="hybridMultilevel"/>
    <w:lvl w:ilvl="0">
      <w:lvlJc w:val="left"/>
      <w:lvlText w:val="•"/>
      <w:numFmt w:val="bullet"/>
      <w:start w:val="1"/>
    </w:lvl>
  </w:abstractNum>
  <w:abstractNum w:abstractNumId="130">
    <w:nsid w:val="754342"/>
    <w:multiLevelType w:val="hybridMultilevel"/>
    <w:lvl w:ilvl="0">
      <w:lvlJc w:val="left"/>
      <w:lvlText w:val="%1."/>
      <w:numFmt w:val="upperLetter"/>
      <w:start w:val="3"/>
    </w:lvl>
  </w:abstractNum>
  <w:abstractNum w:abstractNumId="131">
    <w:nsid w:val="69E7F3E5"/>
    <w:multiLevelType w:val="hybridMultilevel"/>
    <w:lvl w:ilvl="0">
      <w:lvlJc w:val="left"/>
      <w:lvlText w:val="%1."/>
      <w:numFmt w:val="upperLetter"/>
      <w:start w:val="4"/>
    </w:lvl>
  </w:abstractNum>
  <w:abstractNum w:abstractNumId="132">
    <w:nsid w:val="2A6DE806"/>
    <w:multiLevelType w:val="hybridMultilevel"/>
    <w:lvl w:ilvl="0">
      <w:lvlJc w:val="left"/>
      <w:lvlText w:val="%1."/>
      <w:numFmt w:val="decimal"/>
      <w:start w:val="1"/>
    </w:lvl>
  </w:abstractNum>
  <w:abstractNum w:abstractNumId="133">
    <w:nsid w:val="1816F8C4"/>
    <w:multiLevelType w:val="hybridMultilevel"/>
    <w:lvl w:ilvl="0">
      <w:lvlJc w:val="left"/>
      <w:lvlText w:val="%1."/>
      <w:numFmt w:val="decimal"/>
      <w:start w:val="2"/>
    </w:lvl>
  </w:abstractNum>
  <w:abstractNum w:abstractNumId="134">
    <w:nsid w:val="37DF2233"/>
    <w:multiLevelType w:val="hybridMultilevel"/>
    <w:lvl w:ilvl="0">
      <w:lvlJc w:val="left"/>
      <w:lvlText w:val="%1."/>
      <w:numFmt w:val="upperLetter"/>
      <w:start w:val="5"/>
    </w:lvl>
  </w:abstractNum>
  <w:abstractNum w:abstractNumId="135">
    <w:nsid w:val="7AB49DAF"/>
    <w:multiLevelType w:val="hybridMultilevel"/>
    <w:lvl w:ilvl="0">
      <w:lvlJc w:val="left"/>
      <w:lvlText w:val="%1."/>
      <w:numFmt w:val="decimal"/>
      <w:start w:val="1"/>
    </w:lvl>
  </w:abstractNum>
  <w:abstractNum w:abstractNumId="136">
    <w:nsid w:val="759F82CD"/>
    <w:multiLevelType w:val="hybridMultilevel"/>
    <w:lvl w:ilvl="0">
      <w:lvlJc w:val="left"/>
      <w:lvlText w:val="%1:"/>
      <w:numFmt w:val="upperLetter"/>
      <w:start w:val="20"/>
    </w:lvl>
  </w:abstractNum>
  <w:abstractNum w:abstractNumId="137">
    <w:nsid w:val="61E74EA3"/>
    <w:multiLevelType w:val="hybridMultilevel"/>
    <w:lvl w:ilvl="0">
      <w:lvlJc w:val="left"/>
      <w:lvlText w:val="%1."/>
      <w:numFmt w:val="decimal"/>
      <w:start w:val="1"/>
    </w:lvl>
    <w:lvl w:ilvl="1">
      <w:lvlJc w:val="left"/>
      <w:lvlText w:val="(%2)"/>
      <w:numFmt w:val="lowerLetter"/>
      <w:start w:val="1"/>
    </w:lvl>
  </w:abstractNum>
  <w:abstractNum w:abstractNumId="138">
    <w:nsid w:val="597B4D84"/>
    <w:multiLevelType w:val="hybridMultilevel"/>
    <w:lvl w:ilvl="0">
      <w:lvlJc w:val="left"/>
      <w:lvlText w:val="%1."/>
      <w:numFmt w:val="decimal"/>
      <w:start w:val="1"/>
    </w:lvl>
    <w:lvl w:ilvl="1">
      <w:lvlJc w:val="left"/>
      <w:lvlText w:val="(%2)"/>
      <w:numFmt w:val="lowerLetter"/>
      <w:start w:val="1"/>
    </w:lvl>
  </w:abstractNum>
  <w:abstractNum w:abstractNumId="139">
    <w:nsid w:val="F819E7F"/>
    <w:multiLevelType w:val="hybridMultilevel"/>
    <w:lvl w:ilvl="0">
      <w:lvlJc w:val="left"/>
      <w:lvlText w:val="(%1)"/>
      <w:numFmt w:val="decimal"/>
      <w:start w:val="1"/>
    </w:lvl>
  </w:abstractNum>
  <w:abstractNum w:abstractNumId="140">
    <w:nsid w:val="57C7D42D"/>
    <w:multiLevelType w:val="hybridMultilevel"/>
    <w:lvl w:ilvl="0">
      <w:lvlJc w:val="left"/>
      <w:lvlText w:val="%1."/>
      <w:numFmt w:val="decimal"/>
      <w:start w:val="1"/>
    </w:lvl>
  </w:abstractNum>
  <w:abstractNum w:abstractNumId="141">
    <w:nsid w:val="312167AD"/>
    <w:multiLevelType w:val="hybridMultilevel"/>
    <w:lvl w:ilvl="0">
      <w:lvlJc w:val="left"/>
      <w:lvlText w:val="%1."/>
      <w:numFmt w:val="decimal"/>
      <w:start w:val="2"/>
    </w:lvl>
  </w:abstractNum>
  <w:abstractNum w:abstractNumId="142">
    <w:nsid w:val="631B64D4"/>
    <w:multiLevelType w:val="hybridMultilevel"/>
    <w:lvl w:ilvl="0">
      <w:lvlJc w:val="left"/>
      <w:lvlText w:val="%1."/>
      <w:numFmt w:val="decimal"/>
      <w:start w:val="3"/>
    </w:lvl>
    <w:lvl w:ilvl="1">
      <w:lvlJc w:val="left"/>
      <w:lvlText w:val="%2."/>
      <w:numFmt w:val="lowerLetter"/>
      <w:start w:val="1"/>
    </w:lvl>
  </w:abstractNum>
  <w:abstractNum w:abstractNumId="143">
    <w:nsid w:val="78B5E776"/>
    <w:multiLevelType w:val="hybridMultilevel"/>
    <w:lvl w:ilvl="0">
      <w:lvlJc w:val="left"/>
      <w:lvlText w:val="%1."/>
      <w:numFmt w:val="lowerLetter"/>
      <w:start w:val="5"/>
    </w:lvl>
  </w:abstractNum>
  <w:abstractNum w:abstractNumId="144">
    <w:nsid w:val="75486E47"/>
    <w:multiLevelType w:val="hybridMultilevel"/>
    <w:lvl w:ilvl="0">
      <w:lvlJc w:val="left"/>
      <w:lvlText w:val="%1"/>
      <w:numFmt w:val="decimal"/>
      <w:start w:val="1"/>
    </w:lvl>
    <w:lvl w:ilvl="1">
      <w:lvlJc w:val="left"/>
      <w:lvlText w:val="%2."/>
      <w:numFmt w:val="lowerLetter"/>
      <w:start w:val="10"/>
    </w:lvl>
  </w:abstractNum>
  <w:abstractNum w:abstractNumId="145">
    <w:nsid w:val="6E534CDE"/>
    <w:multiLevelType w:val="hybridMultilevel"/>
    <w:lvl w:ilvl="0">
      <w:lvlJc w:val="left"/>
      <w:lvlText w:val="%1."/>
      <w:numFmt w:val="decimal"/>
      <w:start w:val="4"/>
    </w:lvl>
    <w:lvl w:ilvl="1">
      <w:lvlJc w:val="left"/>
      <w:lvlText w:val="%2"/>
      <w:numFmt w:val="lowerLetter"/>
      <w:start w:val="1"/>
    </w:lvl>
  </w:abstractNum>
  <w:abstractNum w:abstractNumId="146">
    <w:nsid w:val="1A0DDE32"/>
    <w:multiLevelType w:val="hybridMultilevel"/>
    <w:lvl w:ilvl="0">
      <w:lvlJc w:val="left"/>
      <w:lvlText w:val="%1."/>
      <w:numFmt w:val="lowerLetter"/>
      <w:start w:val="1"/>
    </w:lvl>
  </w:abstractNum>
  <w:abstractNum w:abstractNumId="147">
    <w:nsid w:val="65968C1C"/>
    <w:multiLevelType w:val="hybridMultilevel"/>
    <w:lvl w:ilvl="0">
      <w:lvlJc w:val="left"/>
      <w:lvlText w:val="%1."/>
      <w:numFmt w:val="decimal"/>
      <w:start w:val="7"/>
    </w:lvl>
  </w:abstractNum>
  <w:abstractNum w:abstractNumId="148">
    <w:nsid w:val="46263DEC"/>
    <w:multiLevelType w:val="hybridMultilevel"/>
    <w:lvl w:ilvl="0">
      <w:lvlJc w:val="left"/>
      <w:lvlText w:val="%1."/>
      <w:numFmt w:val="decimal"/>
      <w:start w:val="11"/>
    </w:lvl>
  </w:abstractNum>
  <w:abstractNum w:abstractNumId="149">
    <w:nsid w:val="260D8C4A"/>
    <w:multiLevelType w:val="hybridMultilevel"/>
    <w:lvl w:ilvl="0">
      <w:lvlJc w:val="left"/>
      <w:lvlText w:val="%1."/>
      <w:numFmt w:val="decimal"/>
      <w:start w:val="12"/>
    </w:lvl>
  </w:abstractNum>
  <w:abstractNum w:abstractNumId="150">
    <w:nsid w:val="73D4D3C4"/>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1" Type="http://schemas.openxmlformats.org/officeDocument/2006/relationships/image" Target="media/image146.png"/><Relationship Id="rId174"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jpeg"/><Relationship Id="rId251"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54" Type="http://schemas.openxmlformats.org/officeDocument/2006/relationships/image" Target="media/image225.png"/><Relationship Id="rId255"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8" Type="http://schemas.openxmlformats.org/officeDocument/2006/relationships/image" Target="media/image229.png"/><Relationship Id="rId259" Type="http://schemas.openxmlformats.org/officeDocument/2006/relationships/image" Target="media/image230.png"/><Relationship Id="rId153" Type="http://schemas.openxmlformats.org/officeDocument/2006/relationships/hyperlink" Target="https://www.sec.gov/Archives/edgar/data/1828185/000110465921149607/tm2135290d1_ex2-1.htm" TargetMode="External"/><Relationship Id="rId154" Type="http://schemas.openxmlformats.org/officeDocument/2006/relationships/hyperlink" Target="https://www.sec.gov/Archives/edgar/data/1828185/000110465922037794/vacc-20211231xex2d2.htm" TargetMode="External"/><Relationship Id="rId155" Type="http://schemas.openxmlformats.org/officeDocument/2006/relationships/hyperlink" Target="https://www.sec.gov/Archives/edgar/data/1828185/000110465922087945/vacc-20220630xex2d1.htm" TargetMode="External"/><Relationship Id="rId156" Type="http://schemas.openxmlformats.org/officeDocument/2006/relationships/hyperlink" Target="https://www.sec.gov/Archives/edgar/data/1828185/000110465921063872/tm2115595d1_ex3-1.htm" TargetMode="External"/><Relationship Id="rId157" Type="http://schemas.openxmlformats.org/officeDocument/2006/relationships/hyperlink" Target="https://www.sec.gov/Archives/edgar/data/1828185/000110465921054698/tm2035121d14_ex4-1.htm" TargetMode="External"/><Relationship Id="rId158" Type="http://schemas.openxmlformats.org/officeDocument/2006/relationships/hyperlink" Target="https://www.sec.gov/Archives/edgar/data/1828185/000110465922037794/vacc-20211231xex4d3.htm" TargetMode="External"/><Relationship Id="rId159" Type="http://schemas.openxmlformats.org/officeDocument/2006/relationships/hyperlink" Target="https://www.sec.gov/Archives/edgar/data/1828185/000110465921048698/tm2035121d10_ex10-1.htm" TargetMode="External"/><Relationship Id="rId160" Type="http://schemas.openxmlformats.org/officeDocument/2006/relationships/hyperlink" Target="https://www.sec.gov/Archives/edgar/data/1828185/000110465921054698/tm2035121d14_ex10-2.htm" TargetMode="External"/><Relationship Id="rId162" Type="http://schemas.openxmlformats.org/officeDocument/2006/relationships/hyperlink" Target="https://www.sec.gov/Archives/edgar/data/1828185/000110465921054698/tm2035121d14_ex10-17.htm" TargetMode="External"/><Relationship Id="rId163" Type="http://schemas.openxmlformats.org/officeDocument/2006/relationships/hyperlink" Target="https://www.sec.gov/Archives/edgar/data/1828185/000110465921048698/tm2035121d10_ex10-3.htm" TargetMode="External"/><Relationship Id="rId164" Type="http://schemas.openxmlformats.org/officeDocument/2006/relationships/hyperlink" Target="https://www.sec.gov/Archives/edgar/data/1828185/000110465921048698/tm2035121d10_ex10-4.htm" TargetMode="External"/><Relationship Id="rId165" Type="http://schemas.openxmlformats.org/officeDocument/2006/relationships/hyperlink" Target="https://www.sec.gov/Archives/edgar/data/1828185/000110465921048698/tm2035121d10_ex10-8.htm" TargetMode="External"/><Relationship Id="rId166" Type="http://schemas.openxmlformats.org/officeDocument/2006/relationships/hyperlink" Target="https://www.sec.gov/Archives/edgar/data/1828185/000110465921048698/tm2035121d10_ex10-9.htm" TargetMode="External"/><Relationship Id="rId167" Type="http://schemas.openxmlformats.org/officeDocument/2006/relationships/hyperlink" Target="https://www.sec.gov/Archives/edgar/data/1828185/000110465921048698/tm2035121d10_ex10-10.htm" TargetMode="External"/><Relationship Id="rId168" Type="http://schemas.openxmlformats.org/officeDocument/2006/relationships/hyperlink" Target="https://www.sec.gov/Archives/edgar/data/1828185/000110465921054698/tm2035121d14_ex10-15.htm" TargetMode="External"/><Relationship Id="rId169" Type="http://schemas.openxmlformats.org/officeDocument/2006/relationships/hyperlink" Target="https://www.sec.gov/Archives/edgar/data/1828185/000110465922058820/vacc-20220331xex10d1.htm" TargetMode="External"/><Relationship Id="rId170" Type="http://schemas.openxmlformats.org/officeDocument/2006/relationships/hyperlink" Target="https://www.sec.gov/Archives/edgar/data/1828185/000110465922117255/vacc-20220930xex10d1.htm" TargetMode="External"/><Relationship Id="rId171" Type="http://schemas.openxmlformats.org/officeDocument/2006/relationships/hyperlink" Target="https://www.sec.gov/Archives/edgar/data/1828185/000110465923059430/vacc-20230331xex10d1.htm" TargetMode="External"/><Relationship Id="rId172" Type="http://schemas.openxmlformats.org/officeDocument/2006/relationships/hyperlink" Target="https://www.sec.gov/Archives/edgar/data/1828185/000110465922117255/vacc-20220930xex10d2.htm" TargetMode="External"/><Relationship Id="rId173" Type="http://schemas.openxmlformats.org/officeDocument/2006/relationships/hyperlink" Target="https://www.sec.gov/Archives/edgar/data/1828185/000110465921137646/vacc-20210930xex10d1.htm" TargetMode="External"/><Relationship Id="rId175" Type="http://schemas.openxmlformats.org/officeDocument/2006/relationships/hyperlink" Target="https://www.sec.gov/ix?doc=/Archives/edgar/data/1828185/000182818524000011/brns-20231231.htm" TargetMode="External"/><Relationship Id="rId176" Type="http://schemas.openxmlformats.org/officeDocument/2006/relationships/hyperlink" Target="https://www.sec.gov/Archives/edgar/data/1828185/000182818524000085/leonhooftman-executiveser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2025-03-20T15:21:51Z</dcterms:created>
  <dcterms:modified xsi:type="dcterms:W3CDTF">2025-03-20T15:21:51Z</dcterms:modified>
</cp:coreProperties>
</file>