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226060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260350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0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1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1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June 30, 2026</w:t>
      </w:r>
    </w:p>
    <w:p>
      <w:pPr>
        <w:spacing w:after="0" w:line="12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BARINTHUS BIOTHERAPEUTICS PLC</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134" w:lineRule="exact"/>
        <w:rPr>
          <w:sz w:val="24"/>
          <w:szCs w:val="24"/>
          <w:color w:val="auto"/>
        </w:rPr>
      </w:pPr>
    </w:p>
    <w:tbl>
      <w:tblPr>
        <w:tblLayout w:type="fixed"/>
        <w:tblInd w:w="840" w:type="dxa"/>
        <w:tblCellMar>
          <w:top w:w="0" w:type="dxa"/>
          <w:left w:w="0" w:type="dxa"/>
          <w:bottom w:w="0" w:type="dxa"/>
          <w:right w:w="0" w:type="dxa"/>
        </w:tblCellMar>
      </w:tblPr>
      <w:tr>
        <w:trPr>
          <w:trHeight w:val="216"/>
        </w:trPr>
        <w:tc>
          <w:tcPr>
            <w:tcW w:w="22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8"/>
              </w:rPr>
              <w:t>England and Wales</w:t>
            </w: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001-40367</w:t>
            </w:r>
          </w:p>
        </w:tc>
        <w:tc>
          <w:tcPr>
            <w:tcW w:w="17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8"/>
              </w:rPr>
              <w:t>Not Applicable</w:t>
            </w:r>
          </w:p>
        </w:tc>
      </w:tr>
      <w:tr>
        <w:trPr>
          <w:trHeight w:val="216"/>
        </w:trPr>
        <w:tc>
          <w:tcPr>
            <w:tcW w:w="222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rPr>
              <w:t>(State or other jurisdiction</w:t>
            </w: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(Commission</w:t>
            </w:r>
          </w:p>
        </w:tc>
        <w:tc>
          <w:tcPr>
            <w:tcW w:w="17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w w:val="99"/>
              </w:rPr>
              <w:t>(I.R.S. Employer</w:t>
            </w:r>
          </w:p>
        </w:tc>
      </w:tr>
      <w:tr>
        <w:trPr>
          <w:trHeight w:val="238"/>
        </w:trPr>
        <w:tc>
          <w:tcPr>
            <w:tcW w:w="2220" w:type="dxa"/>
            <w:vAlign w:val="bottom"/>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rPr>
              <w:t>of incorporation)</w:t>
            </w: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8"/>
              </w:rPr>
              <w:t>File Number)</w:t>
            </w:r>
          </w:p>
        </w:tc>
        <w:tc>
          <w:tcPr>
            <w:tcW w:w="1760" w:type="dxa"/>
            <w:vAlign w:val="bottom"/>
          </w:tcPr>
          <w:p>
            <w:pPr>
              <w:jc w:val="center"/>
              <w:ind w:left="250"/>
              <w:spacing w:after="0"/>
              <w:rPr>
                <w:sz w:val="20"/>
                <w:szCs w:val="20"/>
                <w:color w:val="auto"/>
              </w:rPr>
            </w:pPr>
            <w:r>
              <w:rPr>
                <w:rFonts w:ascii="Times New Roman" w:cs="Times New Roman" w:eastAsia="Times New Roman" w:hAnsi="Times New Roman"/>
                <w:sz w:val="18"/>
                <w:szCs w:val="18"/>
                <w:b w:val="1"/>
                <w:bCs w:val="1"/>
                <w:color w:val="auto"/>
              </w:rPr>
              <w:t>Identification No.)</w:t>
            </w:r>
          </w:p>
        </w:tc>
      </w:tr>
      <w:tr>
        <w:trPr>
          <w:trHeight w:val="410"/>
        </w:trPr>
        <w:tc>
          <w:tcPr>
            <w:tcW w:w="2220" w:type="dxa"/>
            <w:vAlign w:val="bottom"/>
          </w:tcPr>
          <w:p>
            <w:pPr>
              <w:spacing w:after="0"/>
              <w:rPr>
                <w:sz w:val="24"/>
                <w:szCs w:val="24"/>
                <w:color w:val="auto"/>
              </w:rPr>
            </w:pPr>
          </w:p>
        </w:tc>
        <w:tc>
          <w:tcPr>
            <w:tcW w:w="5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c/o Barinthus Biotherapeutics plc</w:t>
            </w:r>
          </w:p>
        </w:tc>
        <w:tc>
          <w:tcPr>
            <w:tcW w:w="1760" w:type="dxa"/>
            <w:vAlign w:val="bottom"/>
          </w:tcPr>
          <w:p>
            <w:pPr>
              <w:spacing w:after="0"/>
              <w:rPr>
                <w:sz w:val="24"/>
                <w:szCs w:val="24"/>
                <w:color w:val="auto"/>
              </w:rPr>
            </w:pPr>
          </w:p>
        </w:tc>
      </w:tr>
      <w:tr>
        <w:trPr>
          <w:trHeight w:val="216"/>
        </w:trPr>
        <w:tc>
          <w:tcPr>
            <w:tcW w:w="2220" w:type="dxa"/>
            <w:vAlign w:val="bottom"/>
          </w:tcPr>
          <w:p>
            <w:pPr>
              <w:spacing w:after="0"/>
              <w:rPr>
                <w:sz w:val="18"/>
                <w:szCs w:val="18"/>
                <w:color w:val="auto"/>
              </w:rPr>
            </w:pP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rPr>
              <w:t>20400 Century Boulevard, Suite 210</w:t>
            </w:r>
          </w:p>
        </w:tc>
        <w:tc>
          <w:tcPr>
            <w:tcW w:w="176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Germantown, MD 20874</w:t>
            </w:r>
          </w:p>
        </w:tc>
        <w:tc>
          <w:tcPr>
            <w:tcW w:w="1760" w:type="dxa"/>
            <w:vAlign w:val="bottom"/>
          </w:tcPr>
          <w:p>
            <w:pPr>
              <w:spacing w:after="0"/>
              <w:rPr>
                <w:sz w:val="18"/>
                <w:szCs w:val="18"/>
                <w:color w:val="auto"/>
              </w:rPr>
            </w:pPr>
          </w:p>
        </w:tc>
      </w:tr>
      <w:tr>
        <w:trPr>
          <w:trHeight w:val="216"/>
        </w:trPr>
        <w:tc>
          <w:tcPr>
            <w:tcW w:w="2220" w:type="dxa"/>
            <w:vAlign w:val="bottom"/>
          </w:tcPr>
          <w:p>
            <w:pPr>
              <w:spacing w:after="0"/>
              <w:rPr>
                <w:sz w:val="18"/>
                <w:szCs w:val="18"/>
                <w:color w:val="auto"/>
              </w:rPr>
            </w:pPr>
          </w:p>
        </w:tc>
        <w:tc>
          <w:tcPr>
            <w:tcW w:w="5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United States of America</w:t>
            </w:r>
          </w:p>
        </w:tc>
        <w:tc>
          <w:tcPr>
            <w:tcW w:w="1760" w:type="dxa"/>
            <w:vAlign w:val="bottom"/>
          </w:tcPr>
          <w:p>
            <w:pPr>
              <w:spacing w:after="0"/>
              <w:rPr>
                <w:sz w:val="18"/>
                <w:szCs w:val="18"/>
                <w:color w:val="auto"/>
              </w:rPr>
            </w:pPr>
          </w:p>
        </w:tc>
      </w:tr>
      <w:tr>
        <w:trPr>
          <w:trHeight w:val="238"/>
        </w:trPr>
        <w:tc>
          <w:tcPr>
            <w:tcW w:w="2220" w:type="dxa"/>
            <w:vAlign w:val="bottom"/>
          </w:tcPr>
          <w:p>
            <w:pPr>
              <w:spacing w:after="0"/>
              <w:rPr>
                <w:sz w:val="20"/>
                <w:szCs w:val="20"/>
                <w:color w:val="auto"/>
              </w:rPr>
            </w:pP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(Address of principal executive offices, including zip code)</w:t>
            </w:r>
          </w:p>
        </w:tc>
        <w:tc>
          <w:tcPr>
            <w:tcW w:w="1760" w:type="dxa"/>
            <w:vAlign w:val="bottom"/>
          </w:tcPr>
          <w:p>
            <w:pPr>
              <w:spacing w:after="0"/>
              <w:rPr>
                <w:sz w:val="20"/>
                <w:szCs w:val="20"/>
                <w:color w:val="auto"/>
              </w:rPr>
            </w:pPr>
          </w:p>
        </w:tc>
      </w:tr>
      <w:tr>
        <w:trPr>
          <w:trHeight w:val="342"/>
        </w:trPr>
        <w:tc>
          <w:tcPr>
            <w:tcW w:w="2220" w:type="dxa"/>
            <w:vAlign w:val="bottom"/>
          </w:tcPr>
          <w:p>
            <w:pPr>
              <w:spacing w:after="0"/>
              <w:rPr>
                <w:sz w:val="24"/>
                <w:szCs w:val="24"/>
                <w:color w:val="auto"/>
              </w:rPr>
            </w:pPr>
          </w:p>
        </w:tc>
        <w:tc>
          <w:tcPr>
            <w:tcW w:w="5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(443) 917-0966</w:t>
            </w:r>
          </w:p>
        </w:tc>
        <w:tc>
          <w:tcPr>
            <w:tcW w:w="1760" w:type="dxa"/>
            <w:vAlign w:val="bottom"/>
          </w:tcPr>
          <w:p>
            <w:pPr>
              <w:spacing w:after="0"/>
              <w:rPr>
                <w:sz w:val="24"/>
                <w:szCs w:val="24"/>
                <w:color w:val="auto"/>
              </w:rPr>
            </w:pPr>
          </w:p>
        </w:tc>
      </w:tr>
      <w:tr>
        <w:trPr>
          <w:trHeight w:val="238"/>
        </w:trPr>
        <w:tc>
          <w:tcPr>
            <w:tcW w:w="2220" w:type="dxa"/>
            <w:vAlign w:val="bottom"/>
          </w:tcPr>
          <w:p>
            <w:pPr>
              <w:spacing w:after="0"/>
              <w:rPr>
                <w:sz w:val="20"/>
                <w:szCs w:val="20"/>
                <w:color w:val="auto"/>
              </w:rPr>
            </w:pPr>
          </w:p>
        </w:tc>
        <w:tc>
          <w:tcPr>
            <w:tcW w:w="5280" w:type="dxa"/>
            <w:vAlign w:val="bottom"/>
          </w:tcPr>
          <w:p>
            <w:pPr>
              <w:jc w:val="center"/>
              <w:ind w:right="5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760" w:type="dxa"/>
            <w:vAlign w:val="bottom"/>
          </w:tcPr>
          <w:p>
            <w:pPr>
              <w:spacing w:after="0"/>
              <w:rPr>
                <w:sz w:val="20"/>
                <w:szCs w:val="20"/>
                <w:color w:val="auto"/>
              </w:rPr>
            </w:pPr>
          </w:p>
        </w:tc>
      </w:tr>
      <w:tr>
        <w:trPr>
          <w:trHeight w:val="342"/>
        </w:trPr>
        <w:tc>
          <w:tcPr>
            <w:tcW w:w="2220" w:type="dxa"/>
            <w:vAlign w:val="bottom"/>
          </w:tcPr>
          <w:p>
            <w:pPr>
              <w:spacing w:after="0"/>
              <w:rPr>
                <w:sz w:val="24"/>
                <w:szCs w:val="24"/>
                <w:color w:val="auto"/>
              </w:rPr>
            </w:pPr>
          </w:p>
        </w:tc>
        <w:tc>
          <w:tcPr>
            <w:tcW w:w="5280" w:type="dxa"/>
            <w:vAlign w:val="bottom"/>
          </w:tcPr>
          <w:p>
            <w:pPr>
              <w:ind w:left="1960"/>
              <w:spacing w:after="0"/>
              <w:rPr>
                <w:sz w:val="20"/>
                <w:szCs w:val="20"/>
                <w:color w:val="auto"/>
              </w:rPr>
            </w:pPr>
            <w:r>
              <w:rPr>
                <w:rFonts w:ascii="Times New Roman" w:cs="Times New Roman" w:eastAsia="Times New Roman" w:hAnsi="Times New Roman"/>
                <w:sz w:val="18"/>
                <w:szCs w:val="18"/>
                <w:b w:val="1"/>
                <w:bCs w:val="1"/>
                <w:color w:val="auto"/>
              </w:rPr>
              <w:t>Not Applicable</w:t>
            </w:r>
          </w:p>
        </w:tc>
        <w:tc>
          <w:tcPr>
            <w:tcW w:w="1760" w:type="dxa"/>
            <w:vAlign w:val="bottom"/>
          </w:tcPr>
          <w:p>
            <w:pPr>
              <w:spacing w:after="0"/>
              <w:rPr>
                <w:sz w:val="24"/>
                <w:szCs w:val="24"/>
                <w:color w:val="auto"/>
              </w:rPr>
            </w:pPr>
          </w:p>
        </w:tc>
      </w:tr>
      <w:tr>
        <w:trPr>
          <w:trHeight w:val="238"/>
        </w:trPr>
        <w:tc>
          <w:tcPr>
            <w:tcW w:w="2220" w:type="dxa"/>
            <w:vAlign w:val="bottom"/>
          </w:tcPr>
          <w:p>
            <w:pPr>
              <w:spacing w:after="0"/>
              <w:rPr>
                <w:sz w:val="20"/>
                <w:szCs w:val="20"/>
                <w:color w:val="auto"/>
              </w:rPr>
            </w:pPr>
          </w:p>
        </w:tc>
        <w:tc>
          <w:tcPr>
            <w:tcW w:w="5280" w:type="dxa"/>
            <w:vAlign w:val="bottom"/>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99"/>
              </w:rPr>
              <w:t>(Former name or former address, if changed since last report)</w:t>
            </w:r>
          </w:p>
        </w:tc>
        <w:tc>
          <w:tcPr>
            <w:tcW w:w="1760" w:type="dxa"/>
            <w:vAlign w:val="bottom"/>
          </w:tcPr>
          <w:p>
            <w:pPr>
              <w:spacing w:after="0"/>
              <w:rPr>
                <w:sz w:val="20"/>
                <w:szCs w:val="20"/>
                <w:color w:val="auto"/>
              </w:rPr>
            </w:pPr>
          </w:p>
        </w:tc>
      </w:tr>
    </w:tbl>
    <w:p>
      <w:pPr>
        <w:spacing w:after="0" w:line="130"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94"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157"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157"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157" w:lineRule="exact"/>
        <w:rPr>
          <w:rFonts w:ascii="MS PGothic" w:cs="MS PGothic" w:eastAsia="MS PGothic" w:hAnsi="MS PGothic"/>
          <w:sz w:val="18"/>
          <w:szCs w:val="18"/>
          <w:color w:val="auto"/>
        </w:rPr>
      </w:pPr>
    </w:p>
    <w:p>
      <w:pPr>
        <w:ind w:right="2860" w:firstLine="8"/>
        <w:spacing w:after="0" w:line="438" w:lineRule="auto"/>
        <w:tabs>
          <w:tab w:leader="none" w:pos="3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tbl>
      <w:tblPr>
        <w:tblLayout w:type="fixed"/>
        <w:tblInd w:w="160" w:type="dxa"/>
        <w:tblCellMar>
          <w:top w:w="0" w:type="dxa"/>
          <w:left w:w="0" w:type="dxa"/>
          <w:bottom w:w="0" w:type="dxa"/>
          <w:right w:w="0" w:type="dxa"/>
        </w:tblCellMar>
      </w:tblPr>
      <w:tr>
        <w:trPr>
          <w:trHeight w:val="194"/>
        </w:trPr>
        <w:tc>
          <w:tcPr>
            <w:tcW w:w="128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3320" w:type="dxa"/>
            <w:vAlign w:val="bottom"/>
            <w:gridSpan w:val="4"/>
          </w:tcPr>
          <w:p>
            <w:pPr>
              <w:ind w:left="860"/>
              <w:spacing w:after="0" w:line="195" w:lineRule="exact"/>
              <w:rPr>
                <w:sz w:val="20"/>
                <w:szCs w:val="20"/>
                <w:color w:val="auto"/>
              </w:rPr>
            </w:pPr>
            <w:r>
              <w:rPr>
                <w:rFonts w:ascii="Times New Roman" w:cs="Times New Roman" w:eastAsia="Times New Roman" w:hAnsi="Times New Roman"/>
                <w:sz w:val="18"/>
                <w:szCs w:val="18"/>
                <w:color w:val="auto"/>
              </w:rPr>
              <w:t>Name of each exchange on which</w:t>
            </w:r>
          </w:p>
        </w:tc>
      </w:tr>
      <w:tr>
        <w:trPr>
          <w:trHeight w:val="196"/>
        </w:trPr>
        <w:tc>
          <w:tcPr>
            <w:tcW w:w="1280" w:type="dxa"/>
            <w:vAlign w:val="bottom"/>
          </w:tcPr>
          <w:p>
            <w:pPr>
              <w:spacing w:after="0"/>
              <w:rPr>
                <w:sz w:val="17"/>
                <w:szCs w:val="17"/>
                <w:color w:val="auto"/>
              </w:rPr>
            </w:pPr>
          </w:p>
        </w:tc>
        <w:tc>
          <w:tcPr>
            <w:tcW w:w="130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w w:val="99"/>
              </w:rPr>
              <w:t>Title of each class</w:t>
            </w:r>
          </w:p>
        </w:tc>
        <w:tc>
          <w:tcPr>
            <w:tcW w:w="2500" w:type="dxa"/>
            <w:vAlign w:val="bottom"/>
          </w:tcPr>
          <w:p>
            <w:pPr>
              <w:spacing w:after="0"/>
              <w:rPr>
                <w:sz w:val="17"/>
                <w:szCs w:val="17"/>
                <w:color w:val="auto"/>
              </w:rPr>
            </w:pPr>
          </w:p>
        </w:tc>
        <w:tc>
          <w:tcPr>
            <w:tcW w:w="1220" w:type="dxa"/>
            <w:vAlign w:val="bottom"/>
          </w:tcPr>
          <w:p>
            <w:pPr>
              <w:jc w:val="center"/>
              <w:spacing w:after="0" w:line="196" w:lineRule="exact"/>
              <w:rPr>
                <w:sz w:val="20"/>
                <w:szCs w:val="20"/>
                <w:color w:val="auto"/>
              </w:rPr>
            </w:pPr>
            <w:r>
              <w:rPr>
                <w:rFonts w:ascii="Times New Roman" w:cs="Times New Roman" w:eastAsia="Times New Roman" w:hAnsi="Times New Roman"/>
                <w:sz w:val="18"/>
                <w:szCs w:val="18"/>
                <w:color w:val="auto"/>
              </w:rPr>
              <w:t>Trade Symbol(s)</w:t>
            </w:r>
          </w:p>
        </w:tc>
        <w:tc>
          <w:tcPr>
            <w:tcW w:w="84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880" w:type="dxa"/>
            <w:vAlign w:val="bottom"/>
            <w:tcBorders>
              <w:top w:val="single" w:sz="8" w:color="auto"/>
            </w:tcBorders>
          </w:tcPr>
          <w:p>
            <w:pPr>
              <w:spacing w:after="0"/>
              <w:rPr>
                <w:sz w:val="17"/>
                <w:szCs w:val="17"/>
                <w:color w:val="auto"/>
              </w:rPr>
            </w:pPr>
          </w:p>
        </w:tc>
        <w:tc>
          <w:tcPr>
            <w:tcW w:w="1580" w:type="dxa"/>
            <w:vAlign w:val="bottom"/>
            <w:tcBorders>
              <w:top w:val="single" w:sz="8" w:color="auto"/>
            </w:tcBorders>
            <w:gridSpan w:val="2"/>
          </w:tcPr>
          <w:p>
            <w:pPr>
              <w:jc w:val="center"/>
              <w:ind w:right="880"/>
              <w:spacing w:after="0" w:line="196" w:lineRule="exact"/>
              <w:rPr>
                <w:sz w:val="20"/>
                <w:szCs w:val="20"/>
                <w:color w:val="auto"/>
              </w:rPr>
            </w:pPr>
            <w:r>
              <w:rPr>
                <w:rFonts w:ascii="Times New Roman" w:cs="Times New Roman" w:eastAsia="Times New Roman" w:hAnsi="Times New Roman"/>
                <w:sz w:val="18"/>
                <w:szCs w:val="18"/>
                <w:color w:val="auto"/>
                <w:w w:val="98"/>
              </w:rPr>
              <w:t>registered</w:t>
            </w:r>
          </w:p>
        </w:tc>
      </w:tr>
      <w:tr>
        <w:trPr>
          <w:trHeight w:val="20"/>
        </w:trPr>
        <w:tc>
          <w:tcPr>
            <w:tcW w:w="128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r>
        <w:trPr>
          <w:trHeight w:val="291"/>
        </w:trPr>
        <w:tc>
          <w:tcPr>
            <w:tcW w:w="5080" w:type="dxa"/>
            <w:vAlign w:val="bottom"/>
            <w:gridSpan w:val="3"/>
          </w:tcPr>
          <w:p>
            <w:pPr>
              <w:jc w:val="center"/>
              <w:ind w:right="1220"/>
              <w:spacing w:after="0"/>
              <w:rPr>
                <w:sz w:val="20"/>
                <w:szCs w:val="20"/>
                <w:color w:val="auto"/>
              </w:rPr>
            </w:pPr>
            <w:r>
              <w:rPr>
                <w:rFonts w:ascii="Times New Roman" w:cs="Times New Roman" w:eastAsia="Times New Roman" w:hAnsi="Times New Roman"/>
                <w:sz w:val="18"/>
                <w:szCs w:val="18"/>
                <w:color w:val="auto"/>
                <w:w w:val="99"/>
              </w:rPr>
              <w:t>American Depositary Shares</w:t>
            </w:r>
          </w:p>
        </w:tc>
        <w:tc>
          <w:tcPr>
            <w:tcW w:w="2060" w:type="dxa"/>
            <w:vAlign w:val="bottom"/>
            <w:gridSpan w:val="2"/>
          </w:tcPr>
          <w:p>
            <w:pPr>
              <w:jc w:val="center"/>
              <w:ind w:right="840"/>
              <w:spacing w:after="0"/>
              <w:rPr>
                <w:sz w:val="20"/>
                <w:szCs w:val="20"/>
                <w:color w:val="auto"/>
              </w:rPr>
            </w:pPr>
            <w:r>
              <w:rPr>
                <w:rFonts w:ascii="Times New Roman" w:cs="Times New Roman" w:eastAsia="Times New Roman" w:hAnsi="Times New Roman"/>
                <w:sz w:val="18"/>
                <w:szCs w:val="18"/>
                <w:color w:val="auto"/>
                <w:w w:val="97"/>
              </w:rPr>
              <w:t>BRNS</w:t>
            </w:r>
          </w:p>
        </w:tc>
        <w:tc>
          <w:tcPr>
            <w:tcW w:w="860" w:type="dxa"/>
            <w:vAlign w:val="bottom"/>
          </w:tcPr>
          <w:p>
            <w:pPr>
              <w:spacing w:after="0"/>
              <w:rPr>
                <w:sz w:val="24"/>
                <w:szCs w:val="24"/>
                <w:color w:val="auto"/>
              </w:rPr>
            </w:pPr>
          </w:p>
        </w:tc>
        <w:tc>
          <w:tcPr>
            <w:tcW w:w="246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The Nasdaq Capital Market</w:t>
            </w:r>
          </w:p>
        </w:tc>
      </w:tr>
      <w:tr>
        <w:trPr>
          <w:trHeight w:val="270"/>
        </w:trPr>
        <w:tc>
          <w:tcPr>
            <w:tcW w:w="5080" w:type="dxa"/>
            <w:vAlign w:val="bottom"/>
            <w:gridSpan w:val="3"/>
          </w:tcPr>
          <w:p>
            <w:pPr>
              <w:jc w:val="center"/>
              <w:ind w:right="1220"/>
              <w:spacing w:after="0"/>
              <w:rPr>
                <w:sz w:val="20"/>
                <w:szCs w:val="20"/>
                <w:color w:val="auto"/>
              </w:rPr>
            </w:pPr>
            <w:r>
              <w:rPr>
                <w:rFonts w:ascii="Times New Roman" w:cs="Times New Roman" w:eastAsia="Times New Roman" w:hAnsi="Times New Roman"/>
                <w:sz w:val="18"/>
                <w:szCs w:val="18"/>
                <w:color w:val="auto"/>
              </w:rPr>
              <w:t>Ordinary shares, nominal value £0.000025 per share*</w:t>
            </w:r>
          </w:p>
        </w:tc>
        <w:tc>
          <w:tcPr>
            <w:tcW w:w="122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80" w:type="dxa"/>
            <w:vAlign w:val="bottom"/>
          </w:tcPr>
          <w:p>
            <w:pPr>
              <w:spacing w:after="0"/>
              <w:rPr>
                <w:sz w:val="23"/>
                <w:szCs w:val="23"/>
                <w:color w:val="auto"/>
              </w:rPr>
            </w:pPr>
          </w:p>
        </w:tc>
      </w:tr>
    </w:tbl>
    <w:p>
      <w:pPr>
        <w:spacing w:after="0" w:line="225"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9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 xml:space="preserve">Emerging growth company </w:t>
      </w:r>
      <w:r>
        <w:rPr>
          <w:rFonts w:ascii="Wingdings" w:cs="Wingdings" w:eastAsia="Wingdings" w:hAnsi="Wingdings"/>
          <w:sz w:val="18"/>
          <w:szCs w:val="18"/>
          <w:b w:val="1"/>
          <w:bCs w:val="1"/>
          <w:color w:val="auto"/>
        </w:rPr>
        <w:t>x</w:t>
      </w:r>
    </w:p>
    <w:p>
      <w:pPr>
        <w:spacing w:after="0" w:line="158"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103" w:lineRule="exact"/>
        <w:rPr>
          <w:sz w:val="24"/>
          <w:szCs w:val="24"/>
          <w:color w:val="auto"/>
        </w:rPr>
      </w:pPr>
    </w:p>
    <w:p>
      <w:pPr>
        <w:jc w:val="both"/>
        <w:ind w:left="340" w:hanging="332"/>
        <w:spacing w:after="0" w:line="258"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Depositary Shares may be evidenced by American Depositary Receipts. Each American Depositary Share represents one (1) ordinary share. Not for trading, but only in connection with the listing of the American Depositary Shares on The Nasdaq Global Market. The American Depositary Shares represent the right to receive ordinary shares and are being registered under the Securities Act of 1933, as amended, pursuant to a separate Registration Statement on Form F-6. Accordingly, the American Depositary Shares are exempt from the operation of Section 12(a) of the Securities Exchange Act of 1934, as amended, pursuant to Rule 12a-8.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299720</wp:posOffset>
            </wp:positionV>
            <wp:extent cx="71323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578"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5.07 Submission of Matters to a Vote of Security Holders.</w:t>
      </w:r>
    </w:p>
    <w:p>
      <w:pPr>
        <w:spacing w:after="0" w:line="22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On July 2, 2026, Barinthus Biotherapeutics plc (the “Company”) held its 2026 Annual General Meeting (the “Annual Meeting”). Proxies were solicited pursuant to the Company’s definitive proxy statement filed on June 10, 2026 with the Securities and Exchange Commission under Section 14(a) of the Securities Exchange Act of 1934, as amended. The number of shares of ordinary shares, nominal value £0.000025 per share, of the Company (the “Ordinary Shares”) entitled to vote at the Annual Meeting was 40,848,893. The number of shares of Ordinary Shares present or represented by valid proxy at the Annual Meeting was 17,549,280, thus establishing a quorum for the Annual Meeting. All matters submitted to a vote of the Company’s stockholders at the Annual Meeting were approved and the director nominees were elected. The voting results reported below are final.</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Broker</w:t>
            </w:r>
          </w:p>
        </w:tc>
      </w:tr>
      <w:tr>
        <w:trPr>
          <w:trHeight w:val="216"/>
        </w:trPr>
        <w:tc>
          <w:tcPr>
            <w:tcW w:w="6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4"/>
              </w:rPr>
              <w:t>Non-</w:t>
            </w:r>
          </w:p>
        </w:tc>
      </w:tr>
      <w:tr>
        <w:trPr>
          <w:trHeight w:val="238"/>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Ordinary Resolutions</w:t>
            </w:r>
          </w:p>
        </w:tc>
        <w:tc>
          <w:tcPr>
            <w:tcW w:w="1240" w:type="dxa"/>
            <w:vAlign w:val="bottom"/>
            <w:gridSpan w:val="2"/>
          </w:tcPr>
          <w:p>
            <w:pPr>
              <w:ind w:left="420"/>
              <w:spacing w:after="0"/>
              <w:rPr>
                <w:sz w:val="20"/>
                <w:szCs w:val="20"/>
                <w:color w:val="auto"/>
              </w:rPr>
            </w:pPr>
            <w:r>
              <w:rPr>
                <w:rFonts w:ascii="Times New Roman" w:cs="Times New Roman" w:eastAsia="Times New Roman" w:hAnsi="Times New Roman"/>
                <w:sz w:val="18"/>
                <w:szCs w:val="18"/>
                <w:b w:val="1"/>
                <w:bCs w:val="1"/>
                <w:color w:val="auto"/>
              </w:rPr>
              <w:t>For</w:t>
            </w:r>
          </w:p>
        </w:tc>
        <w:tc>
          <w:tcPr>
            <w:tcW w:w="124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b w:val="1"/>
                <w:bCs w:val="1"/>
                <w:color w:val="auto"/>
              </w:rPr>
              <w:t>Against</w:t>
            </w:r>
          </w:p>
        </w:tc>
        <w:tc>
          <w:tcPr>
            <w:tcW w:w="1220" w:type="dxa"/>
            <w:vAlign w:val="bottom"/>
            <w:gridSpan w:val="2"/>
          </w:tcPr>
          <w:p>
            <w:pPr>
              <w:ind w:left="200"/>
              <w:spacing w:after="0"/>
              <w:rPr>
                <w:sz w:val="20"/>
                <w:szCs w:val="20"/>
                <w:color w:val="auto"/>
              </w:rPr>
            </w:pPr>
            <w:r>
              <w:rPr>
                <w:rFonts w:ascii="Times New Roman" w:cs="Times New Roman" w:eastAsia="Times New Roman" w:hAnsi="Times New Roman"/>
                <w:sz w:val="18"/>
                <w:szCs w:val="18"/>
                <w:b w:val="1"/>
                <w:bCs w:val="1"/>
                <w:color w:val="auto"/>
              </w:rPr>
              <w:t>Withheld</w:t>
            </w:r>
          </w:p>
        </w:tc>
        <w:tc>
          <w:tcPr>
            <w:tcW w:w="11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2"/>
              </w:rPr>
              <w:t>Votes</w:t>
            </w:r>
          </w:p>
        </w:tc>
      </w:tr>
      <w:tr>
        <w:trPr>
          <w:trHeight w:val="191"/>
        </w:trPr>
        <w:tc>
          <w:tcPr>
            <w:tcW w:w="6300" w:type="dxa"/>
            <w:vAlign w:val="bottom"/>
            <w:tcBorders>
              <w:top w:val="single" w:sz="8" w:color="auto"/>
            </w:tcBorders>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To re-elect as a director, Karen T. Dawes, who retires by rotation in accordance with</w:t>
            </w:r>
          </w:p>
        </w:tc>
        <w:tc>
          <w:tcPr>
            <w:tcW w:w="120" w:type="dxa"/>
            <w:vAlign w:val="bottom"/>
            <w:tcBorders>
              <w:top w:val="single" w:sz="8" w:color="CCEEFF"/>
            </w:tcBorders>
            <w:shd w:val="clear" w:color="auto" w:fill="CCEEFF"/>
          </w:tcPr>
          <w:p>
            <w:pPr>
              <w:spacing w:after="0"/>
              <w:rPr>
                <w:sz w:val="16"/>
                <w:szCs w:val="16"/>
                <w:color w:val="auto"/>
              </w:rPr>
            </w:pPr>
          </w:p>
        </w:tc>
        <w:tc>
          <w:tcPr>
            <w:tcW w:w="114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17,454,768</w:t>
            </w: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43,382</w:t>
            </w:r>
          </w:p>
        </w:tc>
        <w:tc>
          <w:tcPr>
            <w:tcW w:w="12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50,005</w:t>
            </w:r>
          </w:p>
        </w:tc>
        <w:tc>
          <w:tcPr>
            <w:tcW w:w="100" w:type="dxa"/>
            <w:vAlign w:val="bottom"/>
            <w:tcBorders>
              <w:top w:val="single" w:sz="8" w:color="CCEEFF"/>
            </w:tcBorders>
            <w:shd w:val="clear" w:color="auto" w:fill="CCEEFF"/>
          </w:tcPr>
          <w:p>
            <w:pPr>
              <w:spacing w:after="0"/>
              <w:rPr>
                <w:sz w:val="16"/>
                <w:szCs w:val="16"/>
                <w:color w:val="auto"/>
              </w:rPr>
            </w:pPr>
          </w:p>
        </w:tc>
        <w:tc>
          <w:tcPr>
            <w:tcW w:w="1120" w:type="dxa"/>
            <w:vAlign w:val="bottom"/>
            <w:tcBorders>
              <w:top w:val="single" w:sz="8" w:color="auto"/>
            </w:tcBorders>
            <w:shd w:val="clear" w:color="auto" w:fill="CCEEFF"/>
          </w:tcPr>
          <w:p>
            <w:pPr>
              <w:jc w:val="right"/>
              <w:spacing w:after="0" w:line="191" w:lineRule="exact"/>
              <w:rPr>
                <w:sz w:val="20"/>
                <w:szCs w:val="20"/>
                <w:color w:val="auto"/>
              </w:rPr>
            </w:pPr>
            <w:r>
              <w:rPr>
                <w:rFonts w:ascii="Times New Roman" w:cs="Times New Roman" w:eastAsia="Times New Roman" w:hAnsi="Times New Roman"/>
                <w:sz w:val="18"/>
                <w:szCs w:val="18"/>
                <w:color w:val="auto"/>
              </w:rPr>
              <w:t>1,125</w:t>
            </w:r>
          </w:p>
        </w:tc>
      </w:tr>
      <w:tr>
        <w:trPr>
          <w:trHeight w:val="234"/>
        </w:trPr>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the Company’s Articles of Association.</w:t>
            </w: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198"/>
        </w:trPr>
        <w:tc>
          <w:tcPr>
            <w:tcW w:w="64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To re-elect as a director, Anne M. Phillips, who retires by rotation in accordance with</w:t>
            </w:r>
          </w:p>
        </w:tc>
        <w:tc>
          <w:tcPr>
            <w:tcW w:w="124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17,494,160</w:t>
            </w:r>
          </w:p>
        </w:tc>
        <w:tc>
          <w:tcPr>
            <w:tcW w:w="1240" w:type="dxa"/>
            <w:vAlign w:val="bottom"/>
            <w:gridSpan w:val="2"/>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3,995</w:t>
            </w:r>
          </w:p>
        </w:tc>
        <w:tc>
          <w:tcPr>
            <w:tcW w:w="122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50,000</w:t>
            </w:r>
          </w:p>
        </w:tc>
        <w:tc>
          <w:tcPr>
            <w:tcW w:w="11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1,125</w:t>
            </w:r>
          </w:p>
        </w:tc>
      </w:tr>
      <w:tr>
        <w:trPr>
          <w:trHeight w:val="234"/>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Company’s Articles of Association.</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198"/>
        </w:trPr>
        <w:tc>
          <w:tcPr>
            <w:tcW w:w="64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 re-appoint PricewaterhouseCoopers LLP, as U.K. statutory auditors of the</w:t>
            </w:r>
          </w:p>
        </w:tc>
        <w:tc>
          <w:tcPr>
            <w:tcW w:w="1240" w:type="dxa"/>
            <w:vAlign w:val="bottom"/>
            <w:gridSpan w:val="2"/>
            <w:shd w:val="clear" w:color="auto" w:fill="CCEEFF"/>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17,496,815</w:t>
            </w:r>
          </w:p>
        </w:tc>
        <w:tc>
          <w:tcPr>
            <w:tcW w:w="1240" w:type="dxa"/>
            <w:vAlign w:val="bottom"/>
            <w:gridSpan w:val="2"/>
            <w:shd w:val="clear" w:color="auto" w:fill="CCEEFF"/>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1,115</w:t>
            </w:r>
          </w:p>
        </w:tc>
        <w:tc>
          <w:tcPr>
            <w:tcW w:w="1220" w:type="dxa"/>
            <w:vAlign w:val="bottom"/>
            <w:gridSpan w:val="2"/>
            <w:shd w:val="clear" w:color="auto" w:fill="CCEEFF"/>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50,350</w:t>
            </w:r>
          </w:p>
        </w:tc>
        <w:tc>
          <w:tcPr>
            <w:tcW w:w="112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1,000</w:t>
            </w:r>
          </w:p>
        </w:tc>
      </w:tr>
      <w:tr>
        <w:trPr>
          <w:trHeight w:val="216"/>
        </w:trPr>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Company, to hold office until the conclusion of the next annual general meeting of</w:t>
            </w:r>
          </w:p>
        </w:tc>
        <w:tc>
          <w:tcPr>
            <w:tcW w:w="1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r>
      <w:tr>
        <w:trPr>
          <w:trHeight w:val="234"/>
        </w:trPr>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shareholders.</w:t>
            </w: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198"/>
        </w:trPr>
        <w:tc>
          <w:tcPr>
            <w:tcW w:w="64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To ratify the appointment of PricewaterhouseCoopers LLP as the Company’s</w:t>
            </w:r>
          </w:p>
        </w:tc>
        <w:tc>
          <w:tcPr>
            <w:tcW w:w="124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17,496,815</w:t>
            </w:r>
          </w:p>
        </w:tc>
        <w:tc>
          <w:tcPr>
            <w:tcW w:w="1240" w:type="dxa"/>
            <w:vAlign w:val="bottom"/>
            <w:gridSpan w:val="2"/>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1,015</w:t>
            </w:r>
          </w:p>
        </w:tc>
        <w:tc>
          <w:tcPr>
            <w:tcW w:w="122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50,450</w:t>
            </w:r>
          </w:p>
        </w:tc>
        <w:tc>
          <w:tcPr>
            <w:tcW w:w="11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1,000</w:t>
            </w:r>
          </w:p>
        </w:tc>
      </w:tr>
      <w:tr>
        <w:trPr>
          <w:trHeight w:val="216"/>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independent registered public accounting firm for the fiscal year ending December 31,</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6300" w:type="dxa"/>
            <w:vAlign w:val="bottom"/>
          </w:tcPr>
          <w:p>
            <w:pPr>
              <w:spacing w:after="0"/>
              <w:rPr>
                <w:sz w:val="20"/>
                <w:szCs w:val="20"/>
                <w:color w:val="auto"/>
              </w:rPr>
            </w:pPr>
            <w:r>
              <w:rPr>
                <w:rFonts w:ascii="Times New Roman" w:cs="Times New Roman" w:eastAsia="Times New Roman" w:hAnsi="Times New Roman"/>
                <w:sz w:val="18"/>
                <w:szCs w:val="18"/>
                <w:color w:val="auto"/>
              </w:rPr>
              <w:t>2026.</w:t>
            </w:r>
          </w:p>
        </w:tc>
        <w:tc>
          <w:tcPr>
            <w:tcW w:w="1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198"/>
        </w:trPr>
        <w:tc>
          <w:tcPr>
            <w:tcW w:w="64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 authorize the Audit Committee to determine the Company’s auditors’ remuneration</w:t>
            </w:r>
          </w:p>
        </w:tc>
        <w:tc>
          <w:tcPr>
            <w:tcW w:w="1240" w:type="dxa"/>
            <w:vAlign w:val="bottom"/>
            <w:gridSpan w:val="2"/>
            <w:shd w:val="clear" w:color="auto" w:fill="CCEEFF"/>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17,494,565</w:t>
            </w:r>
          </w:p>
        </w:tc>
        <w:tc>
          <w:tcPr>
            <w:tcW w:w="1240" w:type="dxa"/>
            <w:vAlign w:val="bottom"/>
            <w:gridSpan w:val="2"/>
            <w:shd w:val="clear" w:color="auto" w:fill="CCEEFF"/>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3,590</w:t>
            </w:r>
          </w:p>
        </w:tc>
        <w:tc>
          <w:tcPr>
            <w:tcW w:w="1220" w:type="dxa"/>
            <w:vAlign w:val="bottom"/>
            <w:gridSpan w:val="2"/>
            <w:shd w:val="clear" w:color="auto" w:fill="CCEEFF"/>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50,125</w:t>
            </w:r>
          </w:p>
        </w:tc>
        <w:tc>
          <w:tcPr>
            <w:tcW w:w="112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1,000</w:t>
            </w:r>
          </w:p>
        </w:tc>
      </w:tr>
      <w:tr>
        <w:trPr>
          <w:trHeight w:val="234"/>
        </w:trPr>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for the fiscal year ending December 31, 2026.</w:t>
            </w: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198"/>
        </w:trPr>
        <w:tc>
          <w:tcPr>
            <w:tcW w:w="642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To receive the U.K. statutory annual accounts and reports for the fiscal year ended</w:t>
            </w:r>
          </w:p>
        </w:tc>
        <w:tc>
          <w:tcPr>
            <w:tcW w:w="124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17,496,806</w:t>
            </w:r>
          </w:p>
        </w:tc>
        <w:tc>
          <w:tcPr>
            <w:tcW w:w="1240" w:type="dxa"/>
            <w:vAlign w:val="bottom"/>
            <w:gridSpan w:val="2"/>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1,474</w:t>
            </w:r>
          </w:p>
        </w:tc>
        <w:tc>
          <w:tcPr>
            <w:tcW w:w="1220" w:type="dxa"/>
            <w:vAlign w:val="bottom"/>
            <w:gridSpan w:val="2"/>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50,000</w:t>
            </w:r>
          </w:p>
        </w:tc>
        <w:tc>
          <w:tcPr>
            <w:tcW w:w="1120" w:type="dxa"/>
            <w:vAlign w:val="bottom"/>
          </w:tcPr>
          <w:p>
            <w:pPr>
              <w:jc w:val="right"/>
              <w:spacing w:after="0" w:line="198" w:lineRule="exact"/>
              <w:rPr>
                <w:sz w:val="20"/>
                <w:szCs w:val="20"/>
                <w:color w:val="auto"/>
              </w:rPr>
            </w:pPr>
            <w:r>
              <w:rPr>
                <w:rFonts w:ascii="Times New Roman" w:cs="Times New Roman" w:eastAsia="Times New Roman" w:hAnsi="Times New Roman"/>
                <w:sz w:val="18"/>
                <w:szCs w:val="18"/>
                <w:color w:val="auto"/>
              </w:rPr>
              <w:t>1,000</w:t>
            </w:r>
          </w:p>
        </w:tc>
      </w:tr>
      <w:tr>
        <w:trPr>
          <w:trHeight w:val="216"/>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December 31, 2025 and to note that the Company's directors do not recommend the</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34"/>
        </w:trPr>
        <w:tc>
          <w:tcPr>
            <w:tcW w:w="6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payment of any dividend for the fiscal year ended December 31, 2025.</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198"/>
        </w:trPr>
        <w:tc>
          <w:tcPr>
            <w:tcW w:w="6420" w:type="dxa"/>
            <w:vAlign w:val="bottom"/>
            <w:gridSpan w:val="2"/>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To receive and approve on an advisory basis the Company's U.K. statutory directors'</w:t>
            </w:r>
          </w:p>
        </w:tc>
        <w:tc>
          <w:tcPr>
            <w:tcW w:w="1240" w:type="dxa"/>
            <w:vAlign w:val="bottom"/>
            <w:gridSpan w:val="2"/>
            <w:shd w:val="clear" w:color="auto" w:fill="CCEEFF"/>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17,493,685</w:t>
            </w:r>
          </w:p>
        </w:tc>
        <w:tc>
          <w:tcPr>
            <w:tcW w:w="1240" w:type="dxa"/>
            <w:vAlign w:val="bottom"/>
            <w:gridSpan w:val="2"/>
            <w:shd w:val="clear" w:color="auto" w:fill="CCEEFF"/>
          </w:tcPr>
          <w:p>
            <w:pPr>
              <w:jc w:val="right"/>
              <w:ind w:right="120"/>
              <w:spacing w:after="0" w:line="198" w:lineRule="exact"/>
              <w:rPr>
                <w:sz w:val="20"/>
                <w:szCs w:val="20"/>
                <w:color w:val="auto"/>
              </w:rPr>
            </w:pPr>
            <w:r>
              <w:rPr>
                <w:rFonts w:ascii="Times New Roman" w:cs="Times New Roman" w:eastAsia="Times New Roman" w:hAnsi="Times New Roman"/>
                <w:sz w:val="18"/>
                <w:szCs w:val="18"/>
                <w:color w:val="auto"/>
              </w:rPr>
              <w:t>4,830</w:t>
            </w:r>
          </w:p>
        </w:tc>
        <w:tc>
          <w:tcPr>
            <w:tcW w:w="1220" w:type="dxa"/>
            <w:vAlign w:val="bottom"/>
            <w:gridSpan w:val="2"/>
            <w:shd w:val="clear" w:color="auto" w:fill="CCEEFF"/>
          </w:tcPr>
          <w:p>
            <w:pPr>
              <w:jc w:val="right"/>
              <w:ind w:right="100"/>
              <w:spacing w:after="0" w:line="198" w:lineRule="exact"/>
              <w:rPr>
                <w:sz w:val="20"/>
                <w:szCs w:val="20"/>
                <w:color w:val="auto"/>
              </w:rPr>
            </w:pPr>
            <w:r>
              <w:rPr>
                <w:rFonts w:ascii="Times New Roman" w:cs="Times New Roman" w:eastAsia="Times New Roman" w:hAnsi="Times New Roman"/>
                <w:sz w:val="18"/>
                <w:szCs w:val="18"/>
                <w:color w:val="auto"/>
              </w:rPr>
              <w:t>50,765</w:t>
            </w:r>
          </w:p>
        </w:tc>
        <w:tc>
          <w:tcPr>
            <w:tcW w:w="1120" w:type="dxa"/>
            <w:vAlign w:val="bottom"/>
            <w:shd w:val="clear" w:color="auto" w:fill="CCEEFF"/>
          </w:tcPr>
          <w:p>
            <w:pPr>
              <w:jc w:val="right"/>
              <w:spacing w:after="0" w:line="198" w:lineRule="exact"/>
              <w:rPr>
                <w:sz w:val="20"/>
                <w:szCs w:val="20"/>
                <w:color w:val="auto"/>
              </w:rPr>
            </w:pPr>
            <w:r>
              <w:rPr>
                <w:rFonts w:ascii="Times New Roman" w:cs="Times New Roman" w:eastAsia="Times New Roman" w:hAnsi="Times New Roman"/>
                <w:sz w:val="18"/>
                <w:szCs w:val="18"/>
                <w:color w:val="auto"/>
              </w:rPr>
              <w:t>0</w:t>
            </w:r>
          </w:p>
        </w:tc>
      </w:tr>
      <w:tr>
        <w:trPr>
          <w:trHeight w:val="234"/>
        </w:trPr>
        <w:tc>
          <w:tcPr>
            <w:tcW w:w="64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report for the fiscal year ended December 31, 2025.</w:t>
            </w: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bl>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As previously reported, on December 30, 2025, the Company received a notification letter from The Nasdaq Stock Market LLC (“Nasdaq”) notifying the Company that, for the last 30 consecutive business days, the closing bid price for the Company’s American Depositary Shares (the “ADSs”), has been below the minimum $1.00 per share required (the “Bid Price Requirement”) for continued listing on the Nasdaq Global Market pursuant to Nasdaq Listing Rule 5450(a)(1). In accordance with Nasdaq Listing Rule 5810(c)(3)(A), the Company was given 180 calendar days, or until June 29, 2026, to regain compliance with the Bid Price Requirement pursuant to Nasdaq Listing Rule 5450(a)(1).</w:t>
      </w:r>
    </w:p>
    <w:p>
      <w:pPr>
        <w:spacing w:after="0" w:line="183"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On June 30, 2026, the Company received a notice (the “Extension Notice”) from Nasdaq informing the Company that Nasdaq had granted the Company an additional 180 calendar days, or until December 28, 2026, to regain compliance with the Bid Price Requirement for continued listing on the Nasdaq Capital Market under Nasdaq Listing Rule 5550(a)(2). In connection with the Extension Notice, the listing of the ADSs was transferred from the Nasdaq Global Market to the Nasdaq Capital Market, effective as of July 2, 2026. The Extension Notice has no other immediate effect on the listing of the ADSs.</w:t>
      </w:r>
    </w:p>
    <w:p>
      <w:pPr>
        <w:spacing w:after="0" w:line="180"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Company intends to continue actively monitoring the bid price for its ADSs between now and December 28, 2026, and will consider available options to resolve the deficiency and regain compliance with the Bid Price Requirement. These options include, but are not limited to, effecting a reverse stock split, if necessary, to attempt to regain compliance. If at any time before December 28, 2026, the closing bid price of the ADSs is at least $1.00 per share for a minimum of 10 consecutive business days (which may be extended to be a period of up to 20 consecutive business days at the discretion of the Staff), Nasdaq will provide written confirmation that the Company has regained compliance with the Bid Price Requirement. If the Company does not regain compliance within the additional compliance period, Nasdaq will provide notice that the ADSs will be subject to delisting. The Company would then be entitled to appeal that determination to a Nasdaq hearings panel. There is no assurance, however, that the Company will regain compliance with the Bid Price Requirement or that the ADSs will not be delisted from Nasdaq.</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424815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ind w:right="-3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71"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b w:val="1"/>
          <w:bCs w:val="1"/>
          <w:color w:val="auto"/>
        </w:rPr>
        <w:t>BARINTHUS BIOTHERAPEUTICS PLC</w:t>
      </w:r>
    </w:p>
    <w:p>
      <w:pPr>
        <w:spacing w:after="0" w:line="283" w:lineRule="exact"/>
        <w:rPr>
          <w:sz w:val="20"/>
          <w:szCs w:val="20"/>
          <w:color w:val="auto"/>
        </w:rPr>
      </w:pPr>
    </w:p>
    <w:p>
      <w:pPr>
        <w:ind w:left="20"/>
        <w:spacing w:after="0"/>
        <w:tabs>
          <w:tab w:leader="none" w:pos="5640" w:val="left"/>
          <w:tab w:leader="none" w:pos="6180" w:val="left"/>
        </w:tabs>
        <w:rPr>
          <w:sz w:val="20"/>
          <w:szCs w:val="20"/>
          <w:color w:val="auto"/>
        </w:rPr>
      </w:pPr>
      <w:r>
        <w:rPr>
          <w:rFonts w:ascii="Times New Roman" w:cs="Times New Roman" w:eastAsia="Times New Roman" w:hAnsi="Times New Roman"/>
          <w:sz w:val="18"/>
          <w:szCs w:val="18"/>
          <w:color w:val="auto"/>
        </w:rPr>
        <w:t>Dated: July 2, 2026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William Enright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26035</wp:posOffset>
            </wp:positionV>
            <wp:extent cx="320611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30"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18"/>
          <w:szCs w:val="18"/>
          <w:color w:val="auto"/>
        </w:rPr>
        <w:t>Name: William Enright</w:t>
      </w:r>
    </w:p>
    <w:p>
      <w:pPr>
        <w:spacing w:after="0" w:line="36" w:lineRule="exact"/>
        <w:rPr>
          <w:sz w:val="20"/>
          <w:szCs w:val="20"/>
          <w:color w:val="auto"/>
        </w:rPr>
      </w:pPr>
    </w:p>
    <w:p>
      <w:pPr>
        <w:ind w:left="5660"/>
        <w:spacing w:after="0"/>
        <w:tabs>
          <w:tab w:leader="none" w:pos="618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454660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20"/>
      </w:cols>
      <w:pgMar w:left="320" w:top="900" w:right="6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Wingdings">
    <w:panose1 w:val="05000000000000000000"/>
    <w:charset w:val="00"/>
    <w:family w:val="auto"/>
    <w:pitch w:val="variable"/>
    <w:sig w:usb0="00000000" w:usb1="00000000" w:usb2="00000000" w:usb3="00000000" w:csb0="80000000"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2026-07-02T15:16:51Z</dcterms:created>
  <dcterms:modified xsi:type="dcterms:W3CDTF">2026-07-02T15:16:51Z</dcterms:modified>
</cp:coreProperties>
</file>