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jc w:val="left"/>
        <w:rPr/>
      </w:pPr>
      <w:hyperlink w:anchor="TOC">
        <w:bookmarkStart w:id="0" w:name="vacc-20210630x10q.htm"/>
        <w:bookmarkStart w:id="1" w:name="ksvacc2021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top w:val="single" w:sz="24" w:space="1" w:color="000000"/>
          <w:bottom w:val="single" w:sz="2"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bookmarkStart w:id="2" w:name="_Hlk74096268"/>
      <w:bookmarkStart w:id="3" w:name="_fbc0a890_c2ea_4c52_9ee1_4ccd302ff0e8"/>
      <w:bookmarkEnd w:id="2"/>
      <w:bookmarkEnd w:id="3"/>
      <w:r>
        <w:rPr>
          <w:rFonts w:ascii="Times New Roman;Times;serif" w:hAnsi="Times New Roman;Times;serif"/>
          <w:b/>
          <w:sz w:val="28"/>
        </w:rPr>
        <w:t>UNITED</w:t>
      </w:r>
      <w:r>
        <w:rPr>
          <w:rFonts w:ascii="Times New Roman;Times;serif" w:hAnsi="Times New Roman;Times;serif"/>
          <w:sz w:val="20"/>
        </w:rPr>
        <w:t xml:space="preserve"> </w:t>
      </w:r>
      <w:r>
        <w:rPr>
          <w:rFonts w:ascii="Times New Roman;Times;serif" w:hAnsi="Times New Roman;Times;serif"/>
          <w:b/>
          <w:sz w:val="28"/>
        </w:rPr>
        <w:t>STATES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8"/>
        </w:rPr>
        <w:t>SECURITIES</w:t>
      </w:r>
      <w:r>
        <w:rPr>
          <w:rFonts w:ascii="Times New Roman;Times;serif" w:hAnsi="Times New Roman;Times;serif"/>
          <w:sz w:val="20"/>
        </w:rPr>
        <w:t xml:space="preserve"> </w:t>
      </w:r>
      <w:r>
        <w:rPr>
          <w:rFonts w:ascii="Times New Roman;Times;serif" w:hAnsi="Times New Roman;Times;serif"/>
          <w:b/>
          <w:sz w:val="28"/>
        </w:rPr>
        <w:t>AND</w:t>
      </w:r>
      <w:r>
        <w:rPr>
          <w:rFonts w:ascii="Times New Roman;Times;serif" w:hAnsi="Times New Roman;Times;serif"/>
          <w:sz w:val="20"/>
        </w:rPr>
        <w:t xml:space="preserve"> </w:t>
      </w:r>
      <w:r>
        <w:rPr>
          <w:rFonts w:ascii="Times New Roman;Times;serif" w:hAnsi="Times New Roman;Times;serif"/>
          <w:b/>
          <w:sz w:val="28"/>
        </w:rPr>
        <w:t>EXCHANGE</w:t>
      </w:r>
      <w:r>
        <w:rPr>
          <w:rFonts w:ascii="Times New Roman;Times;serif" w:hAnsi="Times New Roman;Times;serif"/>
          <w:sz w:val="20"/>
        </w:rPr>
        <w:t xml:space="preserve"> </w:t>
      </w:r>
      <w:r>
        <w:rPr>
          <w:rFonts w:ascii="Times New Roman;Times;serif" w:hAnsi="Times New Roman;Times;serif"/>
          <w:b/>
          <w:sz w:val="28"/>
        </w:rPr>
        <w:t>COMMISSION</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b/>
          <w:sz w:val="22"/>
        </w:rPr>
        <w:t>WASHINGTON</w:t>
      </w:r>
      <w:r>
        <w:rPr>
          <w:rFonts w:ascii="Times New Roman;Times;serif" w:hAnsi="Times New Roman;Times;serif"/>
          <w:sz w:val="22"/>
        </w:rPr>
        <w:t xml:space="preserve">, </w:t>
      </w:r>
      <w:r>
        <w:rPr>
          <w:rFonts w:ascii="Times New Roman;Times;serif" w:hAnsi="Times New Roman;Times;serif"/>
          <w:b/>
          <w:sz w:val="22"/>
        </w:rPr>
        <w:t>DC</w:t>
      </w:r>
      <w:r>
        <w:rPr>
          <w:rFonts w:ascii="Times New Roman;Times;serif" w:hAnsi="Times New Roman;Times;serif"/>
          <w:sz w:val="20"/>
        </w:rPr>
        <w:t xml:space="preserve"> </w:t>
      </w:r>
      <w:r>
        <w:rPr>
          <w:rFonts w:ascii="Times New Roman;Times;serif" w:hAnsi="Times New Roman;Times;serif"/>
          <w:b/>
          <w:sz w:val="22"/>
        </w:rPr>
        <w:t>20549</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30"/>
        </w:rPr>
      </w:pPr>
      <w:r>
        <w:rPr>
          <w:rFonts w:ascii="Times New Roman;Times;serif" w:hAnsi="Times New Roman;Times;serif"/>
          <w:b/>
          <w:sz w:val="30"/>
        </w:rPr>
        <w:t>FORM</w:t>
      </w:r>
      <w:r>
        <w:rPr>
          <w:rFonts w:ascii="Times New Roman;Times;serif" w:hAnsi="Times New Roman;Times;serif"/>
          <w:sz w:val="30"/>
        </w:rPr>
        <w:t xml:space="preserve"> </w:t>
      </w:r>
      <w:r>
        <w:rPr>
          <w:rFonts w:ascii="Times New Roman;Times;serif" w:hAnsi="Times New Roman;Times;serif"/>
          <w:b/>
          <w:sz w:val="30"/>
        </w:rPr>
        <w:t>10-Q</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120"/>
        <w:ind w:left="0" w:right="0" w:hanging="0"/>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Mark</w:t>
      </w:r>
      <w:r>
        <w:rPr>
          <w:rFonts w:ascii="Times New Roman;Times;serif" w:hAnsi="Times New Roman;Times;serif"/>
          <w:sz w:val="18"/>
        </w:rPr>
        <w:t xml:space="preserve"> </w:t>
      </w:r>
      <w:r>
        <w:rPr>
          <w:rFonts w:ascii="Times New Roman;Times;serif" w:hAnsi="Times New Roman;Times;serif"/>
          <w:b/>
          <w:sz w:val="18"/>
        </w:rPr>
        <w:t>One</w:t>
      </w:r>
      <w:r>
        <w:rPr>
          <w:rFonts w:ascii="Times New Roman;Times;serif" w:hAnsi="Times New Roman;Times;serif"/>
          <w:sz w:val="18"/>
        </w:rPr>
        <w:t>)</w:t>
      </w:r>
    </w:p>
    <w:p>
      <w:pPr>
        <w:pStyle w:val="TextBody"/>
        <w:spacing w:before="0" w:after="100"/>
        <w:ind w:left="0" w:right="0" w:hanging="0"/>
        <w:jc w:val="left"/>
        <w:rPr/>
      </w:pPr>
      <w:r>
        <w:rPr>
          <w:caps w:val="false"/>
          <w:smallCaps w:val="false"/>
        </w:rPr>
        <w:t>☒</w:t>
      </w:r>
      <w:r>
        <w:rPr>
          <w:rFonts w:ascii="Times New Roman;Times;serif" w:hAnsi="Times New Roman;Times;serif"/>
          <w:b/>
          <w:sz w:val="18"/>
        </w:rPr>
        <w:t>QUARTERLY</w:t>
      </w:r>
      <w:r>
        <w:rPr>
          <w:rFonts w:ascii="Times New Roman;Times;serif" w:hAnsi="Times New Roman;Times;serif"/>
          <w:sz w:val="20"/>
        </w:rPr>
        <w:t xml:space="preserve"> </w:t>
      </w:r>
      <w:r>
        <w:rPr>
          <w:rFonts w:ascii="Times New Roman;Times;serif" w:hAnsi="Times New Roman;Times;serif"/>
          <w:b/>
          <w:sz w:val="18"/>
        </w:rPr>
        <w:t>REPORT</w:t>
      </w:r>
      <w:r>
        <w:rPr>
          <w:rFonts w:ascii="Times New Roman;Times;serif" w:hAnsi="Times New Roman;Times;serif"/>
          <w:sz w:val="20"/>
        </w:rPr>
        <w:t xml:space="preserve"> </w:t>
      </w:r>
      <w:r>
        <w:rPr>
          <w:rFonts w:ascii="Times New Roman;Times;serif" w:hAnsi="Times New Roman;Times;serif"/>
          <w:b/>
          <w:sz w:val="18"/>
        </w:rPr>
        <w:t>PURSUANT</w:t>
      </w:r>
      <w:r>
        <w:rPr>
          <w:rFonts w:ascii="Times New Roman;Times;serif" w:hAnsi="Times New Roman;Times;serif"/>
          <w:sz w:val="20"/>
        </w:rPr>
        <w:t xml:space="preserve"> </w:t>
      </w:r>
      <w:r>
        <w:rPr>
          <w:rFonts w:ascii="Times New Roman;Times;serif" w:hAnsi="Times New Roman;Times;serif"/>
          <w:b/>
          <w:sz w:val="18"/>
        </w:rPr>
        <w:t>TO</w:t>
      </w:r>
      <w:r>
        <w:rPr>
          <w:rFonts w:ascii="Times New Roman;Times;serif" w:hAnsi="Times New Roman;Times;serif"/>
          <w:sz w:val="20"/>
        </w:rPr>
        <w:t xml:space="preserve"> </w:t>
      </w:r>
      <w:r>
        <w:rPr>
          <w:rFonts w:ascii="Times New Roman;Times;serif" w:hAnsi="Times New Roman;Times;serif"/>
          <w:b/>
          <w:sz w:val="18"/>
        </w:rPr>
        <w:t>SECTION</w:t>
      </w:r>
      <w:r>
        <w:rPr>
          <w:rFonts w:ascii="Times New Roman;Times;serif" w:hAnsi="Times New Roman;Times;serif"/>
          <w:sz w:val="20"/>
        </w:rPr>
        <w:t xml:space="preserve"> </w:t>
      </w:r>
      <w:r>
        <w:rPr>
          <w:rFonts w:ascii="Times New Roman;Times;serif" w:hAnsi="Times New Roman;Times;serif"/>
          <w:b/>
          <w:sz w:val="18"/>
        </w:rPr>
        <w:t>13</w:t>
      </w:r>
      <w:r>
        <w:rPr>
          <w:rFonts w:ascii="Times New Roman;Times;serif" w:hAnsi="Times New Roman;Times;serif"/>
          <w:sz w:val="20"/>
        </w:rPr>
        <w:t xml:space="preserve"> </w:t>
      </w:r>
      <w:r>
        <w:rPr>
          <w:rFonts w:ascii="Times New Roman;Times;serif" w:hAnsi="Times New Roman;Times;serif"/>
          <w:b/>
          <w:sz w:val="18"/>
        </w:rPr>
        <w:t>OR</w:t>
      </w:r>
      <w:r>
        <w:rPr>
          <w:rFonts w:ascii="Times New Roman;Times;serif" w:hAnsi="Times New Roman;Times;serif"/>
          <w:sz w:val="20"/>
        </w:rPr>
        <w:t xml:space="preserve"> </w:t>
      </w:r>
      <w:r>
        <w:rPr>
          <w:rFonts w:ascii="Times New Roman;Times;serif" w:hAnsi="Times New Roman;Times;serif"/>
          <w:b/>
          <w:sz w:val="18"/>
        </w:rPr>
        <w:t>15</w:t>
      </w:r>
      <w:r>
        <w:rPr>
          <w:rFonts w:ascii="Times New Roman;Times;serif" w:hAnsi="Times New Roman;Times;serif"/>
          <w:sz w:val="18"/>
        </w:rPr>
        <w:t>(</w:t>
      </w:r>
      <w:r>
        <w:rPr>
          <w:rFonts w:ascii="Times New Roman;Times;serif" w:hAnsi="Times New Roman;Times;serif"/>
          <w:b/>
          <w:sz w:val="18"/>
        </w:rPr>
        <w:t>d</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THE</w:t>
      </w:r>
      <w:r>
        <w:rPr>
          <w:rFonts w:ascii="Times New Roman;Times;serif" w:hAnsi="Times New Roman;Times;serif"/>
          <w:sz w:val="20"/>
        </w:rPr>
        <w:t xml:space="preserve"> </w:t>
      </w:r>
      <w:r>
        <w:rPr>
          <w:rFonts w:ascii="Times New Roman;Times;serif" w:hAnsi="Times New Roman;Times;serif"/>
          <w:b/>
          <w:sz w:val="18"/>
        </w:rPr>
        <w:t>SECURITIES</w:t>
      </w:r>
      <w:r>
        <w:rPr>
          <w:rFonts w:ascii="Times New Roman;Times;serif" w:hAnsi="Times New Roman;Times;serif"/>
          <w:sz w:val="20"/>
        </w:rPr>
        <w:t xml:space="preserve"> </w:t>
      </w:r>
      <w:r>
        <w:rPr>
          <w:rFonts w:ascii="Times New Roman;Times;serif" w:hAnsi="Times New Roman;Times;serif"/>
          <w:b/>
          <w:sz w:val="18"/>
        </w:rPr>
        <w:t>EXCHANGE</w:t>
      </w:r>
      <w:r>
        <w:rPr>
          <w:rFonts w:ascii="Times New Roman;Times;serif" w:hAnsi="Times New Roman;Times;serif"/>
          <w:sz w:val="20"/>
        </w:rPr>
        <w:t xml:space="preserve"> </w:t>
      </w:r>
      <w:r>
        <w:rPr>
          <w:rFonts w:ascii="Times New Roman;Times;serif" w:hAnsi="Times New Roman;Times;serif"/>
          <w:b/>
          <w:sz w:val="18"/>
        </w:rPr>
        <w:t>ACT</w:t>
      </w:r>
      <w:r>
        <w:rPr>
          <w:rFonts w:ascii="Times New Roman;Times;serif" w:hAnsi="Times New Roman;Times;serif"/>
          <w:sz w:val="20"/>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1934</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b/>
          <w:sz w:val="18"/>
        </w:rPr>
        <w:t>For</w:t>
      </w:r>
      <w:r>
        <w:rPr>
          <w:rFonts w:ascii="Times New Roman;Times;serif" w:hAnsi="Times New Roman;Times;serif"/>
          <w:sz w:val="20"/>
        </w:rPr>
        <w:t xml:space="preserve"> </w:t>
      </w:r>
      <w:r>
        <w:rPr>
          <w:rFonts w:ascii="Times New Roman;Times;serif" w:hAnsi="Times New Roman;Times;serif"/>
          <w:b/>
          <w:sz w:val="18"/>
        </w:rPr>
        <w:t>the</w:t>
      </w:r>
      <w:r>
        <w:rPr>
          <w:rFonts w:ascii="Times New Roman;Times;serif" w:hAnsi="Times New Roman;Times;serif"/>
          <w:sz w:val="20"/>
        </w:rPr>
        <w:t xml:space="preserve"> </w:t>
      </w:r>
      <w:r>
        <w:rPr>
          <w:rFonts w:ascii="Times New Roman;Times;serif" w:hAnsi="Times New Roman;Times;serif"/>
          <w:b/>
          <w:sz w:val="18"/>
        </w:rPr>
        <w:t>quarterly</w:t>
      </w:r>
      <w:r>
        <w:rPr>
          <w:rFonts w:ascii="Times New Roman;Times;serif" w:hAnsi="Times New Roman;Times;serif"/>
          <w:sz w:val="20"/>
        </w:rPr>
        <w:t xml:space="preserve"> </w:t>
      </w:r>
      <w:r>
        <w:rPr>
          <w:rFonts w:ascii="Times New Roman;Times;serif" w:hAnsi="Times New Roman;Times;serif"/>
          <w:b/>
          <w:sz w:val="18"/>
        </w:rPr>
        <w:t>period</w:t>
      </w:r>
      <w:r>
        <w:rPr>
          <w:rFonts w:ascii="Times New Roman;Times;serif" w:hAnsi="Times New Roman;Times;serif"/>
          <w:sz w:val="20"/>
        </w:rPr>
        <w:t xml:space="preserve"> </w:t>
      </w:r>
      <w:r>
        <w:rPr>
          <w:rFonts w:ascii="Times New Roman;Times;serif" w:hAnsi="Times New Roman;Times;serif"/>
          <w:b/>
          <w:sz w:val="18"/>
        </w:rPr>
        <w:t>ended</w:t>
      </w:r>
      <w:r>
        <w:rPr>
          <w:rFonts w:ascii="Times New Roman;Times;serif" w:hAnsi="Times New Roman;Times;serif"/>
          <w:sz w:val="20"/>
        </w:rPr>
        <w:t xml:space="preserve"> </w:t>
      </w:r>
      <w:r>
        <w:rPr>
          <w:rFonts w:ascii="Times New Roman;Times;serif" w:hAnsi="Times New Roman;Times;serif"/>
          <w:b/>
          <w:sz w:val="18"/>
        </w:rPr>
        <w:t>June 30, 2021</w:t>
      </w:r>
    </w:p>
    <w:p>
      <w:pPr>
        <w:pStyle w:val="TextBody"/>
        <w:spacing w:before="0" w:after="10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100"/>
        <w:ind w:left="0" w:right="0" w:hanging="0"/>
        <w:jc w:val="left"/>
        <w:rPr/>
      </w:pPr>
      <w:r>
        <w:rPr>
          <w:caps w:val="false"/>
          <w:smallCaps w:val="false"/>
        </w:rPr>
        <w:t>☐</w:t>
      </w:r>
      <w:r>
        <w:rPr>
          <w:rFonts w:ascii="Times New Roman;Times;serif" w:hAnsi="Times New Roman;Times;serif"/>
          <w:b/>
          <w:sz w:val="18"/>
        </w:rPr>
        <w:t>TRANSITION</w:t>
      </w:r>
      <w:r>
        <w:rPr>
          <w:rFonts w:ascii="Times New Roman;Times;serif" w:hAnsi="Times New Roman;Times;serif"/>
          <w:sz w:val="20"/>
        </w:rPr>
        <w:t xml:space="preserve"> </w:t>
      </w:r>
      <w:r>
        <w:rPr>
          <w:rFonts w:ascii="Times New Roman;Times;serif" w:hAnsi="Times New Roman;Times;serif"/>
          <w:b/>
          <w:sz w:val="18"/>
        </w:rPr>
        <w:t>REPORT</w:t>
      </w:r>
      <w:r>
        <w:rPr>
          <w:rFonts w:ascii="Times New Roman;Times;serif" w:hAnsi="Times New Roman;Times;serif"/>
          <w:sz w:val="20"/>
        </w:rPr>
        <w:t xml:space="preserve"> </w:t>
      </w:r>
      <w:r>
        <w:rPr>
          <w:rFonts w:ascii="Times New Roman;Times;serif" w:hAnsi="Times New Roman;Times;serif"/>
          <w:b/>
          <w:sz w:val="18"/>
        </w:rPr>
        <w:t>PURSUANT</w:t>
      </w:r>
      <w:r>
        <w:rPr>
          <w:rFonts w:ascii="Times New Roman;Times;serif" w:hAnsi="Times New Roman;Times;serif"/>
          <w:sz w:val="20"/>
        </w:rPr>
        <w:t xml:space="preserve"> </w:t>
      </w:r>
      <w:r>
        <w:rPr>
          <w:rFonts w:ascii="Times New Roman;Times;serif" w:hAnsi="Times New Roman;Times;serif"/>
          <w:b/>
          <w:sz w:val="18"/>
        </w:rPr>
        <w:t>TO</w:t>
      </w:r>
      <w:r>
        <w:rPr>
          <w:rFonts w:ascii="Times New Roman;Times;serif" w:hAnsi="Times New Roman;Times;serif"/>
          <w:sz w:val="20"/>
        </w:rPr>
        <w:t xml:space="preserve"> </w:t>
      </w:r>
      <w:r>
        <w:rPr>
          <w:rFonts w:ascii="Times New Roman;Times;serif" w:hAnsi="Times New Roman;Times;serif"/>
          <w:b/>
          <w:sz w:val="18"/>
        </w:rPr>
        <w:t>SECTION</w:t>
      </w:r>
      <w:r>
        <w:rPr>
          <w:rFonts w:ascii="Times New Roman;Times;serif" w:hAnsi="Times New Roman;Times;serif"/>
          <w:sz w:val="20"/>
        </w:rPr>
        <w:t xml:space="preserve"> </w:t>
      </w:r>
      <w:r>
        <w:rPr>
          <w:rFonts w:ascii="Times New Roman;Times;serif" w:hAnsi="Times New Roman;Times;serif"/>
          <w:b/>
          <w:sz w:val="18"/>
        </w:rPr>
        <w:t>13</w:t>
      </w:r>
      <w:r>
        <w:rPr>
          <w:rFonts w:ascii="Times New Roman;Times;serif" w:hAnsi="Times New Roman;Times;serif"/>
          <w:sz w:val="20"/>
        </w:rPr>
        <w:t xml:space="preserve"> </w:t>
      </w:r>
      <w:r>
        <w:rPr>
          <w:rFonts w:ascii="Times New Roman;Times;serif" w:hAnsi="Times New Roman;Times;serif"/>
          <w:b/>
          <w:sz w:val="18"/>
        </w:rPr>
        <w:t>OR</w:t>
      </w:r>
      <w:r>
        <w:rPr>
          <w:rFonts w:ascii="Times New Roman;Times;serif" w:hAnsi="Times New Roman;Times;serif"/>
          <w:sz w:val="20"/>
        </w:rPr>
        <w:t xml:space="preserve"> </w:t>
      </w:r>
      <w:r>
        <w:rPr>
          <w:rFonts w:ascii="Times New Roman;Times;serif" w:hAnsi="Times New Roman;Times;serif"/>
          <w:b/>
          <w:sz w:val="18"/>
        </w:rPr>
        <w:t>15</w:t>
      </w:r>
      <w:r>
        <w:rPr>
          <w:rFonts w:ascii="Times New Roman;Times;serif" w:hAnsi="Times New Roman;Times;serif"/>
          <w:sz w:val="18"/>
        </w:rPr>
        <w:t>(</w:t>
      </w:r>
      <w:r>
        <w:rPr>
          <w:rFonts w:ascii="Times New Roman;Times;serif" w:hAnsi="Times New Roman;Times;serif"/>
          <w:b/>
          <w:sz w:val="18"/>
        </w:rPr>
        <w:t>d</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THE</w:t>
      </w:r>
      <w:r>
        <w:rPr>
          <w:rFonts w:ascii="Times New Roman;Times;serif" w:hAnsi="Times New Roman;Times;serif"/>
          <w:sz w:val="20"/>
        </w:rPr>
        <w:t xml:space="preserve"> </w:t>
      </w:r>
      <w:r>
        <w:rPr>
          <w:rFonts w:ascii="Times New Roman;Times;serif" w:hAnsi="Times New Roman;Times;serif"/>
          <w:b/>
          <w:sz w:val="18"/>
        </w:rPr>
        <w:t>SECURITIES</w:t>
      </w:r>
      <w:r>
        <w:rPr>
          <w:rFonts w:ascii="Times New Roman;Times;serif" w:hAnsi="Times New Roman;Times;serif"/>
          <w:sz w:val="20"/>
        </w:rPr>
        <w:t xml:space="preserve"> </w:t>
      </w:r>
      <w:r>
        <w:rPr>
          <w:rFonts w:ascii="Times New Roman;Times;serif" w:hAnsi="Times New Roman;Times;serif"/>
          <w:b/>
          <w:sz w:val="18"/>
        </w:rPr>
        <w:t>EXCHANGE</w:t>
      </w:r>
      <w:r>
        <w:rPr>
          <w:rFonts w:ascii="Times New Roman;Times;serif" w:hAnsi="Times New Roman;Times;serif"/>
          <w:sz w:val="20"/>
        </w:rPr>
        <w:t xml:space="preserve"> </w:t>
      </w:r>
      <w:r>
        <w:rPr>
          <w:rFonts w:ascii="Times New Roman;Times;serif" w:hAnsi="Times New Roman;Times;serif"/>
          <w:b/>
          <w:sz w:val="18"/>
        </w:rPr>
        <w:t>ACT</w:t>
      </w:r>
      <w:r>
        <w:rPr>
          <w:rFonts w:ascii="Times New Roman;Times;serif" w:hAnsi="Times New Roman;Times;serif"/>
          <w:sz w:val="20"/>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1934</w:t>
      </w:r>
    </w:p>
    <w:p>
      <w:pPr>
        <w:pStyle w:val="TextBody"/>
        <w:spacing w:before="0" w:after="100"/>
        <w:ind w:left="0" w:right="0" w:hanging="0"/>
        <w:jc w:val="center"/>
        <w:rPr>
          <w:rFonts w:ascii="Times New Roman;Times;serif" w:hAnsi="Times New Roman;Times;serif"/>
          <w:sz w:val="18"/>
        </w:rPr>
      </w:pPr>
      <w:r>
        <w:rPr>
          <w:rFonts w:ascii="Times New Roman;Times;serif" w:hAnsi="Times New Roman;Times;serif"/>
          <w:b/>
          <w:sz w:val="18"/>
        </w:rPr>
        <w:t>For</w:t>
      </w:r>
      <w:r>
        <w:rPr>
          <w:rFonts w:ascii="Times New Roman;Times;serif" w:hAnsi="Times New Roman;Times;serif"/>
          <w:sz w:val="18"/>
        </w:rPr>
        <w:t xml:space="preserve"> </w:t>
      </w:r>
      <w:r>
        <w:rPr>
          <w:rFonts w:ascii="Times New Roman;Times;serif" w:hAnsi="Times New Roman;Times;serif"/>
          <w:b/>
          <w:sz w:val="18"/>
        </w:rPr>
        <w:t>the</w:t>
      </w:r>
      <w:r>
        <w:rPr>
          <w:rFonts w:ascii="Times New Roman;Times;serif" w:hAnsi="Times New Roman;Times;serif"/>
          <w:sz w:val="18"/>
        </w:rPr>
        <w:t xml:space="preserve"> </w:t>
      </w:r>
      <w:r>
        <w:rPr>
          <w:rFonts w:ascii="Times New Roman;Times;serif" w:hAnsi="Times New Roman;Times;serif"/>
          <w:b/>
          <w:sz w:val="18"/>
        </w:rPr>
        <w:t>transition</w:t>
      </w:r>
      <w:r>
        <w:rPr>
          <w:rFonts w:ascii="Times New Roman;Times;serif" w:hAnsi="Times New Roman;Times;serif"/>
          <w:sz w:val="18"/>
        </w:rPr>
        <w:t xml:space="preserve"> </w:t>
      </w:r>
      <w:r>
        <w:rPr>
          <w:rFonts w:ascii="Times New Roman;Times;serif" w:hAnsi="Times New Roman;Times;serif"/>
          <w:b/>
          <w:sz w:val="18"/>
        </w:rPr>
        <w:t>period</w:t>
      </w:r>
      <w:r>
        <w:rPr>
          <w:rFonts w:ascii="Times New Roman;Times;serif" w:hAnsi="Times New Roman;Times;serif"/>
          <w:sz w:val="18"/>
        </w:rPr>
        <w:t xml:space="preserve"> </w:t>
      </w:r>
      <w:r>
        <w:rPr>
          <w:rFonts w:ascii="Times New Roman;Times;serif" w:hAnsi="Times New Roman;Times;serif"/>
          <w:b/>
          <w:sz w:val="18"/>
        </w:rPr>
        <w:t>from</w:t>
      </w:r>
      <w:r>
        <w:rPr>
          <w:rFonts w:ascii="Times New Roman;Times;serif" w:hAnsi="Times New Roman;Times;serif"/>
          <w:sz w:val="18"/>
        </w:rPr>
        <w:t xml:space="preserve"> </w:t>
      </w:r>
      <w:r>
        <w:rPr>
          <w:rFonts w:ascii="Times New Roman;Times;serif" w:hAnsi="Times New Roman;Times;serif"/>
          <w:b/>
          <w:sz w:val="18"/>
        </w:rPr>
        <w:t>_________</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xml:space="preserve"> </w:t>
      </w:r>
      <w:r>
        <w:rPr>
          <w:rFonts w:ascii="Times New Roman;Times;serif" w:hAnsi="Times New Roman;Times;serif"/>
          <w:b/>
          <w:sz w:val="18"/>
        </w:rPr>
        <w:t>___________</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Commission</w:t>
      </w:r>
      <w:r>
        <w:rPr>
          <w:rFonts w:ascii="Times New Roman;Times;serif" w:hAnsi="Times New Roman;Times;serif"/>
          <w:sz w:val="20"/>
        </w:rPr>
        <w:t xml:space="preserve"> </w:t>
      </w:r>
      <w:r>
        <w:rPr>
          <w:rFonts w:ascii="Times New Roman;Times;serif" w:hAnsi="Times New Roman;Times;serif"/>
          <w:b/>
          <w:sz w:val="18"/>
        </w:rPr>
        <w:t>File</w:t>
      </w:r>
      <w:r>
        <w:rPr>
          <w:rFonts w:ascii="Times New Roman;Times;serif" w:hAnsi="Times New Roman;Times;serif"/>
          <w:sz w:val="20"/>
        </w:rPr>
        <w:t xml:space="preserve"> </w:t>
      </w:r>
      <w:r>
        <w:rPr>
          <w:rFonts w:ascii="Times New Roman;Times;serif" w:hAnsi="Times New Roman;Times;serif"/>
          <w:b/>
          <w:sz w:val="18"/>
        </w:rPr>
        <w:t>Number</w:t>
      </w:r>
      <w:r>
        <w:rPr>
          <w:rFonts w:ascii="Times New Roman;Times;serif" w:hAnsi="Times New Roman;Times;serif"/>
          <w:sz w:val="18"/>
        </w:rPr>
        <w:t xml:space="preserve">: </w:t>
      </w:r>
      <w:r>
        <w:rPr>
          <w:rFonts w:ascii="Times New Roman;Times;serif" w:hAnsi="Times New Roman;Times;serif"/>
          <w:b/>
          <w:sz w:val="18"/>
        </w:rPr>
        <w:t>001-40367</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40"/>
        </w:rPr>
      </w:pPr>
      <w:r>
        <w:rPr>
          <w:rFonts w:ascii="Times New Roman;Times;serif" w:hAnsi="Times New Roman;Times;serif"/>
          <w:b/>
          <w:i w:val="false"/>
          <w:caps w:val="false"/>
          <w:smallCaps w:val="false"/>
          <w:sz w:val="40"/>
        </w:rPr>
        <w:t>VACCITECH</w:t>
      </w:r>
      <w:r>
        <w:rPr>
          <w:rFonts w:ascii="Times New Roman;Times;serif" w:hAnsi="Times New Roman;Times;serif"/>
          <w:caps w:val="false"/>
          <w:smallCaps w:val="false"/>
          <w:sz w:val="40"/>
        </w:rPr>
        <w:t xml:space="preserve"> </w:t>
      </w:r>
      <w:r>
        <w:rPr>
          <w:rFonts w:ascii="Times New Roman;Times;serif" w:hAnsi="Times New Roman;Times;serif"/>
          <w:b/>
          <w:i w:val="false"/>
          <w:caps w:val="false"/>
          <w:smallCaps w:val="false"/>
          <w:sz w:val="40"/>
        </w:rPr>
        <w:t>PLC</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Exact</w:t>
      </w:r>
      <w:r>
        <w:rPr>
          <w:rFonts w:ascii="Times New Roman;Times;serif" w:hAnsi="Times New Roman;Times;serif"/>
          <w:sz w:val="18"/>
        </w:rPr>
        <w:t xml:space="preserve"> </w:t>
      </w:r>
      <w:r>
        <w:rPr>
          <w:rFonts w:ascii="Times New Roman;Times;serif" w:hAnsi="Times New Roman;Times;serif"/>
          <w:b/>
          <w:sz w:val="18"/>
        </w:rPr>
        <w:t>Name</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18"/>
        </w:rPr>
        <w:t xml:space="preserve"> </w:t>
      </w:r>
      <w:r>
        <w:rPr>
          <w:rFonts w:ascii="Times New Roman;Times;serif" w:hAnsi="Times New Roman;Times;serif"/>
          <w:b/>
          <w:sz w:val="18"/>
        </w:rPr>
        <w:t>Registrant</w:t>
      </w:r>
      <w:r>
        <w:rPr>
          <w:rFonts w:ascii="Times New Roman;Times;serif" w:hAnsi="Times New Roman;Times;serif"/>
          <w:sz w:val="18"/>
        </w:rPr>
        <w:t xml:space="preserve"> </w:t>
      </w:r>
      <w:r>
        <w:rPr>
          <w:rFonts w:ascii="Times New Roman;Times;serif" w:hAnsi="Times New Roman;Times;serif"/>
          <w:b/>
          <w:sz w:val="18"/>
        </w:rPr>
        <w:t>as</w:t>
      </w:r>
      <w:r>
        <w:rPr>
          <w:rFonts w:ascii="Times New Roman;Times;serif" w:hAnsi="Times New Roman;Times;serif"/>
          <w:sz w:val="18"/>
        </w:rPr>
        <w:t xml:space="preserve"> </w:t>
      </w:r>
      <w:r>
        <w:rPr>
          <w:rFonts w:ascii="Times New Roman;Times;serif" w:hAnsi="Times New Roman;Times;serif"/>
          <w:b/>
          <w:sz w:val="18"/>
        </w:rPr>
        <w:t>Specified</w:t>
      </w:r>
      <w:r>
        <w:rPr>
          <w:rFonts w:ascii="Times New Roman;Times;serif" w:hAnsi="Times New Roman;Times;serif"/>
          <w:sz w:val="18"/>
        </w:rPr>
        <w:t xml:space="preserve"> </w:t>
      </w:r>
      <w:r>
        <w:rPr>
          <w:rFonts w:ascii="Times New Roman;Times;serif" w:hAnsi="Times New Roman;Times;serif"/>
          <w:b/>
          <w:sz w:val="18"/>
        </w:rPr>
        <w:t>in</w:t>
      </w:r>
      <w:r>
        <w:rPr>
          <w:rFonts w:ascii="Times New Roman;Times;serif" w:hAnsi="Times New Roman;Times;serif"/>
          <w:sz w:val="18"/>
        </w:rPr>
        <w:t xml:space="preserve"> </w:t>
      </w:r>
      <w:r>
        <w:rPr>
          <w:rFonts w:ascii="Times New Roman;Times;serif" w:hAnsi="Times New Roman;Times;serif"/>
          <w:b/>
          <w:sz w:val="18"/>
        </w:rPr>
        <w:t>its</w:t>
      </w:r>
      <w:r>
        <w:rPr>
          <w:rFonts w:ascii="Times New Roman;Times;serif" w:hAnsi="Times New Roman;Times;serif"/>
          <w:sz w:val="18"/>
        </w:rPr>
        <w:t xml:space="preserve"> </w:t>
      </w:r>
      <w:r>
        <w:rPr>
          <w:rFonts w:ascii="Times New Roman;Times;serif" w:hAnsi="Times New Roman;Times;serif"/>
          <w:b/>
          <w:sz w:val="18"/>
        </w:rPr>
        <w:t>Charter</w:t>
      </w:r>
      <w:r>
        <w:rPr>
          <w:rFonts w:ascii="Times New Roman;Times;serif" w:hAnsi="Times New Roman;Times;serif"/>
          <w:sz w:val="18"/>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4" w:name="Tc_YEIAUe6rh0q0CJDYvl4AbA_4_1"/>
      <w:bookmarkStart w:id="5" w:name="Tc_pW-vBs3PDk6E2rxN1054Sg_4_0"/>
      <w:bookmarkStart w:id="6" w:name="Tc_Qm1Czj6800qOUEnr9GO4UA_3_0"/>
      <w:bookmarkStart w:id="7" w:name="Tc_kl3n6DVEtUmxnX9Ts82v3g_2_1"/>
      <w:bookmarkStart w:id="8" w:name="Tc_kZi1hkPOYE26Sug0AKD5KA_2_0"/>
      <w:bookmarkStart w:id="9" w:name="Tc_Atb3I-nC9E-1x6Ind0-2sA_1_1"/>
      <w:bookmarkStart w:id="10" w:name="Tc_xjlcjzySJEeLzCPmCCZ0VQ_1_0"/>
      <w:bookmarkStart w:id="11" w:name="_cd696671_a83b_4c02_a848_2841a3a828f6"/>
      <w:bookmarkStart w:id="12" w:name="Tc_YEIAUe6rh0q0CJDYvl4AbA_4_1"/>
      <w:bookmarkStart w:id="13" w:name="Tc_pW-vBs3PDk6E2rxN1054Sg_4_0"/>
      <w:bookmarkStart w:id="14" w:name="Tc_Qm1Czj6800qOUEnr9GO4UA_3_0"/>
      <w:bookmarkStart w:id="15" w:name="Tc_kl3n6DVEtUmxnX9Ts82v3g_2_1"/>
      <w:bookmarkStart w:id="16" w:name="Tc_kZi1hkPOYE26Sug0AKD5KA_2_0"/>
      <w:bookmarkStart w:id="17" w:name="Tc_Atb3I-nC9E-1x6Ind0-2sA_1_1"/>
      <w:bookmarkStart w:id="18" w:name="Tc_xjlcjzySJEeLzCPmCCZ0VQ_1_0"/>
      <w:bookmarkStart w:id="19" w:name="_cd696671_a83b_4c02_a848_2841a3a828f6"/>
      <w:bookmarkEnd w:id="12"/>
      <w:bookmarkEnd w:id="13"/>
      <w:bookmarkEnd w:id="14"/>
      <w:bookmarkEnd w:id="15"/>
      <w:bookmarkEnd w:id="16"/>
      <w:bookmarkEnd w:id="17"/>
      <w:bookmarkEnd w:id="18"/>
      <w:bookmarkEnd w:id="19"/>
    </w:p>
    <w:tbl>
      <w:tblPr>
        <w:tblW w:w="4637" w:type="dxa"/>
        <w:jc w:val="left"/>
        <w:tblInd w:w="0" w:type="dxa"/>
        <w:tblCellMar>
          <w:top w:w="0" w:type="dxa"/>
          <w:left w:w="0" w:type="dxa"/>
          <w:bottom w:w="0" w:type="dxa"/>
          <w:right w:w="0" w:type="dxa"/>
        </w:tblCellMar>
      </w:tblPr>
      <w:tblGrid>
        <w:gridCol w:w="3076"/>
        <w:gridCol w:w="1561"/>
      </w:tblGrid>
      <w:tr>
        <w:trPr/>
        <w:tc>
          <w:tcPr>
            <w:tcW w:w="3076"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283"/>
              <w:ind w:left="0" w:right="0" w:hanging="0"/>
              <w:rPr>
                <w:sz w:val="4"/>
                <w:szCs w:val="4"/>
              </w:rPr>
            </w:pPr>
            <w:r>
              <w:rPr>
                <w:sz w:val="4"/>
                <w:szCs w:val="4"/>
              </w:rPr>
            </w:r>
          </w:p>
        </w:tc>
      </w:tr>
      <w:tr>
        <w:trPr/>
        <w:tc>
          <w:tcPr>
            <w:tcW w:w="307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b/>
                <w:sz w:val="18"/>
              </w:rPr>
              <w:t>England</w:t>
            </w:r>
            <w:r>
              <w:rPr>
                <w:rFonts w:ascii="Times New Roman;Times;serif" w:hAnsi="Times New Roman;Times;serif"/>
                <w:sz w:val="18"/>
              </w:rPr>
              <w:t xml:space="preserve"> </w:t>
            </w:r>
            <w:r>
              <w:rPr>
                <w:rFonts w:ascii="Times New Roman;Times;serif" w:hAnsi="Times New Roman;Times;serif"/>
                <w:b/>
                <w:sz w:val="18"/>
              </w:rPr>
              <w:t>and</w:t>
            </w:r>
            <w:r>
              <w:rPr>
                <w:rFonts w:ascii="Times New Roman;Times;serif" w:hAnsi="Times New Roman;Times;serif"/>
                <w:sz w:val="18"/>
              </w:rPr>
              <w:t xml:space="preserve"> </w:t>
            </w:r>
            <w:r>
              <w:rPr>
                <w:rFonts w:ascii="Times New Roman;Times;serif" w:hAnsi="Times New Roman;Times;serif"/>
                <w:b/>
                <w:sz w:val="18"/>
              </w:rPr>
              <w:t>Wales</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b/>
                <w:sz w:val="18"/>
              </w:rPr>
              <w:t>Not</w:t>
            </w:r>
            <w:r>
              <w:rPr>
                <w:rFonts w:ascii="Times New Roman;Times;serif" w:hAnsi="Times New Roman;Times;serif"/>
                <w:sz w:val="18"/>
              </w:rPr>
              <w:t xml:space="preserve"> </w:t>
            </w:r>
            <w:r>
              <w:rPr>
                <w:rFonts w:ascii="Times New Roman;Times;serif" w:hAnsi="Times New Roman;Times;serif"/>
                <w:b/>
                <w:sz w:val="18"/>
              </w:rPr>
              <w:t>Applicable</w:t>
            </w:r>
          </w:p>
        </w:tc>
      </w:tr>
      <w:tr>
        <w:trPr/>
        <w:tc>
          <w:tcPr>
            <w:tcW w:w="307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State</w:t>
            </w:r>
            <w:r>
              <w:rPr>
                <w:rFonts w:ascii="Times New Roman;Times;serif" w:hAnsi="Times New Roman;Times;serif"/>
                <w:sz w:val="18"/>
              </w:rPr>
              <w:t xml:space="preserve"> </w:t>
            </w:r>
            <w:r>
              <w:rPr>
                <w:rFonts w:ascii="Times New Roman;Times;serif" w:hAnsi="Times New Roman;Times;serif"/>
                <w:b/>
                <w:sz w:val="18"/>
              </w:rPr>
              <w:t>or</w:t>
            </w:r>
            <w:r>
              <w:rPr>
                <w:rFonts w:ascii="Times New Roman;Times;serif" w:hAnsi="Times New Roman;Times;serif"/>
                <w:sz w:val="18"/>
              </w:rPr>
              <w:t xml:space="preserve"> </w:t>
            </w:r>
            <w:r>
              <w:rPr>
                <w:rFonts w:ascii="Times New Roman;Times;serif" w:hAnsi="Times New Roman;Times;serif"/>
                <w:b/>
                <w:sz w:val="18"/>
              </w:rPr>
              <w:t>other</w:t>
            </w:r>
            <w:r>
              <w:rPr>
                <w:rFonts w:ascii="Times New Roman;Times;serif" w:hAnsi="Times New Roman;Times;serif"/>
                <w:sz w:val="18"/>
              </w:rPr>
              <w:t xml:space="preserve"> </w:t>
            </w:r>
            <w:r>
              <w:rPr>
                <w:rFonts w:ascii="Times New Roman;Times;serif" w:hAnsi="Times New Roman;Times;serif"/>
                <w:b/>
                <w:sz w:val="18"/>
              </w:rPr>
              <w:t>jurisdiction</w:t>
            </w:r>
            <w:r>
              <w:rPr>
                <w:rFonts w:ascii="Times New Roman;Times;serif" w:hAnsi="Times New Roman;Times;serif"/>
                <w:sz w:val="18"/>
              </w:rPr>
              <w:t xml:space="preserve"> </w:t>
            </w:r>
            <w:r>
              <w:rPr>
                <w:rFonts w:ascii="Times New Roman;Times;serif" w:hAnsi="Times New Roman;Times;serif"/>
                <w:b/>
                <w:sz w:val="18"/>
              </w:rPr>
              <w:t>of</w:t>
              <w:br/>
              <w:t>incorporation</w:t>
            </w:r>
            <w:r>
              <w:rPr>
                <w:rFonts w:ascii="Times New Roman;Times;serif" w:hAnsi="Times New Roman;Times;serif"/>
                <w:sz w:val="18"/>
              </w:rPr>
              <w:t xml:space="preserve"> </w:t>
            </w:r>
            <w:r>
              <w:rPr>
                <w:rFonts w:ascii="Times New Roman;Times;serif" w:hAnsi="Times New Roman;Times;serif"/>
                <w:b/>
                <w:sz w:val="18"/>
              </w:rPr>
              <w:t>or</w:t>
            </w:r>
            <w:r>
              <w:rPr>
                <w:rFonts w:ascii="Times New Roman;Times;serif" w:hAnsi="Times New Roman;Times;serif"/>
                <w:sz w:val="18"/>
              </w:rPr>
              <w:t xml:space="preserve"> </w:t>
            </w:r>
            <w:r>
              <w:rPr>
                <w:rFonts w:ascii="Times New Roman;Times;serif" w:hAnsi="Times New Roman;Times;serif"/>
                <w:b/>
                <w:sz w:val="18"/>
              </w:rPr>
              <w:t>organization</w:t>
            </w:r>
            <w:r>
              <w:rPr>
                <w:rFonts w:ascii="Times New Roman;Times;serif" w:hAnsi="Times New Roman;Times;serif"/>
                <w:sz w:val="18"/>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I</w:t>
            </w:r>
            <w:r>
              <w:rPr>
                <w:rFonts w:ascii="Times New Roman;Times;serif" w:hAnsi="Times New Roman;Times;serif"/>
                <w:sz w:val="18"/>
              </w:rPr>
              <w:t>.</w:t>
            </w:r>
            <w:r>
              <w:rPr>
                <w:rFonts w:ascii="Times New Roman;Times;serif" w:hAnsi="Times New Roman;Times;serif"/>
                <w:b/>
                <w:sz w:val="18"/>
              </w:rPr>
              <w:t>R</w:t>
            </w:r>
            <w:r>
              <w:rPr>
                <w:rFonts w:ascii="Times New Roman;Times;serif" w:hAnsi="Times New Roman;Times;serif"/>
                <w:sz w:val="18"/>
              </w:rPr>
              <w:t>.</w:t>
            </w:r>
            <w:r>
              <w:rPr>
                <w:rFonts w:ascii="Times New Roman;Times;serif" w:hAnsi="Times New Roman;Times;serif"/>
                <w:b/>
                <w:sz w:val="18"/>
              </w:rPr>
              <w:t>S</w:t>
            </w:r>
            <w:r>
              <w:rPr>
                <w:rFonts w:ascii="Times New Roman;Times;serif" w:hAnsi="Times New Roman;Times;serif"/>
                <w:sz w:val="18"/>
              </w:rPr>
              <w:t xml:space="preserve">. </w:t>
            </w:r>
            <w:r>
              <w:rPr>
                <w:rFonts w:ascii="Times New Roman;Times;serif" w:hAnsi="Times New Roman;Times;serif"/>
                <w:b/>
                <w:sz w:val="18"/>
              </w:rPr>
              <w:t>Employer</w:t>
              <w:br/>
              <w:t>Identification</w:t>
            </w:r>
            <w:r>
              <w:rPr>
                <w:rFonts w:ascii="Times New Roman;Times;serif" w:hAnsi="Times New Roman;Times;serif"/>
                <w:sz w:val="18"/>
              </w:rPr>
              <w:t xml:space="preserve"> </w:t>
            </w:r>
            <w:r>
              <w:rPr>
                <w:rFonts w:ascii="Times New Roman;Times;serif" w:hAnsi="Times New Roman;Times;serif"/>
                <w:b/>
                <w:sz w:val="18"/>
              </w:rPr>
              <w:t>No</w:t>
            </w:r>
            <w:r>
              <w:rPr>
                <w:rFonts w:ascii="Times New Roman;Times;serif" w:hAnsi="Times New Roman;Times;serif"/>
                <w:sz w:val="18"/>
              </w:rPr>
              <w:t>.)</w:t>
            </w:r>
          </w:p>
        </w:tc>
      </w:tr>
      <w:tr>
        <w:trPr/>
        <w:tc>
          <w:tcPr>
            <w:tcW w:w="307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The Schrodinger Building</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Heatley Road</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The Oxford Science Park</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Oxford, United Kingdom</w:t>
            </w:r>
            <w:r>
              <w:rPr>
                <w:rFonts w:ascii="Times New Roman;Times;serif" w:hAnsi="Times New Roman;Times;serif"/>
                <w:sz w:val="20"/>
              </w:rPr>
              <w:t xml:space="preserve"> </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OX4 4GE</w:t>
            </w:r>
          </w:p>
        </w:tc>
      </w:tr>
      <w:tr>
        <w:trPr/>
        <w:tc>
          <w:tcPr>
            <w:tcW w:w="307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Address</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18"/>
              </w:rPr>
              <w:t xml:space="preserve"> </w:t>
            </w:r>
            <w:r>
              <w:rPr>
                <w:rFonts w:ascii="Times New Roman;Times;serif" w:hAnsi="Times New Roman;Times;serif"/>
                <w:b/>
                <w:sz w:val="18"/>
              </w:rPr>
              <w:t>principal</w:t>
            </w:r>
            <w:r>
              <w:rPr>
                <w:rFonts w:ascii="Times New Roman;Times;serif" w:hAnsi="Times New Roman;Times;serif"/>
                <w:sz w:val="18"/>
              </w:rPr>
              <w:t xml:space="preserve"> </w:t>
            </w:r>
            <w:r>
              <w:rPr>
                <w:rFonts w:ascii="Times New Roman;Times;serif" w:hAnsi="Times New Roman;Times;serif"/>
                <w:b/>
                <w:sz w:val="18"/>
              </w:rPr>
              <w:t>executive</w:t>
            </w:r>
            <w:r>
              <w:rPr>
                <w:rFonts w:ascii="Times New Roman;Times;serif" w:hAnsi="Times New Roman;Times;serif"/>
                <w:sz w:val="18"/>
              </w:rPr>
              <w:t xml:space="preserve"> </w:t>
            </w:r>
            <w:r>
              <w:rPr>
                <w:rFonts w:ascii="Times New Roman;Times;serif" w:hAnsi="Times New Roman;Times;serif"/>
                <w:b/>
                <w:sz w:val="18"/>
              </w:rPr>
              <w:t>offices</w:t>
            </w:r>
            <w:r>
              <w:rPr>
                <w:rFonts w:ascii="Times New Roman;Times;serif" w:hAnsi="Times New Roman;Times;serif"/>
                <w:sz w:val="18"/>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Zip</w:t>
            </w:r>
            <w:r>
              <w:rPr>
                <w:rFonts w:ascii="Times New Roman;Times;serif" w:hAnsi="Times New Roman;Times;serif"/>
                <w:sz w:val="18"/>
              </w:rPr>
              <w:t xml:space="preserve"> </w:t>
            </w:r>
            <w:r>
              <w:rPr>
                <w:rFonts w:ascii="Times New Roman;Times;serif" w:hAnsi="Times New Roman;Times;serif"/>
                <w:b/>
                <w:sz w:val="18"/>
              </w:rPr>
              <w:t>Code</w:t>
            </w:r>
            <w:r>
              <w:rPr>
                <w:rFonts w:ascii="Times New Roman;Times;serif" w:hAnsi="Times New Roman;Times;serif"/>
                <w:sz w:val="18"/>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Registrant</w:t>
      </w:r>
      <w:r>
        <w:rPr>
          <w:rFonts w:ascii="Times New Roman;Times;serif" w:hAnsi="Times New Roman;Times;serif"/>
          <w:sz w:val="20"/>
        </w:rPr>
        <w:t>’</w:t>
      </w:r>
      <w:r>
        <w:rPr>
          <w:rFonts w:ascii="Times New Roman;Times;serif" w:hAnsi="Times New Roman;Times;serif"/>
          <w:b/>
          <w:sz w:val="18"/>
        </w:rPr>
        <w:t>s</w:t>
      </w:r>
      <w:r>
        <w:rPr>
          <w:rFonts w:ascii="Times New Roman;Times;serif" w:hAnsi="Times New Roman;Times;serif"/>
          <w:sz w:val="20"/>
        </w:rPr>
        <w:t xml:space="preserve"> </w:t>
      </w:r>
      <w:r>
        <w:rPr>
          <w:rFonts w:ascii="Times New Roman;Times;serif" w:hAnsi="Times New Roman;Times;serif"/>
          <w:b/>
          <w:sz w:val="18"/>
        </w:rPr>
        <w:t>telephone</w:t>
      </w:r>
      <w:r>
        <w:rPr>
          <w:rFonts w:ascii="Times New Roman;Times;serif" w:hAnsi="Times New Roman;Times;serif"/>
          <w:sz w:val="20"/>
        </w:rPr>
        <w:t xml:space="preserve"> </w:t>
      </w:r>
      <w:r>
        <w:rPr>
          <w:rFonts w:ascii="Times New Roman;Times;serif" w:hAnsi="Times New Roman;Times;serif"/>
          <w:b/>
          <w:sz w:val="18"/>
        </w:rPr>
        <w:t>number</w:t>
      </w:r>
      <w:r>
        <w:rPr>
          <w:rFonts w:ascii="Times New Roman;Times;serif" w:hAnsi="Times New Roman;Times;serif"/>
          <w:sz w:val="18"/>
        </w:rPr>
        <w:t xml:space="preserve">, </w:t>
      </w:r>
      <w:r>
        <w:rPr>
          <w:rFonts w:ascii="Times New Roman;Times;serif" w:hAnsi="Times New Roman;Times;serif"/>
          <w:b/>
          <w:sz w:val="18"/>
        </w:rPr>
        <w:t>including</w:t>
      </w:r>
      <w:r>
        <w:rPr>
          <w:rFonts w:ascii="Times New Roman;Times;serif" w:hAnsi="Times New Roman;Times;serif"/>
          <w:sz w:val="20"/>
        </w:rPr>
        <w:t xml:space="preserve"> </w:t>
      </w:r>
      <w:r>
        <w:rPr>
          <w:rFonts w:ascii="Times New Roman;Times;serif" w:hAnsi="Times New Roman;Times;serif"/>
          <w:b/>
          <w:sz w:val="18"/>
        </w:rPr>
        <w:t>area</w:t>
      </w:r>
      <w:r>
        <w:rPr>
          <w:rFonts w:ascii="Times New Roman;Times;serif" w:hAnsi="Times New Roman;Times;serif"/>
          <w:sz w:val="20"/>
        </w:rPr>
        <w:t xml:space="preserve"> </w:t>
      </w:r>
      <w:r>
        <w:rPr>
          <w:rFonts w:ascii="Times New Roman;Times;serif" w:hAnsi="Times New Roman;Times;serif"/>
          <w:b/>
          <w:sz w:val="18"/>
        </w:rPr>
        <w:t>code</w:t>
      </w:r>
      <w:r>
        <w:rPr>
          <w:rFonts w:ascii="Times New Roman;Times;serif" w:hAnsi="Times New Roman;Times;serif"/>
          <w:sz w:val="18"/>
        </w:rPr>
        <w:t xml:space="preserve">: </w:t>
      </w:r>
      <w:r>
        <w:rPr>
          <w:rFonts w:ascii="Times New Roman;Times;serif" w:hAnsi="Times New Roman;Times;serif"/>
          <w:b/>
          <w:sz w:val="18"/>
        </w:rPr>
        <w:t>+44</w:t>
      </w:r>
      <w:r>
        <w:rPr>
          <w:rFonts w:ascii="Times New Roman;Times;serif" w:hAnsi="Times New Roman;Times;serif"/>
          <w:sz w:val="20"/>
        </w:rPr>
        <w:t xml:space="preserve"> </w:t>
      </w:r>
      <w:r>
        <w:rPr>
          <w:rFonts w:ascii="Times New Roman;Times;serif" w:hAnsi="Times New Roman;Times;serif"/>
          <w:b/>
          <w:sz w:val="18"/>
        </w:rPr>
        <w:t>(0)</w:t>
      </w:r>
      <w:r>
        <w:rPr>
          <w:rFonts w:ascii="Times New Roman;Times;serif" w:hAnsi="Times New Roman;Times;serif"/>
          <w:sz w:val="20"/>
        </w:rPr>
        <w:t xml:space="preserve"> </w:t>
      </w:r>
      <w:r>
        <w:rPr>
          <w:rFonts w:ascii="Times New Roman;Times;serif" w:hAnsi="Times New Roman;Times;serif"/>
          <w:b/>
          <w:sz w:val="18"/>
        </w:rPr>
        <w:t>1865 818 808</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b/>
          <w:sz w:val="18"/>
        </w:rPr>
        <w:t>Securities</w:t>
      </w:r>
      <w:r>
        <w:rPr>
          <w:rFonts w:ascii="Times New Roman;Times;serif" w:hAnsi="Times New Roman;Times;serif"/>
          <w:sz w:val="18"/>
        </w:rPr>
        <w:t xml:space="preserve"> </w:t>
      </w:r>
      <w:r>
        <w:rPr>
          <w:rFonts w:ascii="Times New Roman;Times;serif" w:hAnsi="Times New Roman;Times;serif"/>
          <w:b/>
          <w:sz w:val="18"/>
        </w:rPr>
        <w:t>registered</w:t>
      </w:r>
      <w:r>
        <w:rPr>
          <w:rFonts w:ascii="Times New Roman;Times;serif" w:hAnsi="Times New Roman;Times;serif"/>
          <w:sz w:val="18"/>
        </w:rPr>
        <w:t xml:space="preserve"> </w:t>
      </w:r>
      <w:r>
        <w:rPr>
          <w:rFonts w:ascii="Times New Roman;Times;serif" w:hAnsi="Times New Roman;Times;serif"/>
          <w:b/>
          <w:sz w:val="18"/>
        </w:rPr>
        <w:t>pursuant</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xml:space="preserve"> </w:t>
      </w:r>
      <w:r>
        <w:rPr>
          <w:rFonts w:ascii="Times New Roman;Times;serif" w:hAnsi="Times New Roman;Times;serif"/>
          <w:b/>
          <w:sz w:val="18"/>
        </w:rPr>
        <w:t>Section</w:t>
      </w:r>
      <w:r>
        <w:rPr>
          <w:rFonts w:ascii="Times New Roman;Times;serif" w:hAnsi="Times New Roman;Times;serif"/>
          <w:sz w:val="18"/>
        </w:rPr>
        <w:t xml:space="preserve"> </w:t>
      </w:r>
      <w:r>
        <w:rPr>
          <w:rFonts w:ascii="Times New Roman;Times;serif" w:hAnsi="Times New Roman;Times;serif"/>
          <w:b/>
          <w:sz w:val="18"/>
        </w:rPr>
        <w:t>12</w:t>
      </w:r>
      <w:r>
        <w:rPr>
          <w:rFonts w:ascii="Times New Roman;Times;serif" w:hAnsi="Times New Roman;Times;serif"/>
          <w:sz w:val="18"/>
        </w:rPr>
        <w:t>(</w:t>
      </w:r>
      <w:r>
        <w:rPr>
          <w:rFonts w:ascii="Times New Roman;Times;serif" w:hAnsi="Times New Roman;Times;serif"/>
          <w:b/>
          <w:sz w:val="18"/>
        </w:rPr>
        <w:t>b</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18"/>
        </w:rPr>
        <w:t xml:space="preserve"> </w:t>
      </w:r>
      <w:r>
        <w:rPr>
          <w:rFonts w:ascii="Times New Roman;Times;serif" w:hAnsi="Times New Roman;Times;serif"/>
          <w:b/>
          <w:sz w:val="18"/>
        </w:rPr>
        <w:t>the</w:t>
      </w:r>
      <w:r>
        <w:rPr>
          <w:rFonts w:ascii="Times New Roman;Times;serif" w:hAnsi="Times New Roman;Times;serif"/>
          <w:sz w:val="18"/>
        </w:rPr>
        <w:t xml:space="preserve"> </w:t>
      </w:r>
      <w:r>
        <w:rPr>
          <w:rFonts w:ascii="Times New Roman;Times;serif" w:hAnsi="Times New Roman;Times;serif"/>
          <w:b/>
          <w:sz w:val="18"/>
        </w:rPr>
        <w:t>Act</w:t>
      </w:r>
      <w:r>
        <w:rPr>
          <w:rFonts w:ascii="Times New Roman;Times;serif" w:hAnsi="Times New Roman;Times;serif"/>
          <w:sz w:val="18"/>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0" w:name="Tc_H33Noq0yUUaHXvJuKmdndA_3_0"/>
      <w:bookmarkStart w:id="21" w:name="Tc__uG8Vphe2EyUYnl5NJs9hg_2_2"/>
      <w:bookmarkStart w:id="22" w:name="Tc_M37QxvZHEEufUGItYbvB1g_2_0"/>
      <w:bookmarkStart w:id="23" w:name="Tc_sMoadeKNGUu8OjtqjHpyBA_1_2"/>
      <w:bookmarkStart w:id="24" w:name="Tc_i7gc0eJ2akS14V9c93VUAg_1_1"/>
      <w:bookmarkStart w:id="25" w:name="Tc_pf2s8l86BkySSnhvuABH7A_1_0"/>
      <w:bookmarkStart w:id="26" w:name="_5ce94054_46df_4e7e_8864_112221010551"/>
      <w:bookmarkStart w:id="27" w:name="Tc_H33Noq0yUUaHXvJuKmdndA_3_0"/>
      <w:bookmarkStart w:id="28" w:name="Tc__uG8Vphe2EyUYnl5NJs9hg_2_2"/>
      <w:bookmarkStart w:id="29" w:name="Tc_M37QxvZHEEufUGItYbvB1g_2_0"/>
      <w:bookmarkStart w:id="30" w:name="Tc_sMoadeKNGUu8OjtqjHpyBA_1_2"/>
      <w:bookmarkStart w:id="31" w:name="Tc_i7gc0eJ2akS14V9c93VUAg_1_1"/>
      <w:bookmarkStart w:id="32" w:name="Tc_pf2s8l86BkySSnhvuABH7A_1_0"/>
      <w:bookmarkStart w:id="33" w:name="_5ce94054_46df_4e7e_8864_112221010551"/>
      <w:bookmarkEnd w:id="27"/>
      <w:bookmarkEnd w:id="28"/>
      <w:bookmarkEnd w:id="29"/>
      <w:bookmarkEnd w:id="30"/>
      <w:bookmarkEnd w:id="31"/>
      <w:bookmarkEnd w:id="32"/>
      <w:bookmarkEnd w:id="33"/>
    </w:p>
    <w:tbl>
      <w:tblPr>
        <w:tblW w:w="8748" w:type="dxa"/>
        <w:jc w:val="left"/>
        <w:tblInd w:w="0" w:type="dxa"/>
        <w:tblCellMar>
          <w:top w:w="0" w:type="dxa"/>
          <w:left w:w="0" w:type="dxa"/>
          <w:bottom w:w="0" w:type="dxa"/>
          <w:right w:w="0" w:type="dxa"/>
        </w:tblCellMar>
      </w:tblPr>
      <w:tblGrid>
        <w:gridCol w:w="4021"/>
        <w:gridCol w:w="1456"/>
        <w:gridCol w:w="3271"/>
      </w:tblGrid>
      <w:tr>
        <w:trPr/>
        <w:tc>
          <w:tcPr>
            <w:tcW w:w="4021" w:type="dxa"/>
            <w:tcBorders/>
            <w:shd w:fill="auto" w:val="clear"/>
            <w:vAlign w:val="center"/>
          </w:tcPr>
          <w:p>
            <w:pPr>
              <w:pStyle w:val="TableContents"/>
              <w:spacing w:before="0" w:after="283"/>
              <w:ind w:left="0" w:right="0" w:hanging="0"/>
              <w:rPr>
                <w:sz w:val="4"/>
                <w:szCs w:val="4"/>
              </w:rPr>
            </w:pPr>
            <w:r>
              <w:rPr>
                <w:sz w:val="4"/>
                <w:szCs w:val="4"/>
              </w:rPr>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3271" w:type="dxa"/>
            <w:tcBorders/>
            <w:shd w:fill="auto" w:val="clear"/>
            <w:vAlign w:val="center"/>
          </w:tcPr>
          <w:p>
            <w:pPr>
              <w:pStyle w:val="TableContents"/>
              <w:spacing w:before="0" w:after="283"/>
              <w:ind w:left="0" w:right="0" w:hanging="0"/>
              <w:rPr>
                <w:sz w:val="4"/>
                <w:szCs w:val="4"/>
              </w:rPr>
            </w:pPr>
            <w:r>
              <w:rPr>
                <w:sz w:val="4"/>
                <w:szCs w:val="4"/>
              </w:rPr>
            </w:r>
          </w:p>
        </w:tc>
      </w:tr>
      <w:tr>
        <w:trPr/>
        <w:tc>
          <w:tcPr>
            <w:tcW w:w="40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40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American Depositary Shares*</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VACC</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Global Market</w:t>
            </w:r>
          </w:p>
        </w:tc>
      </w:tr>
      <w:tr>
        <w:trPr/>
        <w:tc>
          <w:tcPr>
            <w:tcW w:w="40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Ordinary shares, nominal value £0.000025</w:t>
            </w:r>
            <w:r>
              <w:rPr>
                <w:rFonts w:ascii="Times New Roman;Times;serif" w:hAnsi="Times New Roman;Times;serif"/>
                <w:sz w:val="20"/>
              </w:rPr>
              <w:t xml:space="preserve"> </w:t>
            </w:r>
            <w:r>
              <w:rPr>
                <w:rFonts w:ascii="Times New Roman;Times;serif" w:hAnsi="Times New Roman;Times;serif"/>
                <w:sz w:val="18"/>
              </w:rPr>
              <w:t>per share**</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pPr>
            <w:r>
              <w:rPr/>
              <w:t>​</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100"/>
        <w:ind w:left="0" w:right="0" w:hanging="0"/>
        <w:rPr>
          <w:rFonts w:ascii="Times New Roman;Times;serif" w:hAnsi="Times New Roman;Times;serif"/>
          <w:sz w:val="18"/>
        </w:rPr>
      </w:pPr>
      <w:r>
        <w:rPr>
          <w:rFonts w:ascii="Times New Roman;Times;serif" w:hAnsi="Times New Roman;Times;serif"/>
          <w:sz w:val="18"/>
        </w:rPr>
        <w:t xml:space="preserve">*American Depositary Shares may be evidenced by American Depositary Receipts. Each American Depositary Share represents one (1) ordinary share. </w:t>
      </w:r>
    </w:p>
    <w:p>
      <w:pPr>
        <w:pStyle w:val="TextBody"/>
        <w:spacing w:before="0" w:after="100"/>
        <w:ind w:left="0" w:right="0" w:hanging="0"/>
        <w:rPr>
          <w:rFonts w:ascii="Times New Roman;Times;serif" w:hAnsi="Times New Roman;Times;serif"/>
          <w:sz w:val="18"/>
        </w:rPr>
      </w:pPr>
      <w:r>
        <w:rPr>
          <w:rFonts w:ascii="Times New Roman;Times;serif" w:hAnsi="Times New Roman;Times;serif"/>
          <w:sz w:val="18"/>
        </w:rPr>
        <w:t xml:space="preserve">**Not for trading, but only in connection with the listing of American Depositary Shares on The Nasdaq Global Market. </w:t>
      </w:r>
    </w:p>
    <w:p>
      <w:pPr>
        <w:pStyle w:val="TextBody"/>
        <w:spacing w:before="0" w:after="100"/>
        <w:ind w:left="0" w:right="0" w:hanging="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spacing w:before="0" w:after="100"/>
        <w:ind w:left="0" w:right="0" w:hanging="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100"/>
        <w:ind w:left="0" w:right="0" w:hanging="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187" w:type="dxa"/>
        <w:jc w:val="left"/>
        <w:tblInd w:w="0" w:type="dxa"/>
        <w:tblCellMar>
          <w:top w:w="0" w:type="dxa"/>
          <w:left w:w="0" w:type="dxa"/>
          <w:bottom w:w="0" w:type="dxa"/>
          <w:right w:w="0" w:type="dxa"/>
        </w:tblCellMar>
      </w:tblPr>
      <w:tblGrid>
        <w:gridCol w:w="1876"/>
        <w:gridCol w:w="2311"/>
      </w:tblGrid>
      <w:tr>
        <w:trPr/>
        <w:tc>
          <w:tcPr>
            <w:tcW w:w="187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 ☐</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100"/>
        <w:ind w:left="0" w:right="0" w:hanging="0"/>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100"/>
        <w:ind w:left="0" w:right="0" w:hanging="0"/>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As of August 12, 2021, the registrant had 34,328,231 ordinary shares, nominal value £0.000025 per share, outstanding.</w:t>
      </w:r>
    </w:p>
    <w:p>
      <w:pPr>
        <w:pStyle w:val="TextBody"/>
        <w:spacing w:before="0" w:after="0"/>
        <w:ind w:left="0" w:right="0" w:hanging="0"/>
        <w:rPr/>
      </w:pPr>
      <w:r>
        <w:rPr/>
        <w:t>​</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4" w:name="TOC"/>
      <w:bookmarkStart w:id="35" w:name="TableofContents_120091"/>
      <w:bookmarkStart w:id="36" w:name="_2ec56a20_1bef_42da_869f_6dcc4a4f3709"/>
      <w:bookmarkEnd w:id="34"/>
      <w:bookmarkEnd w:id="35"/>
      <w:bookmarkEnd w:id="36"/>
      <w:r>
        <w:rPr>
          <w:rFonts w:ascii="Times New Roman;Times;serif" w:hAnsi="Times New Roman;Times;serif"/>
          <w:b/>
          <w:sz w:val="20"/>
        </w:rPr>
        <w:t>Table of Contents</w:t>
      </w:r>
    </w:p>
    <w:p>
      <w:pPr>
        <w:pStyle w:val="TextBody"/>
        <w:spacing w:before="0" w:after="0"/>
        <w:ind w:left="0" w:right="0" w:hanging="0"/>
        <w:rPr/>
      </w:pPr>
      <w:r>
        <w:rPr/>
        <w:t>​</w:t>
      </w:r>
    </w:p>
    <w:tbl>
      <w:tblPr>
        <w:tblW w:w="8703" w:type="dxa"/>
        <w:jc w:val="left"/>
        <w:tblInd w:w="0" w:type="dxa"/>
        <w:tblCellMar>
          <w:top w:w="0" w:type="dxa"/>
          <w:left w:w="0" w:type="dxa"/>
          <w:bottom w:w="0" w:type="dxa"/>
          <w:right w:w="0" w:type="dxa"/>
        </w:tblCellMar>
      </w:tblPr>
      <w:tblGrid>
        <w:gridCol w:w="766"/>
        <w:gridCol w:w="7366"/>
        <w:gridCol w:w="571"/>
      </w:tblGrid>
      <w:tr>
        <w:trPr/>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6410" cy="175260"/>
                      <wp:effectExtent l="0" t="0" r="0" b="0"/>
                      <wp:wrapNone/>
                      <wp:docPr id="1" name="Frame1"/>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3" name="Frame3"/>
                      <a:graphic xmlns:a="http://schemas.openxmlformats.org/drawingml/2006/main">
                        <a:graphicData uri="http://schemas.microsoft.com/office/word/2010/wordprocessingShape">
                          <wps:wsp>
                            <wps:cNvSpPr txBox="1"/>
                            <wps:spPr>
                              <a:xfrm>
                                <a:off x="0" y="0"/>
                                <a:ext cx="3625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66" w:type="dxa"/>
            <w:tcBorders/>
            <w:shd w:fill="auto" w:val="clear"/>
            <w:vAlign w:val="center"/>
          </w:tcPr>
          <w:p>
            <w:pPr>
              <w:pStyle w:val="TableContents"/>
              <w:spacing w:before="0" w:after="0"/>
              <w:ind w:left="0" w:right="0" w:hanging="0"/>
              <w:rPr/>
            </w:pPr>
            <w:r>
              <w:rPr/>
              <w:t>​</w:t>
            </w:r>
          </w:p>
        </w:tc>
        <w:tc>
          <w:tcPr>
            <w:tcW w:w="736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32" w:type="dxa"/>
            <w:gridSpan w:val="2"/>
            <w:tcBorders/>
            <w:shd w:fill="auto" w:val="clear"/>
            <w:vAlign w:val="center"/>
          </w:tcPr>
          <w:p>
            <w:pPr>
              <w:pStyle w:val="TableContents"/>
              <w:spacing w:before="0" w:after="0"/>
              <w:ind w:left="0" w:right="0" w:hanging="0"/>
              <w:jc w:val="left"/>
              <w:rPr/>
            </w:pPr>
            <w:hyperlink w:anchor="PARTI_654583">
              <w:r>
                <w:rPr>
                  <w:rStyle w:val="InternetLink"/>
                  <w:rFonts w:ascii="Times New Roman;Times;serif" w:hAnsi="Times New Roman;Times;serif"/>
                  <w:b/>
                  <w:i w:val="false"/>
                  <w:caps w:val="false"/>
                  <w:smallCaps w:val="false"/>
                  <w:sz w:val="20"/>
                </w:rPr>
                <w:t>PART I - FINANCIAL INFORMATION</w:t>
              </w:r>
            </w:hyperlink>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766" w:type="dxa"/>
            <w:tcBorders/>
            <w:shd w:fill="auto" w:val="clear"/>
            <w:vAlign w:val="center"/>
          </w:tcPr>
          <w:p>
            <w:pPr>
              <w:pStyle w:val="TableContents"/>
              <w:spacing w:before="0" w:after="0"/>
              <w:ind w:left="0" w:right="0" w:hanging="0"/>
              <w:jc w:val="left"/>
              <w:rPr/>
            </w:pPr>
            <w:hyperlink w:anchor="Item1FinancialStatements_153571">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jc w:val="left"/>
              <w:rPr/>
            </w:pPr>
            <w:hyperlink w:anchor="Item1FinancialStatements_153571">
              <w:r>
                <w:rPr>
                  <w:rStyle w:val="InternetLink"/>
                  <w:rFonts w:ascii="Times New Roman;Times;serif" w:hAnsi="Times New Roman;Times;serif"/>
                  <w:b w:val="false"/>
                  <w:i w:val="false"/>
                  <w:caps w:val="false"/>
                  <w:smallCaps w:val="false"/>
                  <w:sz w:val="20"/>
                </w:rPr>
                <w:t>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66" w:type="dxa"/>
            <w:tcBorders/>
            <w:shd w:fill="auto" w:val="clear"/>
            <w:vAlign w:val="center"/>
          </w:tcPr>
          <w:p>
            <w:pPr>
              <w:pStyle w:val="TableContents"/>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66" w:type="dxa"/>
            <w:tcBorders/>
            <w:shd w:fill="auto" w:val="clear"/>
            <w:vAlign w:val="center"/>
          </w:tcPr>
          <w:p>
            <w:pPr>
              <w:pStyle w:val="TableContents"/>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66" w:type="dxa"/>
            <w:tcBorders/>
            <w:shd w:fill="auto" w:val="clear"/>
            <w:vAlign w:val="center"/>
          </w:tcPr>
          <w:p>
            <w:pPr>
              <w:pStyle w:val="TableContents"/>
              <w:spacing w:before="0" w:after="0"/>
              <w:ind w:left="0" w:right="0" w:hanging="0"/>
              <w:jc w:val="left"/>
              <w:rPr/>
            </w:pPr>
            <w:hyperlink w:anchor="Item4ControlsandProcedures_768627">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before="0" w:after="0"/>
              <w:ind w:left="0" w:right="0" w:hanging="0"/>
              <w:jc w:val="left"/>
              <w:rPr/>
            </w:pPr>
            <w:hyperlink w:anchor="Item4ControlsandProcedures_768627">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32" w:type="dxa"/>
            <w:gridSpan w:val="2"/>
            <w:tcBorders/>
            <w:shd w:fill="auto" w:val="clear"/>
            <w:vAlign w:val="center"/>
          </w:tcPr>
          <w:p>
            <w:pPr>
              <w:pStyle w:val="TableContents"/>
              <w:spacing w:before="0" w:after="0"/>
              <w:ind w:left="0" w:right="0" w:hanging="0"/>
              <w:jc w:val="left"/>
              <w:rPr/>
            </w:pPr>
            <w:hyperlink w:anchor="PARTIIOTHERINFORMATION_959754">
              <w:r>
                <w:rPr>
                  <w:rStyle w:val="InternetLink"/>
                  <w:rFonts w:ascii="Times New Roman;Times;serif" w:hAnsi="Times New Roman;Times;serif"/>
                  <w:b/>
                  <w:i w:val="false"/>
                  <w:caps w:val="false"/>
                  <w:smallCaps w:val="false"/>
                  <w:sz w:val="20"/>
                </w:rPr>
                <w:t>PART II - OTHER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766" w:type="dxa"/>
            <w:tcBorders/>
            <w:shd w:fill="auto" w:val="clear"/>
            <w:vAlign w:val="center"/>
          </w:tcPr>
          <w:p>
            <w:pPr>
              <w:pStyle w:val="TableContents"/>
              <w:spacing w:before="0" w:after="0"/>
              <w:ind w:left="0" w:right="0" w:hanging="0"/>
              <w:jc w:val="left"/>
              <w:rPr/>
            </w:pPr>
            <w:hyperlink w:anchor="Item1LegalProceedings_995656">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jc w:val="left"/>
              <w:rPr/>
            </w:pPr>
            <w:hyperlink w:anchor="Item1LegalProceedings_995656">
              <w:r>
                <w:rPr>
                  <w:rStyle w:val="InternetLink"/>
                  <w:rFonts w:ascii="Times New Roman;Times;serif" w:hAnsi="Times New Roman;Times;serif"/>
                  <w:b w:val="false"/>
                  <w:i w:val="false"/>
                  <w:caps w:val="false"/>
                  <w:smallCaps w:val="false"/>
                  <w:sz w:val="20"/>
                </w:rPr>
                <w:t>Legal Proceedings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6" w:type="dxa"/>
            <w:tcBorders/>
            <w:shd w:fill="auto" w:val="clear"/>
            <w:vAlign w:val="center"/>
          </w:tcPr>
          <w:p>
            <w:pPr>
              <w:pStyle w:val="TableContents"/>
              <w:spacing w:before="0" w:after="0"/>
              <w:ind w:left="0" w:right="0" w:hanging="0"/>
              <w:jc w:val="left"/>
              <w:rPr/>
            </w:pPr>
            <w:hyperlink w:anchor="Item1ARiskFactors_790842">
              <w:r>
                <w:rPr>
                  <w:rStyle w:val="InternetLink"/>
                  <w:rFonts w:ascii="Times New Roman;Times;serif" w:hAnsi="Times New Roman;Times;serif"/>
                  <w:b w:val="false"/>
                  <w:i w:val="false"/>
                  <w:caps w:val="false"/>
                  <w:smallCaps w:val="false"/>
                  <w:sz w:val="20"/>
                </w:rPr>
                <w:t>Item 1A</w:t>
              </w:r>
            </w:hyperlink>
          </w:p>
        </w:tc>
        <w:tc>
          <w:tcPr>
            <w:tcW w:w="7366" w:type="dxa"/>
            <w:tcBorders/>
            <w:shd w:fill="auto" w:val="clear"/>
            <w:vAlign w:val="center"/>
          </w:tcPr>
          <w:p>
            <w:pPr>
              <w:pStyle w:val="TableContents"/>
              <w:spacing w:before="0" w:after="0"/>
              <w:ind w:left="0" w:right="0" w:hanging="0"/>
              <w:jc w:val="left"/>
              <w:rPr/>
            </w:pPr>
            <w:hyperlink w:anchor="Item1ARiskFactors_790842">
              <w:r>
                <w:rPr>
                  <w:rStyle w:val="InternetLink"/>
                  <w:rFonts w:ascii="Times New Roman;Times;serif" w:hAnsi="Times New Roman;Times;serif"/>
                  <w:b w:val="false"/>
                  <w:i w:val="false"/>
                  <w:caps w:val="false"/>
                  <w:smallCaps w:val="false"/>
                  <w:sz w:val="20"/>
                </w:rPr>
                <w:t>Risk Factors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6" w:type="dxa"/>
            <w:tcBorders/>
            <w:shd w:fill="auto" w:val="clear"/>
            <w:vAlign w:val="center"/>
          </w:tcPr>
          <w:p>
            <w:pPr>
              <w:pStyle w:val="TableContents"/>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66" w:type="dxa"/>
            <w:tcBorders/>
            <w:shd w:fill="auto" w:val="clear"/>
            <w:vAlign w:val="center"/>
          </w:tcPr>
          <w:p>
            <w:pPr>
              <w:pStyle w:val="TableContents"/>
              <w:spacing w:before="0" w:after="0"/>
              <w:ind w:left="0" w:right="0" w:hanging="0"/>
              <w:jc w:val="left"/>
              <w:rPr/>
            </w:pPr>
            <w:hyperlink w:anchor="Item3DefaultsUponSeniorSecurities_525046">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jc w:val="left"/>
              <w:rPr/>
            </w:pPr>
            <w:hyperlink w:anchor="Item3DefaultsUponSeniorSecurities_5250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6" w:type="dxa"/>
            <w:tcBorders/>
            <w:shd w:fill="auto" w:val="clear"/>
            <w:vAlign w:val="center"/>
          </w:tcPr>
          <w:p>
            <w:pPr>
              <w:pStyle w:val="TableContents"/>
              <w:spacing w:before="0" w:after="0"/>
              <w:ind w:left="0" w:right="0" w:hanging="0"/>
              <w:jc w:val="left"/>
              <w:rPr/>
            </w:pPr>
            <w:hyperlink w:anchor="Item4MineSafetyDisclosures_489189">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before="0" w:after="0"/>
              <w:ind w:left="0" w:right="0" w:hanging="0"/>
              <w:jc w:val="left"/>
              <w:rPr/>
            </w:pPr>
            <w:hyperlink w:anchor="Item4MineSafetyDisclosures_489189">
              <w:r>
                <w:rPr>
                  <w:rStyle w:val="InternetLink"/>
                  <w:rFonts w:ascii="Times New Roman;Times;serif" w:hAnsi="Times New Roman;Times;serif"/>
                  <w:b w:val="false"/>
                  <w:i w:val="false"/>
                  <w:caps w:val="false"/>
                  <w:smallCaps w:val="false"/>
                  <w:sz w:val="20"/>
                </w:rPr>
                <w:t>Mine Safety Disclosures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6" w:type="dxa"/>
            <w:tcBorders/>
            <w:shd w:fill="auto" w:val="clear"/>
            <w:vAlign w:val="center"/>
          </w:tcPr>
          <w:p>
            <w:pPr>
              <w:pStyle w:val="TableContents"/>
              <w:spacing w:before="0" w:after="0"/>
              <w:ind w:left="0" w:right="0" w:hanging="0"/>
              <w:jc w:val="left"/>
              <w:rPr/>
            </w:pPr>
            <w:hyperlink w:anchor="Item5OtherInformation_906757">
              <w:r>
                <w:rPr>
                  <w:rStyle w:val="InternetLink"/>
                  <w:rFonts w:ascii="Times New Roman;Times;serif" w:hAnsi="Times New Roman;Times;serif"/>
                  <w:b w:val="false"/>
                  <w:i w:val="false"/>
                  <w:caps w:val="false"/>
                  <w:smallCaps w:val="false"/>
                  <w:sz w:val="20"/>
                </w:rPr>
                <w:t>Item 5.</w:t>
              </w:r>
            </w:hyperlink>
          </w:p>
        </w:tc>
        <w:tc>
          <w:tcPr>
            <w:tcW w:w="7366" w:type="dxa"/>
            <w:tcBorders/>
            <w:shd w:fill="auto" w:val="clear"/>
            <w:vAlign w:val="center"/>
          </w:tcPr>
          <w:p>
            <w:pPr>
              <w:pStyle w:val="TableContents"/>
              <w:spacing w:before="0" w:after="0"/>
              <w:ind w:left="0" w:right="0" w:hanging="0"/>
              <w:jc w:val="left"/>
              <w:rPr/>
            </w:pPr>
            <w:hyperlink w:anchor="Item5OtherInformation_906757">
              <w:r>
                <w:rPr>
                  <w:rStyle w:val="InternetLink"/>
                  <w:rFonts w:ascii="Times New Roman;Times;serif" w:hAnsi="Times New Roman;Times;serif"/>
                  <w:b w:val="false"/>
                  <w:i w:val="false"/>
                  <w:caps w:val="false"/>
                  <w:smallCaps w:val="false"/>
                  <w:sz w:val="20"/>
                </w:rPr>
                <w:t>Other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6" w:type="dxa"/>
            <w:tcBorders/>
            <w:shd w:fill="auto" w:val="clear"/>
            <w:vAlign w:val="center"/>
          </w:tcPr>
          <w:p>
            <w:pPr>
              <w:pStyle w:val="TableContents"/>
              <w:spacing w:before="0" w:after="0"/>
              <w:ind w:left="0" w:right="0" w:hanging="0"/>
              <w:jc w:val="left"/>
              <w:rPr/>
            </w:pPr>
            <w:hyperlink w:anchor="Item6Exhibits_432907">
              <w:r>
                <w:rPr>
                  <w:rStyle w:val="InternetLink"/>
                  <w:rFonts w:ascii="Times New Roman;Times;serif" w:hAnsi="Times New Roman;Times;serif"/>
                  <w:b w:val="false"/>
                  <w:i w:val="false"/>
                  <w:caps w:val="false"/>
                  <w:smallCaps w:val="false"/>
                  <w:sz w:val="20"/>
                </w:rPr>
                <w:t>Item 6.</w:t>
              </w:r>
            </w:hyperlink>
          </w:p>
        </w:tc>
        <w:tc>
          <w:tcPr>
            <w:tcW w:w="7366" w:type="dxa"/>
            <w:tcBorders/>
            <w:shd w:fill="auto" w:val="clear"/>
            <w:vAlign w:val="center"/>
          </w:tcPr>
          <w:p>
            <w:pPr>
              <w:pStyle w:val="TableContents"/>
              <w:spacing w:before="0" w:after="0"/>
              <w:ind w:left="0" w:right="0" w:hanging="0"/>
              <w:jc w:val="left"/>
              <w:rPr/>
            </w:pPr>
            <w:hyperlink w:anchor="Item6Exhibits_432907">
              <w:r>
                <w:rPr>
                  <w:rStyle w:val="InternetLink"/>
                  <w:rFonts w:ascii="Times New Roman;Times;serif" w:hAnsi="Times New Roman;Times;serif"/>
                  <w:b w:val="false"/>
                  <w:i w:val="false"/>
                  <w:caps w:val="false"/>
                  <w:smallCaps w:val="false"/>
                  <w:sz w:val="20"/>
                </w:rPr>
                <w:t>Exhibits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32" w:type="dxa"/>
            <w:gridSpan w:val="2"/>
            <w:tcBorders/>
            <w:shd w:fill="auto" w:val="clear"/>
            <w:vAlign w:val="center"/>
          </w:tcPr>
          <w:p>
            <w:pPr>
              <w:pStyle w:val="TableContents"/>
              <w:spacing w:before="0" w:after="0"/>
              <w:ind w:left="0" w:right="0" w:hanging="0"/>
              <w:jc w:val="left"/>
              <w:rPr/>
            </w:pPr>
            <w:hyperlink w:anchor="SIGNATURES_509116">
              <w:r>
                <w:rPr>
                  <w:rStyle w:val="InternetLink"/>
                  <w:rFonts w:ascii="Times New Roman;Times;serif" w:hAnsi="Times New Roman;Times;serif"/>
                  <w:b/>
                  <w:i w:val="false"/>
                  <w:caps w:val="false"/>
                  <w:smallCaps w:val="false"/>
                  <w:sz w:val="20"/>
                </w:rPr>
                <w:t>SIGNATURES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own various trademark registrations and applications, and unregistered trademarks, including our name and our corporate logo. We have an exclusive license to use and display the Vaccitech registered trademark in order to commercialize Vaccitech in the United Kingdom.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From time to time, we may use our website, our Facebook page at Facebook.com/Vaccitech, our Twitter account at @Vaccitechplc and our LinkedIn account at linkedin.com/company/Vaccitech-plc/ 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Facebook page, our Twitter posts and our LinkedIn posts are not incorporated into, and does not form a part of, this Quarterly Report.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7" w:name="PARTI_654583"/>
      <w:bookmarkStart w:id="38" w:name="_1c9d1889_fd7c_43fa_b2a7_24745b562f2b"/>
      <w:bookmarkEnd w:id="37"/>
      <w:bookmarkEnd w:id="38"/>
      <w:r>
        <w:rPr>
          <w:rFonts w:ascii="Times New Roman;Times;serif" w:hAnsi="Times New Roman;Times;serif"/>
          <w:b/>
          <w:sz w:val="20"/>
        </w:rPr>
        <w:t>PART I -  FINANCIAL INFORMATION</w:t>
      </w:r>
    </w:p>
    <w:p>
      <w:pPr>
        <w:pStyle w:val="TextBody"/>
        <w:spacing w:before="0" w:after="240"/>
        <w:ind w:left="0" w:right="0" w:hanging="0"/>
        <w:rPr>
          <w:rFonts w:ascii="Times New Roman;Times;serif" w:hAnsi="Times New Roman;Times;serif"/>
          <w:b/>
          <w:sz w:val="20"/>
        </w:rPr>
      </w:pPr>
      <w:bookmarkStart w:id="39" w:name="Item1FinancialStatements_153571"/>
      <w:bookmarkEnd w:id="39"/>
      <w:r>
        <w:rPr>
          <w:rFonts w:ascii="Times New Roman;Times;serif" w:hAnsi="Times New Roman;Times;serif"/>
          <w:b/>
          <w:sz w:val="20"/>
        </w:rPr>
        <w:t>Item 1.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CONDENSED CONSOLIDATED FINANCIAL STATEMENTS (UNAUDITED)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634"/>
        <w:gridCol w:w="571"/>
      </w:tblGrid>
      <w:tr>
        <w:trPr/>
        <w:tc>
          <w:tcPr>
            <w:tcW w:w="9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117590" cy="29210"/>
                      <wp:effectExtent l="0" t="0" r="0" b="0"/>
                      <wp:wrapNone/>
                      <wp:docPr id="4" name="Frame4"/>
                      <a:graphic xmlns:a="http://schemas.openxmlformats.org/drawingml/2006/main">
                        <a:graphicData uri="http://schemas.microsoft.com/office/word/2010/wordprocessingShape">
                          <wps:wsp>
                            <wps:cNvSpPr txBox="1"/>
                            <wps:spPr>
                              <a:xfrm>
                                <a:off x="0" y="0"/>
                                <a:ext cx="61175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29210"/>
                      <wp:effectExtent l="0" t="0" r="0" b="0"/>
                      <wp:wrapNone/>
                      <wp:docPr id="5" name="Frame5"/>
                      <a:graphic xmlns:a="http://schemas.openxmlformats.org/drawingml/2006/main">
                        <a:graphicData uri="http://schemas.microsoft.com/office/word/2010/wordprocessingShape">
                          <wps:wsp>
                            <wps:cNvSpPr txBox="1"/>
                            <wps:spPr>
                              <a:xfrm>
                                <a:off x="0" y="0"/>
                                <a:ext cx="3625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634" w:type="dxa"/>
            <w:tcBorders/>
            <w:shd w:fill="auto" w:val="clear"/>
            <w:vAlign w:val="center"/>
          </w:tcPr>
          <w:p>
            <w:pPr>
              <w:pStyle w:val="TableContents"/>
              <w:spacing w:before="0" w:after="0"/>
              <w:ind w:left="0" w:right="0" w:hanging="0"/>
              <w:rPr>
                <w:rFonts w:ascii="Times New Roman;Times;serif" w:hAnsi="Times New Roman;Times;serif"/>
                <w:b/>
                <w:sz w:val="20"/>
                <w:u w:val="single"/>
              </w:rPr>
            </w:pPr>
            <w:r>
              <w:rPr>
                <w:rFonts w:ascii="Times New Roman;Times;serif" w:hAnsi="Times New Roman;Times;serif"/>
                <w:b/>
                <w:sz w:val="20"/>
                <w:u w:val="single"/>
              </w:rPr>
              <w:t>Condensed Consolidated Financial Statements (Unaudited)</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shd w:fill="auto" w:val="clear"/>
            <w:vAlign w:val="center"/>
          </w:tcPr>
          <w:p>
            <w:pPr>
              <w:pStyle w:val="TableContents"/>
              <w:spacing w:before="0" w:after="0"/>
              <w:ind w:left="0" w:right="0" w:hanging="0"/>
              <w:jc w:val="left"/>
              <w:rPr/>
            </w:pPr>
            <w:hyperlink w:anchor="CONDENSEDCONSOLIDATEDBALANCESHEETS_17844">
              <w:r>
                <w:rPr>
                  <w:rStyle w:val="InternetLink"/>
                  <w:rFonts w:ascii="Times New Roman;Times;serif" w:hAnsi="Times New Roman;Times;serif"/>
                  <w:b w:val="false"/>
                  <w:i w:val="false"/>
                  <w:caps w:val="false"/>
                  <w:smallCaps w:val="false"/>
                  <w:sz w:val="20"/>
                </w:rPr>
                <w:t>Condensed Consolidated Balance Sheets</w:t>
              </w:r>
            </w:hyperlink>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634" w:type="dxa"/>
            <w:tcBorders/>
            <w:shd w:fill="auto" w:val="clear"/>
            <w:vAlign w:val="center"/>
          </w:tcPr>
          <w:p>
            <w:pPr>
              <w:pStyle w:val="TableContents"/>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shd w:fill="auto" w:val="clear"/>
            <w:vAlign w:val="center"/>
          </w:tcPr>
          <w:p>
            <w:pPr>
              <w:pStyle w:val="TableContents"/>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Redeemable Convertible Preferred Shares and Shareholders’ Equity (Deficit</w:t>
              </w:r>
            </w:hyperlink>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4" w:type="dxa"/>
            <w:tcBorders/>
            <w:shd w:fill="auto" w:val="clear"/>
            <w:vAlign w:val="center"/>
          </w:tcPr>
          <w:p>
            <w:pPr>
              <w:pStyle w:val="TableContents"/>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34" w:type="dxa"/>
            <w:tcBorders/>
            <w:shd w:fill="auto" w:val="clear"/>
            <w:vAlign w:val="center"/>
          </w:tcPr>
          <w:p>
            <w:pPr>
              <w:pStyle w:val="TableContents"/>
              <w:spacing w:before="0" w:after="0"/>
              <w:ind w:left="0" w:right="0" w:hanging="0"/>
              <w:jc w:val="left"/>
              <w:rPr/>
            </w:pPr>
            <w:hyperlink w:anchor="a1NatureofBusinessandBasisofPresentatio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0" w:name="_3e48e546_55d9_40ee_9052_e110f598e08f"/>
      <w:bookmarkEnd w:id="40"/>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41" w:name="CONDENSEDCONSOLIDATEDBALANCESHEETS_17844"/>
      <w:bookmarkEnd w:id="41"/>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42" w:name="Tc_FhAirn1wb0u69DPI1-TYxw_39_5"/>
      <w:bookmarkStart w:id="43" w:name="Tc_McIK8VBJA0-jg7hjs2IfBA_39_2"/>
      <w:bookmarkStart w:id="44" w:name="Tc_Z7Kt1baTAEKmuqjf6u2jsA_39_0"/>
      <w:bookmarkStart w:id="45" w:name="Tc_zGKrSEwe3kat-o1o-bMkwg_38_5"/>
      <w:bookmarkStart w:id="46" w:name="Tc_cBO_cUcJakCaTEkklnT4ig_38_2"/>
      <w:bookmarkStart w:id="47" w:name="Tc_FI6QBDShCES4PA_7aPYocQ_38_0"/>
      <w:bookmarkStart w:id="48" w:name="Tc__6a-lpyt2UyGxjYiC246Tw_37_0"/>
      <w:bookmarkStart w:id="49" w:name="Tc_tC0ek8iIMEWpt3kblzE5WQ_36_0"/>
      <w:bookmarkStart w:id="50" w:name="Tc_XrBFwzPDM02bZbsiNx4OPQ_35_0"/>
      <w:bookmarkStart w:id="51" w:name="Tc_fEcAD5vU7UWyUvs7OHL3DQ_34_0"/>
      <w:bookmarkStart w:id="52" w:name="Tc_dhUeN5HzsU6MqCs61G1Bww_33_7"/>
      <w:bookmarkStart w:id="53" w:name="Tc_pSuErubvPUibNMRKOkG6Zw_33_4"/>
      <w:bookmarkStart w:id="54" w:name="_138c5170_4f95_4f61_b54c_972dcee99196_3"/>
      <w:bookmarkStart w:id="55" w:name="_138c5170_4f95_4f61_b54c_972dcee99196_2"/>
      <w:bookmarkStart w:id="56" w:name="_138c5170_4f95_4f61_b54c_972dcee99196"/>
      <w:bookmarkStart w:id="57" w:name="Tc_fSCgDnNVTEijXnRrey-pHw_33_0"/>
      <w:bookmarkStart w:id="58" w:name="Tc_T5c7_G7_pkq1WBMx0Dhhcg_32_6"/>
      <w:bookmarkStart w:id="59" w:name="Tc_zKgVYqlbiUq7aBJQvYjXHw_32_0"/>
      <w:bookmarkStart w:id="60" w:name="Tc_Xj153WSr5UydmLTIPoN3pQ_31_6"/>
      <w:bookmarkStart w:id="61" w:name="Tc_Qep6UDUaqkCjEklfYvhcHA_31_0"/>
      <w:bookmarkStart w:id="62" w:name="Tc_VoWeiz4_DEaVeld5VbNfqQ_30_7"/>
      <w:bookmarkStart w:id="63" w:name="Tc_VVBZT0FxkE2V4AYqY3SK1Q_30_0"/>
      <w:bookmarkStart w:id="64" w:name="Tc_OBR8lg-Y0kGo3ohXcoMWhg_29_0"/>
      <w:bookmarkStart w:id="65" w:name="Tc_LtjsgX05TkyI5mpElMCUwg_28_6"/>
      <w:bookmarkStart w:id="66" w:name="Tc__gbm9NwQ7EqQ2zM-Z1w3gQ_28_5"/>
      <w:bookmarkStart w:id="67" w:name="Tc_GNUt18NvZ0u92tXCHxuYrQ_28_3"/>
      <w:bookmarkStart w:id="68" w:name="Tc_TtvgMmXuvUiLPk2AUc1MIw_28_2"/>
      <w:bookmarkStart w:id="69" w:name="Tc_ZbKgtY4ru02ne-EXiFEJjg_28_0"/>
      <w:bookmarkStart w:id="70" w:name="Tc_uOL1du7qAkKbJQu5UtyZ_Q_27_5"/>
      <w:bookmarkStart w:id="71" w:name="Tc_1W2cpmzW3UW9jxpXVBEKIg_27_3"/>
      <w:bookmarkStart w:id="72" w:name="Tc_7zGYP59APUa-Pa_lq4zERg_27_2"/>
      <w:bookmarkStart w:id="73" w:name="Tc_05q2vYZGzka72XYWAdGuLg_27_0"/>
      <w:bookmarkStart w:id="74" w:name="Tc_NHswf3XR2k6r5KEsLbZs7A_26_0"/>
      <w:bookmarkStart w:id="75" w:name="Tc_nE-Gnhc970qlZ4Wu9UWdzw_25_5"/>
      <w:bookmarkStart w:id="76" w:name="Tc_HocBHQblE0O6BxIjlL90rQ_25_2"/>
      <w:bookmarkStart w:id="77" w:name="Tc_TV7xbucWVUCaem0Nx2U0DQ_25_0"/>
      <w:bookmarkStart w:id="78" w:name="Tc_B1_n7BSVUEOUHexmNl3Juw_24_0"/>
      <w:bookmarkStart w:id="79" w:name="Tc_whD52LG7k0ys1pU0zh2jVg_23_3"/>
      <w:bookmarkStart w:id="80" w:name="Tc_6-j8xdHKAEuPz1ju2rK33g_23_0"/>
      <w:bookmarkStart w:id="81" w:name="Tc_ix6HL3opTUSE9KWWuqcdcg_22_0"/>
      <w:bookmarkStart w:id="82" w:name="Tc_M72VA0upJ0-iUekYoCTPXA_21_0"/>
      <w:bookmarkStart w:id="83" w:name="Tc_JGn-J6IkmU2MGCeihlt6BQ_20_0"/>
      <w:bookmarkStart w:id="84" w:name="Tc_bpnxrWwKvk6uFUT0VXUfRA_19_0"/>
      <w:bookmarkStart w:id="85" w:name="Tc_6YDG4cs4ZUm4oEIUQn3HCQ_18_5"/>
      <w:bookmarkStart w:id="86" w:name="Tc_gLYofkQbCEWdR8TrS2VWTg_18_2"/>
      <w:bookmarkStart w:id="87" w:name="Tc_hhkP3z2jtUi6YgtcDRLG6Q_18_0"/>
      <w:bookmarkStart w:id="88" w:name="Tc_yQ-sxlCkZ0-jKq2AzpPIqg_17_0"/>
      <w:bookmarkStart w:id="89" w:name="Tc_JzryvqHLm0qnm3Mvzvl4-g_15_0"/>
      <w:bookmarkStart w:id="90" w:name="Tc_-NIsVvULnEeAewMQ_RCZzQ_13_5"/>
      <w:bookmarkStart w:id="91" w:name="Tc_QTfmAdDAJUqB5of9bgkkBA_13_2"/>
      <w:bookmarkStart w:id="92" w:name="Tc_nqIdU61bykKMEfbWHO6-nw_13_0"/>
      <w:bookmarkStart w:id="93" w:name="Tc_FEnoIHgzm0mFq0S8Vxz35A_12_6"/>
      <w:bookmarkStart w:id="94" w:name="Tc_XpQJzJMbAUSgxc8OjSlAyA_12_0"/>
      <w:bookmarkStart w:id="95" w:name="Tc_W9AO8zo0dUGXHuSXmkUmWA_11_0"/>
      <w:bookmarkStart w:id="96" w:name="Tc_7CT881wxP0uPFyzyJ9yTpA_10_0"/>
      <w:bookmarkStart w:id="97" w:name="Tc_BeqxlW5syEGTwrybCpGRWg_9_0"/>
      <w:bookmarkStart w:id="98" w:name="Tc_tKXDBkdMdUCOYLY8eQ-MnA_8_0"/>
      <w:bookmarkStart w:id="99" w:name="Tc_Mg1O-klDh0a7odFmC10h9g_7_0"/>
      <w:bookmarkStart w:id="100" w:name="Tc_p5ahHTTPg0al2Te4rZ1aOw_6_0"/>
      <w:bookmarkStart w:id="101" w:name="Tc_XNcF9O-z0ky6q5hiY7wEjw_5_5"/>
      <w:bookmarkStart w:id="102" w:name="Tc_CZaNiumRR0G1lCirCv3nVg_5_2"/>
      <w:bookmarkStart w:id="103" w:name="Tc_Lu7ec6198k6kIteH8JYVrg_5_0"/>
      <w:bookmarkStart w:id="104" w:name="Tc_tC_61NdEZkeDir-caEAlVg_4_0"/>
      <w:bookmarkStart w:id="105" w:name="Tc_OpvwVEel4EiU2UKQFI7RpA_3_0"/>
      <w:bookmarkStart w:id="106" w:name="Tc_rJ8Q8-9igUqkX3fzgCZ7FA_2_5"/>
      <w:bookmarkStart w:id="107" w:name="Tc_-HdUY323E0Wa-zTGZZl12Q_2_2"/>
      <w:bookmarkStart w:id="108" w:name="Tc_eAucXkmnnk23wOOrj0m-_w_1_5"/>
      <w:bookmarkStart w:id="109" w:name="Tc_V1Mn2qkKJkmM6XSXNOYtHA_1_2"/>
      <w:bookmarkStart w:id="110" w:name="_5ee6aea8_0a02_4d0c_a35b_0cb509fcce7b"/>
      <w:bookmarkStart w:id="111" w:name="Tc_FhAirn1wb0u69DPI1-TYxw_39_5"/>
      <w:bookmarkStart w:id="112" w:name="Tc_McIK8VBJA0-jg7hjs2IfBA_39_2"/>
      <w:bookmarkStart w:id="113" w:name="Tc_Z7Kt1baTAEKmuqjf6u2jsA_39_0"/>
      <w:bookmarkStart w:id="114" w:name="Tc_zGKrSEwe3kat-o1o-bMkwg_38_5"/>
      <w:bookmarkStart w:id="115" w:name="Tc_cBO_cUcJakCaTEkklnT4ig_38_2"/>
      <w:bookmarkStart w:id="116" w:name="Tc_FI6QBDShCES4PA_7aPYocQ_38_0"/>
      <w:bookmarkStart w:id="117" w:name="Tc__6a-lpyt2UyGxjYiC246Tw_37_0"/>
      <w:bookmarkStart w:id="118" w:name="Tc_tC0ek8iIMEWpt3kblzE5WQ_36_0"/>
      <w:bookmarkStart w:id="119" w:name="Tc_XrBFwzPDM02bZbsiNx4OPQ_35_0"/>
      <w:bookmarkStart w:id="120" w:name="Tc_fEcAD5vU7UWyUvs7OHL3DQ_34_0"/>
      <w:bookmarkStart w:id="121" w:name="Tc_dhUeN5HzsU6MqCs61G1Bww_33_7"/>
      <w:bookmarkStart w:id="122" w:name="Tc_pSuErubvPUibNMRKOkG6Zw_33_4"/>
      <w:bookmarkStart w:id="123" w:name="_138c5170_4f95_4f61_b54c_972dcee99196_3"/>
      <w:bookmarkStart w:id="124" w:name="_138c5170_4f95_4f61_b54c_972dcee99196_2"/>
      <w:bookmarkStart w:id="125" w:name="_138c5170_4f95_4f61_b54c_972dcee99196"/>
      <w:bookmarkStart w:id="126" w:name="Tc_fSCgDnNVTEijXnRrey-pHw_33_0"/>
      <w:bookmarkStart w:id="127" w:name="Tc_T5c7_G7_pkq1WBMx0Dhhcg_32_6"/>
      <w:bookmarkStart w:id="128" w:name="Tc_zKgVYqlbiUq7aBJQvYjXHw_32_0"/>
      <w:bookmarkStart w:id="129" w:name="Tc_Xj153WSr5UydmLTIPoN3pQ_31_6"/>
      <w:bookmarkStart w:id="130" w:name="Tc_Qep6UDUaqkCjEklfYvhcHA_31_0"/>
      <w:bookmarkStart w:id="131" w:name="Tc_VoWeiz4_DEaVeld5VbNfqQ_30_7"/>
      <w:bookmarkStart w:id="132" w:name="Tc_VVBZT0FxkE2V4AYqY3SK1Q_30_0"/>
      <w:bookmarkStart w:id="133" w:name="Tc_OBR8lg-Y0kGo3ohXcoMWhg_29_0"/>
      <w:bookmarkStart w:id="134" w:name="Tc_LtjsgX05TkyI5mpElMCUwg_28_6"/>
      <w:bookmarkStart w:id="135" w:name="Tc__gbm9NwQ7EqQ2zM-Z1w3gQ_28_5"/>
      <w:bookmarkStart w:id="136" w:name="Tc_GNUt18NvZ0u92tXCHxuYrQ_28_3"/>
      <w:bookmarkStart w:id="137" w:name="Tc_TtvgMmXuvUiLPk2AUc1MIw_28_2"/>
      <w:bookmarkStart w:id="138" w:name="Tc_ZbKgtY4ru02ne-EXiFEJjg_28_0"/>
      <w:bookmarkStart w:id="139" w:name="Tc_uOL1du7qAkKbJQu5UtyZ_Q_27_5"/>
      <w:bookmarkStart w:id="140" w:name="Tc_1W2cpmzW3UW9jxpXVBEKIg_27_3"/>
      <w:bookmarkStart w:id="141" w:name="Tc_7zGYP59APUa-Pa_lq4zERg_27_2"/>
      <w:bookmarkStart w:id="142" w:name="Tc_05q2vYZGzka72XYWAdGuLg_27_0"/>
      <w:bookmarkStart w:id="143" w:name="Tc_NHswf3XR2k6r5KEsLbZs7A_26_0"/>
      <w:bookmarkStart w:id="144" w:name="Tc_nE-Gnhc970qlZ4Wu9UWdzw_25_5"/>
      <w:bookmarkStart w:id="145" w:name="Tc_HocBHQblE0O6BxIjlL90rQ_25_2"/>
      <w:bookmarkStart w:id="146" w:name="Tc_TV7xbucWVUCaem0Nx2U0DQ_25_0"/>
      <w:bookmarkStart w:id="147" w:name="Tc_B1_n7BSVUEOUHexmNl3Juw_24_0"/>
      <w:bookmarkStart w:id="148" w:name="Tc_whD52LG7k0ys1pU0zh2jVg_23_3"/>
      <w:bookmarkStart w:id="149" w:name="Tc_6-j8xdHKAEuPz1ju2rK33g_23_0"/>
      <w:bookmarkStart w:id="150" w:name="Tc_ix6HL3opTUSE9KWWuqcdcg_22_0"/>
      <w:bookmarkStart w:id="151" w:name="Tc_M72VA0upJ0-iUekYoCTPXA_21_0"/>
      <w:bookmarkStart w:id="152" w:name="Tc_JGn-J6IkmU2MGCeihlt6BQ_20_0"/>
      <w:bookmarkStart w:id="153" w:name="Tc_bpnxrWwKvk6uFUT0VXUfRA_19_0"/>
      <w:bookmarkStart w:id="154" w:name="Tc_6YDG4cs4ZUm4oEIUQn3HCQ_18_5"/>
      <w:bookmarkStart w:id="155" w:name="Tc_gLYofkQbCEWdR8TrS2VWTg_18_2"/>
      <w:bookmarkStart w:id="156" w:name="Tc_hhkP3z2jtUi6YgtcDRLG6Q_18_0"/>
      <w:bookmarkStart w:id="157" w:name="Tc_yQ-sxlCkZ0-jKq2AzpPIqg_17_0"/>
      <w:bookmarkStart w:id="158" w:name="Tc_JzryvqHLm0qnm3Mvzvl4-g_15_0"/>
      <w:bookmarkStart w:id="159" w:name="Tc_-NIsVvULnEeAewMQ_RCZzQ_13_5"/>
      <w:bookmarkStart w:id="160" w:name="Tc_QTfmAdDAJUqB5of9bgkkBA_13_2"/>
      <w:bookmarkStart w:id="161" w:name="Tc_nqIdU61bykKMEfbWHO6-nw_13_0"/>
      <w:bookmarkStart w:id="162" w:name="Tc_FEnoIHgzm0mFq0S8Vxz35A_12_6"/>
      <w:bookmarkStart w:id="163" w:name="Tc_XpQJzJMbAUSgxc8OjSlAyA_12_0"/>
      <w:bookmarkStart w:id="164" w:name="Tc_W9AO8zo0dUGXHuSXmkUmWA_11_0"/>
      <w:bookmarkStart w:id="165" w:name="Tc_7CT881wxP0uPFyzyJ9yTpA_10_0"/>
      <w:bookmarkStart w:id="166" w:name="Tc_BeqxlW5syEGTwrybCpGRWg_9_0"/>
      <w:bookmarkStart w:id="167" w:name="Tc_tKXDBkdMdUCOYLY8eQ-MnA_8_0"/>
      <w:bookmarkStart w:id="168" w:name="Tc_Mg1O-klDh0a7odFmC10h9g_7_0"/>
      <w:bookmarkStart w:id="169" w:name="Tc_p5ahHTTPg0al2Te4rZ1aOw_6_0"/>
      <w:bookmarkStart w:id="170" w:name="Tc_XNcF9O-z0ky6q5hiY7wEjw_5_5"/>
      <w:bookmarkStart w:id="171" w:name="Tc_CZaNiumRR0G1lCirCv3nVg_5_2"/>
      <w:bookmarkStart w:id="172" w:name="Tc_Lu7ec6198k6kIteH8JYVrg_5_0"/>
      <w:bookmarkStart w:id="173" w:name="Tc_tC_61NdEZkeDir-caEAlVg_4_0"/>
      <w:bookmarkStart w:id="174" w:name="Tc_OpvwVEel4EiU2UKQFI7RpA_3_0"/>
      <w:bookmarkStart w:id="175" w:name="Tc_rJ8Q8-9igUqkX3fzgCZ7FA_2_5"/>
      <w:bookmarkStart w:id="176" w:name="Tc_-HdUY323E0Wa-zTGZZl12Q_2_2"/>
      <w:bookmarkStart w:id="177" w:name="Tc_eAucXkmnnk23wOOrj0m-_w_1_5"/>
      <w:bookmarkStart w:id="178" w:name="Tc_V1Mn2qkKJkmM6XSXNOYtHA_1_2"/>
      <w:bookmarkStart w:id="179" w:name="_5ee6aea8_0a02_4d0c_a35b_0cb509fcce7b"/>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10205" w:type="dxa"/>
        <w:jc w:val="left"/>
        <w:tblInd w:w="0" w:type="dxa"/>
        <w:tblCellMar>
          <w:top w:w="0" w:type="dxa"/>
          <w:left w:w="0" w:type="dxa"/>
          <w:bottom w:w="0" w:type="dxa"/>
          <w:right w:w="0" w:type="dxa"/>
        </w:tblCellMar>
      </w:tblPr>
      <w:tblGrid>
        <w:gridCol w:w="7369"/>
        <w:gridCol w:w="326"/>
        <w:gridCol w:w="196"/>
        <w:gridCol w:w="704"/>
        <w:gridCol w:w="326"/>
        <w:gridCol w:w="298"/>
        <w:gridCol w:w="772"/>
        <w:gridCol w:w="214"/>
      </w:tblGrid>
      <w:tr>
        <w:trPr/>
        <w:tc>
          <w:tcPr>
            <w:tcW w:w="73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679315" cy="175260"/>
                      <wp:effectExtent l="0" t="0" r="0" b="0"/>
                      <wp:wrapNone/>
                      <wp:docPr id="6" name="Frame6"/>
                      <a:graphic xmlns:a="http://schemas.openxmlformats.org/drawingml/2006/main">
                        <a:graphicData uri="http://schemas.microsoft.com/office/word/2010/wordprocessingShape">
                          <wps:wsp>
                            <wps:cNvSpPr txBox="1"/>
                            <wps:spPr>
                              <a:xfrm>
                                <a:off x="0" y="0"/>
                                <a:ext cx="46793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47040" cy="175260"/>
                      <wp:effectExtent l="0" t="0" r="0" b="0"/>
                      <wp:wrapNone/>
                      <wp:docPr id="9" name="Frame9"/>
                      <a:graphic xmlns:a="http://schemas.openxmlformats.org/drawingml/2006/main">
                        <a:graphicData uri="http://schemas.microsoft.com/office/word/2010/wordprocessingShape">
                          <wps:wsp>
                            <wps:cNvSpPr txBox="1"/>
                            <wps:spPr>
                              <a:xfrm>
                                <a:off x="0" y="0"/>
                                <a:ext cx="447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9230" cy="175260"/>
                      <wp:effectExtent l="0" t="0" r="0" b="0"/>
                      <wp:wrapNone/>
                      <wp:docPr id="11" name="Frame11"/>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0220" cy="175260"/>
                      <wp:effectExtent l="0" t="0" r="0" b="0"/>
                      <wp:wrapNone/>
                      <wp:docPr id="12" name="Frame12"/>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6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shd w:fill="auto" w:val="clear"/>
            <w:vAlign w:val="center"/>
          </w:tcPr>
          <w:p>
            <w:pPr>
              <w:pStyle w:val="TableContents"/>
              <w:spacing w:before="0" w:after="1"/>
              <w:ind w:left="0" w:right="0" w:hanging="0"/>
              <w:rPr/>
            </w:pPr>
            <w:r>
              <w:rPr/>
              <w:t>    </w:t>
            </w:r>
          </w:p>
        </w:tc>
        <w:tc>
          <w:tcPr>
            <w:tcW w:w="10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214" w:type="dxa"/>
            <w:tcBorders/>
            <w:shd w:fill="auto" w:val="clear"/>
            <w:vAlign w:val="center"/>
          </w:tcPr>
          <w:p>
            <w:pPr>
              <w:pStyle w:val="TableContents"/>
              <w:spacing w:before="0" w:after="1"/>
              <w:ind w:left="0" w:right="0" w:hanging="0"/>
              <w:jc w:val="center"/>
              <w:rPr/>
            </w:pPr>
            <w:r>
              <w:rPr/>
              <w:t> </w:t>
            </w:r>
          </w:p>
        </w:tc>
      </w:tr>
      <w:tr>
        <w:trPr/>
        <w:tc>
          <w:tcPr>
            <w:tcW w:w="736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2020</w:t>
            </w:r>
          </w:p>
        </w:tc>
        <w:tc>
          <w:tcPr>
            <w:tcW w:w="214" w:type="dxa"/>
            <w:tcBorders/>
            <w:shd w:fill="auto" w:val="clear"/>
            <w:vAlign w:val="center"/>
          </w:tcPr>
          <w:p>
            <w:pPr>
              <w:pStyle w:val="TableContents"/>
              <w:spacing w:before="0" w:after="1"/>
              <w:ind w:left="0" w:right="0" w:hanging="0"/>
              <w:jc w:val="center"/>
              <w:rPr/>
            </w:pPr>
            <w:r>
              <w:rPr/>
              <w:t> </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0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98" w:type="dxa"/>
            <w:tcBorders/>
            <w:shd w:fill="CCEEFF" w:val="clear"/>
            <w:vAlign w:val="center"/>
          </w:tcPr>
          <w:p>
            <w:pPr>
              <w:pStyle w:val="TableContents"/>
              <w:spacing w:before="0" w:after="1"/>
              <w:ind w:left="0" w:right="0" w:hanging="0"/>
              <w:rPr/>
            </w:pPr>
            <w:r>
              <w:rPr/>
              <w:t>​</w:t>
            </w:r>
          </w:p>
        </w:tc>
        <w:tc>
          <w:tcPr>
            <w:tcW w:w="772" w:type="dxa"/>
            <w:tcBorders/>
            <w:shd w:fill="CCEEFF" w:val="clear"/>
            <w:vAlign w:val="center"/>
          </w:tcPr>
          <w:p>
            <w:pPr>
              <w:pStyle w:val="TableContents"/>
              <w:spacing w:before="0" w:after="1"/>
              <w:ind w:left="0" w:right="0" w:hanging="0"/>
              <w:jc w:val="right"/>
              <w:rPr/>
            </w:pPr>
            <w:r>
              <w:rPr/>
              <w:t>  </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0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98" w:type="dxa"/>
            <w:tcBorders/>
            <w:shd w:fill="auto" w:val="clear"/>
            <w:vAlign w:val="center"/>
          </w:tcPr>
          <w:p>
            <w:pPr>
              <w:pStyle w:val="TableContents"/>
              <w:spacing w:before="0" w:after="1"/>
              <w:ind w:left="0" w:right="0" w:hanging="0"/>
              <w:rPr/>
            </w:pPr>
            <w:r>
              <w:rPr/>
              <w:t>​</w:t>
            </w:r>
          </w:p>
        </w:tc>
        <w:tc>
          <w:tcPr>
            <w:tcW w:w="772" w:type="dxa"/>
            <w:tcBorders/>
            <w:shd w:fill="auto" w:val="clear"/>
            <w:vAlign w:val="center"/>
          </w:tcPr>
          <w:p>
            <w:pPr>
              <w:pStyle w:val="TableContents"/>
              <w:spacing w:before="0" w:after="1"/>
              <w:ind w:left="0" w:right="0" w:hanging="0"/>
              <w:jc w:val="right"/>
              <w:rPr/>
            </w:pPr>
            <w:r>
              <w:rPr/>
              <w:t>  </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243,619</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43,266</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518</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Research and development incentives receivable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4,558</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2,708</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8,514</w:t>
            </w:r>
          </w:p>
        </w:tc>
        <w:tc>
          <w:tcPr>
            <w:tcW w:w="326" w:type="dxa"/>
            <w:tcBorders/>
            <w:shd w:fill="auto" w:val="clear"/>
            <w:vAlign w:val="center"/>
          </w:tcPr>
          <w:p>
            <w:pPr>
              <w:pStyle w:val="TableContents"/>
              <w:spacing w:before="0" w:after="1"/>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1,409</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256,728</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47,901</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1,038</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Right of use assets, net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2,040</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2,136</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Deferred tax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auto" w:val="clear"/>
            <w:vAlign w:val="center"/>
          </w:tcPr>
          <w:p>
            <w:pPr>
              <w:pStyle w:val="TableContents"/>
              <w:spacing w:before="0" w:after="1"/>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7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259,838</w:t>
            </w:r>
          </w:p>
        </w:tc>
        <w:tc>
          <w:tcPr>
            <w:tcW w:w="326" w:type="dxa"/>
            <w:tcBorders/>
            <w:shd w:fill="CCEEFF" w:val="clear"/>
            <w:vAlign w:val="center"/>
          </w:tcPr>
          <w:p>
            <w:pPr>
              <w:pStyle w:val="TableContents"/>
              <w:spacing w:before="0" w:after="1"/>
              <w:ind w:left="0" w:right="0" w:hanging="0"/>
              <w:rPr/>
            </w:pPr>
            <w:r>
              <w:rPr/>
              <w:t>​</w:t>
            </w:r>
          </w:p>
        </w:tc>
        <w:tc>
          <w:tcPr>
            <w:tcW w:w="29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50,666</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w:t>
            </w:r>
          </w:p>
        </w:tc>
        <w:tc>
          <w:tcPr>
            <w:tcW w:w="772"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LIABILITIES, REDEEMABLE PREFERRED SHARES AND SHAREHOLDERS’ DEFICIT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w:t>
            </w:r>
          </w:p>
        </w:tc>
        <w:tc>
          <w:tcPr>
            <w:tcW w:w="772"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w:t>
            </w:r>
          </w:p>
        </w:tc>
        <w:tc>
          <w:tcPr>
            <w:tcW w:w="772"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pPr>
            <w:r>
              <w:rPr/>
              <w:t>  </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4,683</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4,667</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3,441</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2,537</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Current portion of lease liability</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202</w:t>
            </w:r>
          </w:p>
        </w:tc>
        <w:tc>
          <w:tcPr>
            <w:tcW w:w="326" w:type="dxa"/>
            <w:tcBorders/>
            <w:shd w:fill="CCEEFF" w:val="clear"/>
            <w:vAlign w:val="center"/>
          </w:tcPr>
          <w:p>
            <w:pPr>
              <w:pStyle w:val="TableContents"/>
              <w:spacing w:before="0" w:after="1"/>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8,543</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7,641</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Convertible loan notes – non current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44,700</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Lease liability – non current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1,384</w:t>
            </w:r>
          </w:p>
        </w:tc>
        <w:tc>
          <w:tcPr>
            <w:tcW w:w="326" w:type="dxa"/>
            <w:tcBorders/>
            <w:shd w:fill="auto" w:val="clear"/>
            <w:vAlign w:val="center"/>
          </w:tcPr>
          <w:p>
            <w:pPr>
              <w:pStyle w:val="TableContents"/>
              <w:spacing w:before="0" w:after="1"/>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1,472</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9,927</w:t>
            </w:r>
          </w:p>
        </w:tc>
        <w:tc>
          <w:tcPr>
            <w:tcW w:w="326" w:type="dxa"/>
            <w:tcBorders/>
            <w:shd w:fill="CCEEFF" w:val="clear"/>
            <w:vAlign w:val="center"/>
          </w:tcPr>
          <w:p>
            <w:pPr>
              <w:pStyle w:val="TableContents"/>
              <w:spacing w:before="0" w:after="1"/>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53,813</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Commitments and contingencies (Note 11)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pPr>
            <w:r>
              <w:rPr/>
              <w:t>  </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jc w:val="left"/>
              <w:rPr>
                <w:rFonts w:ascii="Times New Roman;Times;serif" w:hAnsi="Times New Roman;Times;serif"/>
                <w:sz w:val="20"/>
              </w:rPr>
            </w:pPr>
            <w:r>
              <w:rPr>
                <w:rFonts w:ascii="Times New Roman;Times;serif" w:hAnsi="Times New Roman;Times;serif"/>
                <w:sz w:val="16"/>
              </w:rPr>
              <w:t>Series A redeemable convertible preferred shares (Series A shares); £0.10</w:t>
            </w:r>
            <w:r>
              <w:rPr>
                <w:rFonts w:ascii="Times New Roman;Times;serif" w:hAnsi="Times New Roman;Times;serif"/>
                <w:sz w:val="20"/>
              </w:rPr>
              <w:t xml:space="preserve"> </w:t>
            </w:r>
            <w:r>
              <w:rPr>
                <w:rFonts w:ascii="Times New Roman;Times;serif" w:hAnsi="Times New Roman;Times;serif"/>
                <w:sz w:val="16"/>
              </w:rPr>
              <w:t>nominal value; no</w:t>
            </w:r>
            <w:r>
              <w:rPr>
                <w:rFonts w:ascii="Times New Roman;Times;serif" w:hAnsi="Times New Roman;Times;serif"/>
                <w:sz w:val="20"/>
              </w:rPr>
              <w:t xml:space="preserve"> </w:t>
            </w:r>
            <w:r>
              <w:rPr>
                <w:rFonts w:ascii="Times New Roman;Times;serif" w:hAnsi="Times New Roman;Times;serif"/>
                <w:sz w:val="16"/>
              </w:rPr>
              <w:t xml:space="preserve">shares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xml:space="preserve">; (December 31, 2020: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and outstanding: 22,065)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33,765</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jc w:val="left"/>
              <w:rPr>
                <w:rFonts w:ascii="Times New Roman;Times;serif" w:hAnsi="Times New Roman;Times;serif"/>
                <w:sz w:val="20"/>
              </w:rPr>
            </w:pPr>
            <w:r>
              <w:rPr>
                <w:rFonts w:ascii="Times New Roman;Times;serif" w:hAnsi="Times New Roman;Times;serif"/>
                <w:sz w:val="16"/>
              </w:rPr>
              <w:t>Series B redeemable convertible preferred shares (Series B shares); £0.10</w:t>
            </w:r>
            <w:r>
              <w:rPr>
                <w:rFonts w:ascii="Times New Roman;Times;serif" w:hAnsi="Times New Roman;Times;serif"/>
                <w:sz w:val="20"/>
              </w:rPr>
              <w:t xml:space="preserve"> </w:t>
            </w:r>
            <w:r>
              <w:rPr>
                <w:rFonts w:ascii="Times New Roman;Times;serif" w:hAnsi="Times New Roman;Times;serif"/>
                <w:sz w:val="16"/>
              </w:rPr>
              <w:t>nominal value; no</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outstanding; (December 31, 2020: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no</w:t>
            </w:r>
            <w:r>
              <w:rPr>
                <w:rFonts w:ascii="Times New Roman;Times;serif" w:hAnsi="Times New Roman;Times;serif"/>
                <w:sz w:val="20"/>
              </w:rPr>
              <w:t xml:space="preserve"> </w:t>
            </w:r>
            <w:r>
              <w:rPr>
                <w:rFonts w:ascii="Times New Roman;Times;serif" w:hAnsi="Times New Roman;Times;serif"/>
                <w:sz w:val="16"/>
              </w:rPr>
              <w:t>shares issued or outstanding)</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Shareholders’ equity/(deficit):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pPr>
            <w:r>
              <w:rPr/>
              <w:t>  </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jc w:val="left"/>
              <w:rPr>
                <w:rFonts w:ascii="Times New Roman;Times;serif" w:hAnsi="Times New Roman;Times;serif"/>
                <w:sz w:val="20"/>
              </w:rPr>
            </w:pPr>
            <w:r>
              <w:rPr>
                <w:rFonts w:ascii="Times New Roman;Times;serif" w:hAnsi="Times New Roman;Times;serif"/>
                <w:sz w:val="16"/>
              </w:rPr>
              <w:t>Ordinary shares, £0.000025</w:t>
            </w:r>
            <w:r>
              <w:rPr>
                <w:rFonts w:ascii="Times New Roman;Times;serif" w:hAnsi="Times New Roman;Times;serif"/>
                <w:sz w:val="20"/>
              </w:rPr>
              <w:t xml:space="preserve"> </w:t>
            </w:r>
            <w:r>
              <w:rPr>
                <w:rFonts w:ascii="Times New Roman;Times;serif" w:hAnsi="Times New Roman;Times;serif"/>
                <w:sz w:val="16"/>
              </w:rPr>
              <w:t>nominal value; 34,328,231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outstanding (December 31, 2020: authorized,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7,960,458)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214" w:type="dxa"/>
            <w:tcBorders/>
            <w:shd w:fill="auto" w:val="clear"/>
            <w:vAlign w:val="center"/>
          </w:tcPr>
          <w:p>
            <w:pPr>
              <w:pStyle w:val="TableContents"/>
              <w:spacing w:lineRule="auto" w:line="240" w:before="0" w:after="1"/>
              <w:ind w:left="0" w:right="0" w:hanging="0"/>
              <w:rPr>
                <w:rFonts w:ascii="Calibri;Helvetica;sans-serif" w:hAnsi="Calibri;Helvetica;sans-serif"/>
                <w:sz w:val="12"/>
              </w:rPr>
            </w:pPr>
            <w:r>
              <w:rPr>
                <w:rFonts w:ascii="Calibri;Helvetica;sans-serif" w:hAnsi="Calibri;Helvetica;sans-serif"/>
                <w:sz w:val="12"/>
              </w:rPr>
              <w:t>1</w:t>
            </w:r>
          </w:p>
        </w:tc>
      </w:tr>
      <w:tr>
        <w:trPr/>
        <w:tc>
          <w:tcPr>
            <w:tcW w:w="7369" w:type="dxa"/>
            <w:tcBorders/>
            <w:shd w:fill="CCEEFF" w:val="clear"/>
            <w:vAlign w:val="center"/>
          </w:tcPr>
          <w:p>
            <w:pPr>
              <w:pStyle w:val="TableContents"/>
              <w:pBdr/>
              <w:spacing w:before="0" w:after="1"/>
              <w:ind w:left="0" w:right="0" w:hanging="0"/>
              <w:jc w:val="left"/>
              <w:rPr>
                <w:rFonts w:ascii="Times New Roman;Times;serif" w:hAnsi="Times New Roman;Times;serif"/>
                <w:sz w:val="20"/>
              </w:rPr>
            </w:pPr>
            <w:r>
              <w:rPr>
                <w:rFonts w:ascii="Times New Roman;Times;serif" w:hAnsi="Times New Roman;Times;serif"/>
                <w:sz w:val="16"/>
              </w:rPr>
              <w:t>Deferred A shares, £1</w:t>
            </w:r>
            <w:r>
              <w:rPr>
                <w:rFonts w:ascii="Times New Roman;Times;serif" w:hAnsi="Times New Roman;Times;serif"/>
                <w:sz w:val="20"/>
              </w:rPr>
              <w:t xml:space="preserve"> </w:t>
            </w:r>
            <w:r>
              <w:rPr>
                <w:rFonts w:ascii="Times New Roman;Times;serif" w:hAnsi="Times New Roman;Times;serif"/>
                <w:sz w:val="16"/>
              </w:rPr>
              <w:t>nominal value; 63,443</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and outstanding (December 31, 2020:no</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or outstanding)</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pPr>
            <w:r>
              <w:rPr/>
              <w:t>—</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jc w:val="left"/>
              <w:rPr>
                <w:rFonts w:ascii="Times New Roman;Times;serif" w:hAnsi="Times New Roman;Times;serif"/>
                <w:sz w:val="20"/>
              </w:rPr>
            </w:pPr>
            <w:r>
              <w:rPr>
                <w:rFonts w:ascii="Times New Roman;Times;serif" w:hAnsi="Times New Roman;Times;serif"/>
                <w:sz w:val="16"/>
              </w:rPr>
              <w:t>Deferred B shares, £1</w:t>
            </w:r>
            <w:r>
              <w:rPr>
                <w:rFonts w:ascii="Times New Roman;Times;serif" w:hAnsi="Times New Roman;Times;serif"/>
                <w:sz w:val="20"/>
              </w:rPr>
              <w:t xml:space="preserve"> </w:t>
            </w:r>
            <w:r>
              <w:rPr>
                <w:rFonts w:ascii="Times New Roman;Times;serif" w:hAnsi="Times New Roman;Times;serif"/>
                <w:sz w:val="16"/>
              </w:rPr>
              <w:t>nominal value; 570,987</w:t>
            </w:r>
            <w:r>
              <w:rPr>
                <w:rFonts w:ascii="Times New Roman;Times;serif" w:hAnsi="Times New Roman;Times;serif"/>
                <w:sz w:val="20"/>
              </w:rPr>
              <w:t xml:space="preserve"> </w:t>
            </w:r>
            <w:r>
              <w:rPr>
                <w:rFonts w:ascii="Times New Roman;Times;serif" w:hAnsi="Times New Roman;Times;serif"/>
                <w:sz w:val="16"/>
              </w:rPr>
              <w:t xml:space="preserve">shares authorized,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(December 31, 2020: no</w:t>
            </w:r>
            <w:r>
              <w:rPr>
                <w:rFonts w:ascii="Times New Roman;Times;serif" w:hAnsi="Times New Roman;Times;serif"/>
                <w:sz w:val="20"/>
              </w:rPr>
              <w:t xml:space="preserve"> </w:t>
            </w:r>
            <w:r>
              <w:rPr>
                <w:rFonts w:ascii="Times New Roman;Times;serif" w:hAnsi="Times New Roman;Times;serif"/>
                <w:sz w:val="16"/>
              </w:rPr>
              <w:t xml:space="preserve">shares issued or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w:t>
            </w:r>
          </w:p>
        </w:tc>
        <w:tc>
          <w:tcPr>
            <w:tcW w:w="772" w:type="dxa"/>
            <w:tcBorders/>
            <w:shd w:fill="auto" w:val="clear"/>
            <w:vAlign w:val="center"/>
          </w:tcPr>
          <w:p>
            <w:pPr>
              <w:pStyle w:val="TableContents"/>
              <w:spacing w:before="0" w:after="1"/>
              <w:ind w:left="0" w:right="0" w:hanging="0"/>
              <w:jc w:val="right"/>
              <w:rPr/>
            </w:pPr>
            <w:r>
              <w:rPr/>
              <w:t>—</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jc w:val="left"/>
              <w:rPr>
                <w:rFonts w:ascii="Times New Roman;Times;serif" w:hAnsi="Times New Roman;Times;serif"/>
                <w:sz w:val="20"/>
              </w:rPr>
            </w:pPr>
            <w:r>
              <w:rPr>
                <w:rFonts w:ascii="Times New Roman;Times;serif" w:hAnsi="Times New Roman;Times;serif"/>
                <w:sz w:val="16"/>
              </w:rPr>
              <w:t>Deferred C shares, £0,000007</w:t>
            </w:r>
            <w:r>
              <w:rPr>
                <w:rFonts w:ascii="Times New Roman;Times;serif" w:hAnsi="Times New Roman;Times;serif"/>
                <w:sz w:val="20"/>
              </w:rPr>
              <w:t xml:space="preserve"> </w:t>
            </w:r>
            <w:r>
              <w:rPr>
                <w:rFonts w:ascii="Times New Roman;Times;serif" w:hAnsi="Times New Roman;Times;serif"/>
                <w:sz w:val="16"/>
              </w:rPr>
              <w:t>nominal value, 27,828,231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outstanding (December 31, 2020: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and outstanding: 7,960,458)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12"/>
              </w:rPr>
            </w:pPr>
            <w:r>
              <w:rPr>
                <w:rFonts w:ascii="Times New Roman;Times;serif" w:hAnsi="Times New Roman;Times;serif"/>
                <w:sz w:val="12"/>
              </w:rPr>
              <w:t>1</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214" w:type="dxa"/>
            <w:tcBorders/>
            <w:shd w:fill="CCEEFF" w:val="clear"/>
            <w:vAlign w:val="center"/>
          </w:tcPr>
          <w:p>
            <w:pPr>
              <w:pStyle w:val="TableContents"/>
              <w:spacing w:lineRule="auto" w:line="240" w:before="0" w:after="1"/>
              <w:ind w:left="0" w:right="0" w:hanging="0"/>
              <w:rPr>
                <w:rFonts w:ascii="Calibri;Helvetica;sans-serif" w:hAnsi="Calibri;Helvetica;sans-serif"/>
                <w:sz w:val="12"/>
              </w:rPr>
            </w:pPr>
            <w:r>
              <w:rPr>
                <w:rFonts w:ascii="Calibri;Helvetica;sans-serif" w:hAnsi="Calibri;Helvetica;sans-serif"/>
                <w:sz w:val="12"/>
              </w:rPr>
              <w:t>1</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340,793</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21,660</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(88,915)</w:t>
            </w:r>
          </w:p>
        </w:tc>
        <w:tc>
          <w:tcPr>
            <w:tcW w:w="326"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pPr>
            <w:r>
              <w:rPr/>
              <w:t> </w:t>
            </w:r>
          </w:p>
        </w:tc>
        <w:tc>
          <w:tcPr>
            <w:tcW w:w="77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(57,720)</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loss – 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(2,580)</w:t>
            </w:r>
          </w:p>
        </w:tc>
        <w:tc>
          <w:tcPr>
            <w:tcW w:w="326"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 </w:t>
            </w:r>
          </w:p>
        </w:tc>
        <w:tc>
          <w:tcPr>
            <w:tcW w:w="77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(1,243)</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Noncontrolling interest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518</w:t>
            </w:r>
          </w:p>
        </w:tc>
        <w:tc>
          <w:tcPr>
            <w:tcW w:w="326" w:type="dxa"/>
            <w:tcBorders/>
            <w:shd w:fill="CCEEFF" w:val="clear"/>
            <w:vAlign w:val="center"/>
          </w:tcPr>
          <w:p>
            <w:pPr>
              <w:pStyle w:val="TableContents"/>
              <w:spacing w:before="0" w:after="1"/>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391</w:t>
            </w:r>
          </w:p>
        </w:tc>
        <w:tc>
          <w:tcPr>
            <w:tcW w:w="214" w:type="dxa"/>
            <w:tcBorders/>
            <w:shd w:fill="CCEEFF" w:val="clear"/>
            <w:vAlign w:val="center"/>
          </w:tcPr>
          <w:p>
            <w:pPr>
              <w:pStyle w:val="TableContents"/>
              <w:spacing w:before="0" w:after="1"/>
              <w:ind w:left="0" w:right="0" w:hanging="0"/>
              <w:rPr/>
            </w:pPr>
            <w:r>
              <w:rPr/>
              <w:t>​</w:t>
            </w:r>
          </w:p>
        </w:tc>
      </w:tr>
      <w:tr>
        <w:trPr/>
        <w:tc>
          <w:tcPr>
            <w:tcW w:w="7369"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shareholders’ equity/(deficit)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249,911</w:t>
            </w:r>
          </w:p>
        </w:tc>
        <w:tc>
          <w:tcPr>
            <w:tcW w:w="326" w:type="dxa"/>
            <w:tcBorders/>
            <w:shd w:fill="auto" w:val="clear"/>
            <w:vAlign w:val="center"/>
          </w:tcPr>
          <w:p>
            <w:pPr>
              <w:pStyle w:val="TableContents"/>
              <w:spacing w:before="0" w:after="1"/>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r>
              <w:rPr>
                <w:rFonts w:ascii="Times New Roman;Times;serif" w:hAnsi="Times New Roman;Times;serif"/>
                <w:sz w:val="16"/>
              </w:rPr>
              <w:t>$</w:t>
            </w:r>
          </w:p>
        </w:tc>
        <w:tc>
          <w:tcPr>
            <w:tcW w:w="7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(36,912)</w:t>
            </w:r>
          </w:p>
        </w:tc>
        <w:tc>
          <w:tcPr>
            <w:tcW w:w="214" w:type="dxa"/>
            <w:tcBorders/>
            <w:shd w:fill="auto" w:val="clear"/>
            <w:vAlign w:val="center"/>
          </w:tcPr>
          <w:p>
            <w:pPr>
              <w:pStyle w:val="TableContents"/>
              <w:spacing w:before="0" w:after="1"/>
              <w:ind w:left="0" w:right="0" w:hanging="0"/>
              <w:rPr/>
            </w:pPr>
            <w:r>
              <w:rPr/>
              <w:t>​</w:t>
            </w:r>
          </w:p>
        </w:tc>
      </w:tr>
      <w:tr>
        <w:trPr/>
        <w:tc>
          <w:tcPr>
            <w:tcW w:w="7369"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liabilities, redeemable convertible preferred shares and shareholders’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259,838</w:t>
            </w:r>
          </w:p>
        </w:tc>
        <w:tc>
          <w:tcPr>
            <w:tcW w:w="326" w:type="dxa"/>
            <w:tcBorders/>
            <w:shd w:fill="CCEEFF" w:val="clear"/>
            <w:vAlign w:val="center"/>
          </w:tcPr>
          <w:p>
            <w:pPr>
              <w:pStyle w:val="TableContents"/>
              <w:spacing w:before="0" w:after="1"/>
              <w:ind w:left="0" w:right="0" w:hanging="0"/>
              <w:rPr/>
            </w:pPr>
            <w:r>
              <w:rPr/>
              <w:t>​</w:t>
            </w:r>
          </w:p>
        </w:tc>
        <w:tc>
          <w:tcPr>
            <w:tcW w:w="298"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50,666</w:t>
            </w:r>
          </w:p>
        </w:tc>
        <w:tc>
          <w:tcPr>
            <w:tcW w:w="21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lineRule="auto" w:line="240" w:before="0" w:after="0"/>
        <w:ind w:left="0" w:right="0" w:hanging="0"/>
        <w:rPr>
          <w:rFonts w:ascii="Times New Roman;Times;serif" w:hAnsi="Times New Roman;Times;serif"/>
          <w:sz w:val="20"/>
        </w:rPr>
      </w:pPr>
      <w:r>
        <w:rPr>
          <w:rFonts w:ascii="Times New Roman;Times;serif" w:hAnsi="Times New Roman;Times;serif"/>
          <w:b/>
          <w:sz w:val="15"/>
        </w:rPr>
        <w:t>1</w:t>
      </w:r>
      <w:r>
        <w:rPr>
          <w:rFonts w:ascii="Times New Roman;Times;serif" w:hAnsi="Times New Roman;Times;serif"/>
          <w:sz w:val="20"/>
        </w:rPr>
        <w:t xml:space="preserve"> indicates amount less than thousand</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80" w:name="_0eeb44ed_857a_49a7_80e5_404558ef7b99"/>
      <w:bookmarkEnd w:id="180"/>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181" w:name="CONDENSEDCONSOLIDATEDSTATEMENTSOFOPERATI"/>
      <w:bookmarkEnd w:id="181"/>
      <w:r>
        <w:rPr>
          <w:rFonts w:ascii="Times New Roman;Times;serif" w:hAnsi="Times New Roman;Times;serif"/>
          <w:b/>
          <w:sz w:val="20"/>
        </w:rPr>
        <w:t>CONDENSED CONSOLIDATED STATEMENTS OF OPERATIONS AND COMPREHENSIVE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182" w:name="Tc_NeGjljm1o0m3jWCe0mRwIQ_33_5"/>
      <w:bookmarkStart w:id="183" w:name="Tc_u12z5kTGZECgWOJKXvY7Ew_33_2"/>
      <w:bookmarkStart w:id="184" w:name="Tc_WZq8eLfi20e3AkqmGnk8EQ_33_0"/>
      <w:bookmarkStart w:id="185" w:name="Tc_tww3_35OlkajthcIM0DV3A_32_0"/>
      <w:bookmarkStart w:id="186" w:name="Tc_y74qG7gXJUa62lZTmc0mWw_31_0"/>
      <w:bookmarkStart w:id="187" w:name="Tc_LvgEKA7sD0iCZ2N9DKPYOA_30_0"/>
      <w:bookmarkStart w:id="188" w:name="Tc_oo_i1P7h8kiLavfnPPTGNg_29_5"/>
      <w:bookmarkStart w:id="189" w:name="Tc_Hd9SfsmcUU-93PoVeOOcLA_29_2"/>
      <w:bookmarkStart w:id="190" w:name="Tc_mo6Daqvw8kSNGPZsRE1CQg_29_0"/>
      <w:bookmarkStart w:id="191" w:name="Tc_mLtoDAYkfE6orhf-x0eeUw_27_5"/>
      <w:bookmarkStart w:id="192" w:name="Tc_fJ6j3IkJgkO_kNo0jLFkJA_27_2"/>
      <w:bookmarkStart w:id="193" w:name="Tc_1paDhvKydEKqB49lN8BvaQ_27_0"/>
      <w:bookmarkStart w:id="194" w:name="Tc_JUZMcvi0nkGaBAswx0yo4A_26_0"/>
      <w:bookmarkStart w:id="195" w:name="Tc_VzkPvV8bHEadjycgbd_60A_24_0"/>
      <w:bookmarkStart w:id="196" w:name="Tc_-pbVIcgu_kGjUCg6ojtoAg_23_0"/>
      <w:bookmarkStart w:id="197" w:name="Tc_JX6N7nAFbEqvWmGqcHWhyg_22_0"/>
      <w:bookmarkStart w:id="198" w:name="Tc_Lj1ZHmu1hkqOVPoZS_cXlA_21_12"/>
      <w:bookmarkStart w:id="199" w:name="Tc_4YRgkXt97ka46kUF__GMsA_21_6"/>
      <w:bookmarkStart w:id="200" w:name="Tc_tkV7ck2aN02tEW1vsO3puA_21_0"/>
      <w:bookmarkStart w:id="201" w:name="Tc_nzFZpBgRWEaZsM79BHvJ3A_20_0"/>
      <w:bookmarkStart w:id="202" w:name="Tc_Wi9W0Tf04EmBgMtlvU0-qQ_19_12"/>
      <w:bookmarkStart w:id="203" w:name="Tc_oALLWifP8EWEHW9TiOmNTA_19_6"/>
      <w:bookmarkStart w:id="204" w:name="Tc_C2Q3SxnmQUKpX7hbMrxTDQ_19_0"/>
      <w:bookmarkStart w:id="205" w:name="Tc_sZkDwPh27kmjxunH4YEdnQ_18_0"/>
      <w:bookmarkStart w:id="206" w:name="Tc_FODmuYSxTEKmYth0Uq6R7g_17_12"/>
      <w:bookmarkStart w:id="207" w:name="Tc_S3Wu5ShBs0aGD-JonNf3uQ_17_6"/>
      <w:bookmarkStart w:id="208" w:name="Tc_XehVdWyoL0-9Ubc0WjAvyQ_17_3"/>
      <w:bookmarkStart w:id="209" w:name="Tc_aN04QdOoAUaaTUVlURUz-g_17_0"/>
      <w:bookmarkStart w:id="210" w:name="Tc_oownpaZSLEqsnLKjiJFKtg_16_12"/>
      <w:bookmarkStart w:id="211" w:name="Tc_R-invfm_xkOn5JbIs6C9JQ_16_6"/>
      <w:bookmarkStart w:id="212" w:name="Tc_Omz4gk7BDkO4OzvALTovwA_16_3"/>
      <w:bookmarkStart w:id="213" w:name="Tc__0SQ6pfq5kKexgvIKv5mpQ_16_0"/>
      <w:bookmarkStart w:id="214" w:name="Tc_1edSL_QF6UGjmEDaZr-Mgg_15_12"/>
      <w:bookmarkStart w:id="215" w:name="Tc_PY16h-n3JkyN0ofPYOq4nA_15_6"/>
      <w:bookmarkStart w:id="216" w:name="Tc_hyRKhPJM3EmBTatH_3yy0Q_15_3"/>
      <w:bookmarkStart w:id="217" w:name="Tc_TtN5N2tbnkGnqlgnyaVGlQ_15_0"/>
      <w:bookmarkStart w:id="218" w:name="Tc_koIUhklpK0im7FEVw5BSCw_14_12"/>
      <w:bookmarkStart w:id="219" w:name="Tc_VPey9FulEkyKIkoe2P-nng_14_6"/>
      <w:bookmarkStart w:id="220" w:name="Tc_du7wBSf3c02QBkepRXR8Sw_14_3"/>
      <w:bookmarkStart w:id="221" w:name="Tc_43Og1Dfk6EWJvstYC7EbIg_14_0"/>
      <w:bookmarkStart w:id="222" w:name="Tc_9jfl2bQMuUGBv9dDKMTazA_13_12"/>
      <w:bookmarkStart w:id="223" w:name="Tc_dYBlnAmwSE-7E36YzZE7Dg_13_6"/>
      <w:bookmarkStart w:id="224" w:name="Tc_1dLQLBVeTESNwJ_khk5iKg_13_3"/>
      <w:bookmarkStart w:id="225" w:name="Tc_t8Ja0QKoTUSMobfjrXo41w_13_0"/>
      <w:bookmarkStart w:id="226" w:name="Tc_-UBZ9f3ewkWLpE78tdyJAQ_12_0"/>
      <w:bookmarkStart w:id="227" w:name="Tc_81MLJ-1WGEi1w4xZ93jY8Q_11_0"/>
      <w:bookmarkStart w:id="228" w:name="Tc_sn5qPNufD0ut4OBCQZCq5Q_10_0"/>
      <w:bookmarkStart w:id="229" w:name="Tc_vZ_tVP9sHk6lrlcclzoiGA_9_0"/>
      <w:bookmarkStart w:id="230" w:name="Tc_tSvy8OEBCESX7LVie9LuzQ_8_0"/>
      <w:bookmarkStart w:id="231" w:name="Tc_-HTGmBxoFUyuw89_KvyfeQ_7_0"/>
      <w:bookmarkStart w:id="232" w:name="Tc_MC6pHLyx4UGG0K-wUJePAA_6_0"/>
      <w:bookmarkStart w:id="233" w:name="Tc_MX50q61OzE6b13vDZs6eHw_5_0"/>
      <w:bookmarkStart w:id="234" w:name="Tc_cZ25Cil2X0ePBVW_EzVZUQ_4_3"/>
      <w:bookmarkStart w:id="235" w:name="Tc_hpr9V2LUZkGoGn7AN48KMg_4_0"/>
      <w:bookmarkStart w:id="236" w:name="Tc_zIvgNsKHUUi3FOnyeqjj2g_3_5"/>
      <w:bookmarkStart w:id="237" w:name="Tc_gLJgaDkk2Eys8tTdqnxAaA_3_2"/>
      <w:bookmarkStart w:id="238" w:name="Tc_uNodwcS9tEKWr4kEgZ0USQ_3_0"/>
      <w:bookmarkStart w:id="239" w:name="Tc_1vjnKsMyC0Sldode3hdExQ_2_11"/>
      <w:bookmarkStart w:id="240" w:name="Tc_gE8zmN4rlECCUxUUBQgEng_2_8"/>
      <w:bookmarkStart w:id="241" w:name="Tc_KcOZlGnM50qQu7BX0nKg8w_2_5"/>
      <w:bookmarkStart w:id="242" w:name="Tc_Py7CSEukRUiljyj_2A8x_A_2_2"/>
      <w:bookmarkStart w:id="243" w:name="Tc_MuOiRz8X2UOeL424iwhqJQ_1_8"/>
      <w:bookmarkStart w:id="244" w:name="Tc_NeecpGV88EmIMdw6SBjoZw_1_2"/>
      <w:bookmarkStart w:id="245" w:name="_13d2e696_a21f_44fc_9932_8113ff611b61"/>
      <w:bookmarkStart w:id="246" w:name="Tc_NeGjljm1o0m3jWCe0mRwIQ_33_5"/>
      <w:bookmarkStart w:id="247" w:name="Tc_u12z5kTGZECgWOJKXvY7Ew_33_2"/>
      <w:bookmarkStart w:id="248" w:name="Tc_WZq8eLfi20e3AkqmGnk8EQ_33_0"/>
      <w:bookmarkStart w:id="249" w:name="Tc_tww3_35OlkajthcIM0DV3A_32_0"/>
      <w:bookmarkStart w:id="250" w:name="Tc_y74qG7gXJUa62lZTmc0mWw_31_0"/>
      <w:bookmarkStart w:id="251" w:name="Tc_LvgEKA7sD0iCZ2N9DKPYOA_30_0"/>
      <w:bookmarkStart w:id="252" w:name="Tc_oo_i1P7h8kiLavfnPPTGNg_29_5"/>
      <w:bookmarkStart w:id="253" w:name="Tc_Hd9SfsmcUU-93PoVeOOcLA_29_2"/>
      <w:bookmarkStart w:id="254" w:name="Tc_mo6Daqvw8kSNGPZsRE1CQg_29_0"/>
      <w:bookmarkStart w:id="255" w:name="Tc_mLtoDAYkfE6orhf-x0eeUw_27_5"/>
      <w:bookmarkStart w:id="256" w:name="Tc_fJ6j3IkJgkO_kNo0jLFkJA_27_2"/>
      <w:bookmarkStart w:id="257" w:name="Tc_1paDhvKydEKqB49lN8BvaQ_27_0"/>
      <w:bookmarkStart w:id="258" w:name="Tc_JUZMcvi0nkGaBAswx0yo4A_26_0"/>
      <w:bookmarkStart w:id="259" w:name="Tc_VzkPvV8bHEadjycgbd_60A_24_0"/>
      <w:bookmarkStart w:id="260" w:name="Tc_-pbVIcgu_kGjUCg6ojtoAg_23_0"/>
      <w:bookmarkStart w:id="261" w:name="Tc_JX6N7nAFbEqvWmGqcHWhyg_22_0"/>
      <w:bookmarkStart w:id="262" w:name="Tc_Lj1ZHmu1hkqOVPoZS_cXlA_21_12"/>
      <w:bookmarkStart w:id="263" w:name="Tc_4YRgkXt97ka46kUF__GMsA_21_6"/>
      <w:bookmarkStart w:id="264" w:name="Tc_tkV7ck2aN02tEW1vsO3puA_21_0"/>
      <w:bookmarkStart w:id="265" w:name="Tc_nzFZpBgRWEaZsM79BHvJ3A_20_0"/>
      <w:bookmarkStart w:id="266" w:name="Tc_Wi9W0Tf04EmBgMtlvU0-qQ_19_12"/>
      <w:bookmarkStart w:id="267" w:name="Tc_oALLWifP8EWEHW9TiOmNTA_19_6"/>
      <w:bookmarkStart w:id="268" w:name="Tc_C2Q3SxnmQUKpX7hbMrxTDQ_19_0"/>
      <w:bookmarkStart w:id="269" w:name="Tc_sZkDwPh27kmjxunH4YEdnQ_18_0"/>
      <w:bookmarkStart w:id="270" w:name="Tc_FODmuYSxTEKmYth0Uq6R7g_17_12"/>
      <w:bookmarkStart w:id="271" w:name="Tc_S3Wu5ShBs0aGD-JonNf3uQ_17_6"/>
      <w:bookmarkStart w:id="272" w:name="Tc_XehVdWyoL0-9Ubc0WjAvyQ_17_3"/>
      <w:bookmarkStart w:id="273" w:name="Tc_aN04QdOoAUaaTUVlURUz-g_17_0"/>
      <w:bookmarkStart w:id="274" w:name="Tc_oownpaZSLEqsnLKjiJFKtg_16_12"/>
      <w:bookmarkStart w:id="275" w:name="Tc_R-invfm_xkOn5JbIs6C9JQ_16_6"/>
      <w:bookmarkStart w:id="276" w:name="Tc_Omz4gk7BDkO4OzvALTovwA_16_3"/>
      <w:bookmarkStart w:id="277" w:name="Tc__0SQ6pfq5kKexgvIKv5mpQ_16_0"/>
      <w:bookmarkStart w:id="278" w:name="Tc_1edSL_QF6UGjmEDaZr-Mgg_15_12"/>
      <w:bookmarkStart w:id="279" w:name="Tc_PY16h-n3JkyN0ofPYOq4nA_15_6"/>
      <w:bookmarkStart w:id="280" w:name="Tc_hyRKhPJM3EmBTatH_3yy0Q_15_3"/>
      <w:bookmarkStart w:id="281" w:name="Tc_TtN5N2tbnkGnqlgnyaVGlQ_15_0"/>
      <w:bookmarkStart w:id="282" w:name="Tc_koIUhklpK0im7FEVw5BSCw_14_12"/>
      <w:bookmarkStart w:id="283" w:name="Tc_VPey9FulEkyKIkoe2P-nng_14_6"/>
      <w:bookmarkStart w:id="284" w:name="Tc_du7wBSf3c02QBkepRXR8Sw_14_3"/>
      <w:bookmarkStart w:id="285" w:name="Tc_43Og1Dfk6EWJvstYC7EbIg_14_0"/>
      <w:bookmarkStart w:id="286" w:name="Tc_9jfl2bQMuUGBv9dDKMTazA_13_12"/>
      <w:bookmarkStart w:id="287" w:name="Tc_dYBlnAmwSE-7E36YzZE7Dg_13_6"/>
      <w:bookmarkStart w:id="288" w:name="Tc_1dLQLBVeTESNwJ_khk5iKg_13_3"/>
      <w:bookmarkStart w:id="289" w:name="Tc_t8Ja0QKoTUSMobfjrXo41w_13_0"/>
      <w:bookmarkStart w:id="290" w:name="Tc_-UBZ9f3ewkWLpE78tdyJAQ_12_0"/>
      <w:bookmarkStart w:id="291" w:name="Tc_81MLJ-1WGEi1w4xZ93jY8Q_11_0"/>
      <w:bookmarkStart w:id="292" w:name="Tc_sn5qPNufD0ut4OBCQZCq5Q_10_0"/>
      <w:bookmarkStart w:id="293" w:name="Tc_vZ_tVP9sHk6lrlcclzoiGA_9_0"/>
      <w:bookmarkStart w:id="294" w:name="Tc_tSvy8OEBCESX7LVie9LuzQ_8_0"/>
      <w:bookmarkStart w:id="295" w:name="Tc_-HTGmBxoFUyuw89_KvyfeQ_7_0"/>
      <w:bookmarkStart w:id="296" w:name="Tc_MC6pHLyx4UGG0K-wUJePAA_6_0"/>
      <w:bookmarkStart w:id="297" w:name="Tc_MX50q61OzE6b13vDZs6eHw_5_0"/>
      <w:bookmarkStart w:id="298" w:name="Tc_cZ25Cil2X0ePBVW_EzVZUQ_4_3"/>
      <w:bookmarkStart w:id="299" w:name="Tc_hpr9V2LUZkGoGn7AN48KMg_4_0"/>
      <w:bookmarkStart w:id="300" w:name="Tc_zIvgNsKHUUi3FOnyeqjj2g_3_5"/>
      <w:bookmarkStart w:id="301" w:name="Tc_gLJgaDkk2Eys8tTdqnxAaA_3_2"/>
      <w:bookmarkStart w:id="302" w:name="Tc_uNodwcS9tEKWr4kEgZ0USQ_3_0"/>
      <w:bookmarkStart w:id="303" w:name="Tc_1vjnKsMyC0Sldode3hdExQ_2_11"/>
      <w:bookmarkStart w:id="304" w:name="Tc_gE8zmN4rlECCUxUUBQgEng_2_8"/>
      <w:bookmarkStart w:id="305" w:name="Tc_KcOZlGnM50qQu7BX0nKg8w_2_5"/>
      <w:bookmarkStart w:id="306" w:name="Tc_Py7CSEukRUiljyj_2A8x_A_2_2"/>
      <w:bookmarkStart w:id="307" w:name="Tc_MuOiRz8X2UOeL424iwhqJQ_1_8"/>
      <w:bookmarkStart w:id="308" w:name="Tc_NeecpGV88EmIMdw6SBjoZw_1_2"/>
      <w:bookmarkStart w:id="309" w:name="_13d2e696_a21f_44fc_9932_8113ff611b61"/>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tbl>
      <w:tblPr>
        <w:tblW w:w="10205" w:type="dxa"/>
        <w:jc w:val="left"/>
        <w:tblInd w:w="0" w:type="dxa"/>
        <w:tblCellMar>
          <w:top w:w="0" w:type="dxa"/>
          <w:left w:w="0" w:type="dxa"/>
          <w:bottom w:w="0" w:type="dxa"/>
          <w:right w:w="0" w:type="dxa"/>
        </w:tblCellMar>
      </w:tblPr>
      <w:tblGrid>
        <w:gridCol w:w="4159"/>
        <w:gridCol w:w="326"/>
        <w:gridCol w:w="211"/>
        <w:gridCol w:w="1036"/>
        <w:gridCol w:w="326"/>
        <w:gridCol w:w="211"/>
        <w:gridCol w:w="931"/>
        <w:gridCol w:w="326"/>
        <w:gridCol w:w="146"/>
        <w:gridCol w:w="1036"/>
        <w:gridCol w:w="326"/>
        <w:gridCol w:w="152"/>
        <w:gridCol w:w="1019"/>
      </w:tblGrid>
      <w:tr>
        <w:trPr/>
        <w:tc>
          <w:tcPr>
            <w:tcW w:w="4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640965" cy="175260"/>
                      <wp:effectExtent l="0" t="0" r="0" b="0"/>
                      <wp:wrapNone/>
                      <wp:docPr id="14" name="Frame14"/>
                      <a:graphic xmlns:a="http://schemas.openxmlformats.org/drawingml/2006/main">
                        <a:graphicData uri="http://schemas.microsoft.com/office/word/2010/wordprocessingShape">
                          <wps:wsp>
                            <wps:cNvSpPr txBox="1"/>
                            <wps:spPr>
                              <a:xfrm>
                                <a:off x="0" y="0"/>
                                <a:ext cx="26409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20" name="Frame2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2" name="Frame2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6520" cy="175260"/>
                      <wp:effectExtent l="0" t="0" r="0" b="0"/>
                      <wp:wrapNone/>
                      <wp:docPr id="25" name="Frame25"/>
                      <a:graphic xmlns:a="http://schemas.openxmlformats.org/drawingml/2006/main">
                        <a:graphicData uri="http://schemas.microsoft.com/office/word/2010/wordprocessingShape">
                          <wps:wsp>
                            <wps:cNvSpPr txBox="1"/>
                            <wps:spPr>
                              <a:xfrm>
                                <a:off x="0" y="0"/>
                                <a:ext cx="96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7065" cy="175260"/>
                      <wp:effectExtent l="0" t="0" r="0" b="0"/>
                      <wp:wrapNone/>
                      <wp:docPr id="26" name="Frame26"/>
                      <a:graphic xmlns:a="http://schemas.openxmlformats.org/drawingml/2006/main">
                        <a:graphicData uri="http://schemas.microsoft.com/office/word/2010/wordprocessingShape">
                          <wps:wsp>
                            <wps:cNvSpPr txBox="1"/>
                            <wps:spPr>
                              <a:xfrm>
                                <a:off x="0" y="0"/>
                                <a:ext cx="647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15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shd w:fill="auto" w:val="clear"/>
            <w:vAlign w:val="center"/>
          </w:tcPr>
          <w:p>
            <w:pPr>
              <w:pStyle w:val="TableContents"/>
              <w:spacing w:before="0" w:after="1"/>
              <w:ind w:left="0" w:right="0" w:hanging="0"/>
              <w:jc w:val="center"/>
              <w:rPr/>
            </w:pPr>
            <w:r>
              <w:rPr/>
              <w:t>​</w:t>
            </w:r>
          </w:p>
        </w:tc>
        <w:tc>
          <w:tcPr>
            <w:tcW w:w="267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15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2020</w:t>
            </w:r>
          </w:p>
        </w:tc>
        <w:tc>
          <w:tcPr>
            <w:tcW w:w="326" w:type="dxa"/>
            <w:tcBorders/>
            <w:shd w:fill="auto" w:val="clear"/>
            <w:vAlign w:val="center"/>
          </w:tcPr>
          <w:p>
            <w:pPr>
              <w:pStyle w:val="TableContents"/>
              <w:spacing w:before="0" w:after="1"/>
              <w:ind w:left="0" w:right="0" w:hanging="0"/>
              <w:rPr/>
            </w:pPr>
            <w:r>
              <w:rPr/>
              <w:t>    </w:t>
            </w:r>
          </w:p>
        </w:tc>
        <w:tc>
          <w:tcPr>
            <w:tcW w:w="11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326" w:type="dxa"/>
            <w:tcBorders/>
            <w:shd w:fill="auto" w:val="clear"/>
            <w:vAlign w:val="center"/>
          </w:tcPr>
          <w:p>
            <w:pPr>
              <w:pStyle w:val="TableContents"/>
              <w:spacing w:before="0" w:after="1"/>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2020</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License 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w:t>
            </w:r>
          </w:p>
        </w:tc>
        <w:tc>
          <w:tcPr>
            <w:tcW w:w="10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Service revenue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Research grants and contracts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auto" w:val="clear"/>
            <w:vAlign w:val="center"/>
          </w:tcPr>
          <w:p>
            <w:pPr>
              <w:pStyle w:val="TableContents"/>
              <w:spacing w:before="0" w:after="1"/>
              <w:ind w:left="0" w:right="0" w:hanging="0"/>
              <w:rPr/>
            </w:pPr>
            <w:r>
              <w:rPr/>
              <w:t>​</w:t>
            </w:r>
          </w:p>
        </w:tc>
        <w:tc>
          <w:tcPr>
            <w:tcW w:w="15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1,216</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 </w:t>
            </w:r>
          </w:p>
        </w:tc>
        <w:tc>
          <w:tcPr>
            <w:tcW w:w="1019" w:type="dxa"/>
            <w:tcBorders/>
            <w:shd w:fill="CCEEFF" w:val="clear"/>
            <w:vAlign w:val="center"/>
          </w:tcPr>
          <w:p>
            <w:pPr>
              <w:pStyle w:val="TableContents"/>
              <w:spacing w:before="0" w:after="1"/>
              <w:ind w:left="0" w:right="0" w:hanging="0"/>
              <w:jc w:val="right"/>
              <w:rPr/>
            </w:pPr>
            <w:r>
              <w:rPr/>
              <w:t>  </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3,877</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8,119</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12,371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14,148</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2,082</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16,880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23,267</w:t>
            </w:r>
          </w:p>
        </w:tc>
        <w:tc>
          <w:tcPr>
            <w:tcW w:w="326" w:type="dxa"/>
            <w:tcBorders/>
            <w:shd w:fill="auto" w:val="clear"/>
            <w:vAlign w:val="center"/>
          </w:tcPr>
          <w:p>
            <w:pPr>
              <w:pStyle w:val="TableContents"/>
              <w:spacing w:before="0" w:after="1"/>
              <w:ind w:left="0" w:right="0" w:hanging="0"/>
              <w:rPr/>
            </w:pPr>
            <w:r>
              <w:rPr/>
              <w:t>​</w:t>
            </w:r>
          </w:p>
        </w:tc>
        <w:tc>
          <w:tcPr>
            <w:tcW w:w="15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10,201</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(16,845)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(4,336)</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(23,017)</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(8,985)</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pPr>
            <w:r>
              <w:rPr/>
              <w:t>  </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Change in fair value of derivatives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 </w:t>
            </w:r>
          </w:p>
        </w:tc>
        <w:tc>
          <w:tcPr>
            <w:tcW w:w="1019" w:type="dxa"/>
            <w:tcBorders/>
            <w:shd w:fill="CCEEFF" w:val="clear"/>
            <w:vAlign w:val="center"/>
          </w:tcPr>
          <w:p>
            <w:pPr>
              <w:pStyle w:val="TableContents"/>
              <w:spacing w:before="0" w:after="1"/>
              <w:ind w:left="0" w:right="0" w:hanging="0"/>
              <w:jc w:val="right"/>
              <w:rPr/>
            </w:pPr>
            <w:r>
              <w:rPr/>
              <w:t>—</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Unrealized exchange gain on convertible loan notes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pPr>
            <w:r>
              <w:rPr/>
              <w:t>—</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on extinguishment of convertible loan notes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(13,789)</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 </w:t>
            </w:r>
          </w:p>
        </w:tc>
        <w:tc>
          <w:tcPr>
            <w:tcW w:w="1019" w:type="dxa"/>
            <w:tcBorders/>
            <w:shd w:fill="CCEEFF" w:val="clear"/>
            <w:vAlign w:val="center"/>
          </w:tcPr>
          <w:p>
            <w:pPr>
              <w:pStyle w:val="TableContents"/>
              <w:spacing w:before="0" w:after="1"/>
              <w:ind w:left="0" w:right="0" w:hanging="0"/>
              <w:jc w:val="right"/>
              <w:rPr/>
            </w:pPr>
            <w:r>
              <w:rPr/>
              <w:t>—</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pPr>
            <w:r>
              <w:rPr/>
              <w:t>—</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 </w:t>
            </w:r>
          </w:p>
        </w:tc>
        <w:tc>
          <w:tcPr>
            <w:tcW w:w="1019" w:type="dxa"/>
            <w:tcBorders/>
            <w:shd w:fill="CCEEFF" w:val="clear"/>
            <w:vAlign w:val="center"/>
          </w:tcPr>
          <w:p>
            <w:pPr>
              <w:pStyle w:val="TableContents"/>
              <w:spacing w:before="0" w:after="1"/>
              <w:ind w:left="0" w:right="0" w:hanging="0"/>
              <w:jc w:val="right"/>
              <w:rPr/>
            </w:pPr>
            <w:r>
              <w:rPr/>
              <w:t>—</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Research and development incentives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1,830</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other (expense) income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(8,407)</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Tax (expense)/benefit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(15,985)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(31,371)</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(7,608)</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noncontrolling interest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Vaccitech Plc. shareholders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(15,927)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(3,588)</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(31,195)</w:t>
            </w:r>
          </w:p>
        </w:tc>
        <w:tc>
          <w:tcPr>
            <w:tcW w:w="326" w:type="dxa"/>
            <w:tcBorders/>
            <w:shd w:fill="auto" w:val="clear"/>
            <w:vAlign w:val="center"/>
          </w:tcPr>
          <w:p>
            <w:pPr>
              <w:pStyle w:val="TableContents"/>
              <w:spacing w:before="0" w:after="1"/>
              <w:ind w:left="0" w:right="0" w:hanging="0"/>
              <w:rPr/>
            </w:pPr>
            <w:r>
              <w:rPr/>
              <w:t>​</w:t>
            </w:r>
          </w:p>
        </w:tc>
        <w:tc>
          <w:tcPr>
            <w:tcW w:w="152"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(7,409)</w:t>
            </w:r>
          </w:p>
        </w:tc>
      </w:tr>
      <w:tr>
        <w:trPr/>
        <w:tc>
          <w:tcPr>
            <w:tcW w:w="415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w:t>
            </w:r>
          </w:p>
        </w:tc>
        <w:tc>
          <w:tcPr>
            <w:tcW w:w="1019" w:type="dxa"/>
            <w:tcBorders/>
            <w:shd w:fill="CCEEFF" w:val="clear"/>
            <w:vAlign w:val="center"/>
          </w:tcPr>
          <w:p>
            <w:pPr>
              <w:pStyle w:val="TableContents"/>
              <w:spacing w:before="0" w:after="1"/>
              <w:ind w:left="0" w:right="0" w:hanging="0"/>
              <w:rPr/>
            </w:pPr>
            <w:r>
              <w:rPr/>
              <w:t>​</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Weighted-average ordinary shares outstanding, basic and diluted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24,897,665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7,904,838</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16,523,961</w:t>
            </w:r>
          </w:p>
        </w:tc>
        <w:tc>
          <w:tcPr>
            <w:tcW w:w="326" w:type="dxa"/>
            <w:tcBorders/>
            <w:shd w:fill="auto" w:val="clear"/>
            <w:vAlign w:val="center"/>
          </w:tcPr>
          <w:p>
            <w:pPr>
              <w:pStyle w:val="TableContents"/>
              <w:spacing w:before="0" w:after="1"/>
              <w:ind w:left="0" w:right="0" w:hanging="0"/>
              <w:rPr/>
            </w:pPr>
            <w:r>
              <w:rPr/>
              <w:t>​</w:t>
            </w:r>
          </w:p>
        </w:tc>
        <w:tc>
          <w:tcPr>
            <w:tcW w:w="15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7,860,760</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per share attributable to ordinary shareholders, basic and diluted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c>
          <w:tcPr>
            <w:tcW w:w="326" w:type="dxa"/>
            <w:tcBorders/>
            <w:shd w:fill="CCEEFF" w:val="clear"/>
            <w:vAlign w:val="center"/>
          </w:tcPr>
          <w:p>
            <w:pPr>
              <w:pStyle w:val="TableContents"/>
              <w:spacing w:before="0" w:after="1"/>
              <w:ind w:left="0" w:right="0" w:hanging="0"/>
              <w:rPr/>
            </w:pPr>
            <w:r>
              <w:rPr/>
              <w:t>​</w:t>
            </w:r>
          </w:p>
        </w:tc>
        <w:tc>
          <w:tcPr>
            <w:tcW w:w="14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01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r>
      <w:tr>
        <w:trPr/>
        <w:tc>
          <w:tcPr>
            <w:tcW w:w="415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w:t>
            </w:r>
          </w:p>
        </w:tc>
        <w:tc>
          <w:tcPr>
            <w:tcW w:w="1019" w:type="dxa"/>
            <w:tcBorders/>
            <w:shd w:fill="auto" w:val="clear"/>
            <w:vAlign w:val="center"/>
          </w:tcPr>
          <w:p>
            <w:pPr>
              <w:pStyle w:val="TableContents"/>
              <w:spacing w:before="0" w:after="1"/>
              <w:ind w:left="0" w:right="0" w:hanging="0"/>
              <w:rPr/>
            </w:pPr>
            <w:r>
              <w:rPr/>
              <w:t>​</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(15,985)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(31,371)</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w:t>
            </w:r>
          </w:p>
        </w:tc>
        <w:tc>
          <w:tcPr>
            <w:tcW w:w="10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(7,608)</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comprehensive income/(loss) – 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(1,330)</w:t>
            </w:r>
          </w:p>
        </w:tc>
        <w:tc>
          <w:tcPr>
            <w:tcW w:w="326" w:type="dxa"/>
            <w:tcBorders/>
            <w:shd w:fill="auto" w:val="clear"/>
            <w:vAlign w:val="center"/>
          </w:tcPr>
          <w:p>
            <w:pPr>
              <w:pStyle w:val="TableContents"/>
              <w:spacing w:before="0" w:after="1"/>
              <w:ind w:left="0" w:right="0" w:hanging="0"/>
              <w:rPr/>
            </w:pPr>
            <w:r>
              <w:rPr/>
              <w:t>​</w:t>
            </w:r>
          </w:p>
        </w:tc>
        <w:tc>
          <w:tcPr>
            <w:tcW w:w="15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(15,899)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(3,801)</w:t>
            </w:r>
          </w:p>
        </w:tc>
        <w:tc>
          <w:tcPr>
            <w:tcW w:w="32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(32,701)</w:t>
            </w:r>
          </w:p>
        </w:tc>
        <w:tc>
          <w:tcPr>
            <w:tcW w:w="326" w:type="dxa"/>
            <w:tcBorders/>
            <w:shd w:fill="CCEEFF" w:val="clear"/>
            <w:vAlign w:val="center"/>
          </w:tcPr>
          <w:p>
            <w:pPr>
              <w:pStyle w:val="TableContents"/>
              <w:spacing w:before="0" w:after="1"/>
              <w:ind w:left="0" w:right="0" w:hanging="0"/>
              <w:rPr/>
            </w:pPr>
            <w:r>
              <w:rPr/>
              <w:t>​</w:t>
            </w:r>
          </w:p>
        </w:tc>
        <w:tc>
          <w:tcPr>
            <w:tcW w:w="152" w:type="dxa"/>
            <w:tcBorders/>
            <w:shd w:fill="CCEEFF" w:val="clear"/>
            <w:vAlign w:val="center"/>
          </w:tcPr>
          <w:p>
            <w:pPr>
              <w:pStyle w:val="TableContents"/>
              <w:spacing w:before="0" w:after="1"/>
              <w:ind w:left="0" w:right="0" w:hanging="0"/>
              <w:rPr/>
            </w:pPr>
            <w:r>
              <w:rPr/>
              <w:t> </w:t>
            </w:r>
          </w:p>
        </w:tc>
        <w:tc>
          <w:tcPr>
            <w:tcW w:w="10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(8,435)</w:t>
            </w:r>
          </w:p>
        </w:tc>
      </w:tr>
      <w:tr>
        <w:trPr/>
        <w:tc>
          <w:tcPr>
            <w:tcW w:w="415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Comprehensive loss attributable to noncontrolling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auto" w:val="clear"/>
            <w:vAlign w:val="center"/>
          </w:tcPr>
          <w:p>
            <w:pPr>
              <w:pStyle w:val="TableContents"/>
              <w:spacing w:before="0" w:after="1"/>
              <w:ind w:left="0" w:right="0" w:hanging="0"/>
              <w:rPr/>
            </w:pPr>
            <w:r>
              <w:rPr/>
              <w:t>​</w:t>
            </w:r>
          </w:p>
        </w:tc>
        <w:tc>
          <w:tcPr>
            <w:tcW w:w="15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415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Comprehensive loss attributable to Vaccitech Plc. shareholders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(15,844)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(3,731)</w:t>
            </w:r>
          </w:p>
        </w:tc>
        <w:tc>
          <w:tcPr>
            <w:tcW w:w="326" w:type="dxa"/>
            <w:tcBorders/>
            <w:shd w:fill="CCEEFF" w:val="clear"/>
            <w:vAlign w:val="center"/>
          </w:tcPr>
          <w:p>
            <w:pPr>
              <w:pStyle w:val="TableContents"/>
              <w:spacing w:before="0" w:after="1"/>
              <w:ind w:left="0" w:right="0" w:hanging="0"/>
              <w:rPr/>
            </w:pPr>
            <w:r>
              <w:rPr/>
              <w:t>​</w:t>
            </w:r>
          </w:p>
        </w:tc>
        <w:tc>
          <w:tcPr>
            <w:tcW w:w="14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(32,532)</w:t>
            </w:r>
          </w:p>
        </w:tc>
        <w:tc>
          <w:tcPr>
            <w:tcW w:w="326" w:type="dxa"/>
            <w:tcBorders/>
            <w:shd w:fill="CCEEFF" w:val="clear"/>
            <w:vAlign w:val="center"/>
          </w:tcPr>
          <w:p>
            <w:pPr>
              <w:pStyle w:val="TableContents"/>
              <w:spacing w:before="0" w:after="1"/>
              <w:ind w:left="0" w:right="0" w:hanging="0"/>
              <w:rPr/>
            </w:pPr>
            <w:r>
              <w:rPr/>
              <w:t>​</w:t>
            </w:r>
          </w:p>
        </w:tc>
        <w:tc>
          <w:tcPr>
            <w:tcW w:w="152"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01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(8,217)</w:t>
            </w:r>
          </w:p>
        </w:tc>
      </w:tr>
    </w:tbl>
    <w:p>
      <w:pPr>
        <w:pStyle w:val="TextBody"/>
        <w:spacing w:before="0" w:after="24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10" w:name="_0181c63b_eb12_4086_a4a7_a02a891e782f"/>
      <w:bookmarkEnd w:id="310"/>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REDEEMABLE CONVERTIBLE PREFERRED SHARES</w:t>
      </w:r>
    </w:p>
    <w:p>
      <w:pPr>
        <w:pStyle w:val="TextBody"/>
        <w:spacing w:before="0" w:after="0"/>
        <w:ind w:left="0" w:right="0" w:hanging="0"/>
        <w:jc w:val="center"/>
        <w:rPr>
          <w:rFonts w:ascii="Times New Roman;Times;serif" w:hAnsi="Times New Roman;Times;serif"/>
          <w:b/>
          <w:sz w:val="20"/>
        </w:rPr>
      </w:pPr>
      <w:bookmarkStart w:id="311" w:name="CONDENSEDCONSOLIDATEDSTATEMENTSOFCHANGES"/>
      <w:bookmarkEnd w:id="311"/>
      <w:r>
        <w:rPr>
          <w:rFonts w:ascii="Times New Roman;Times;serif" w:hAnsi="Times New Roman;Times;serif"/>
          <w:b/>
          <w:sz w:val="20"/>
        </w:rPr>
        <w:t>AND SHAREHOLDERS’ EQUITY (DEFICIT)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312" w:name="Tc_7Rc5V_HNHUSX6Yr7HIjThg_26_45"/>
      <w:bookmarkStart w:id="313" w:name="Tc_CCrAMFJCVkSL3vyhKg61qg_26_42"/>
      <w:bookmarkStart w:id="314" w:name="Tc_-lQmB83mK0Clj76EiQC44g_26_39"/>
      <w:bookmarkStart w:id="315" w:name="Tc_jerpWiAouk-rw5trQb-ymA_26_36"/>
      <w:bookmarkStart w:id="316" w:name="Tc_o7jsD8_PukyjM_fvfo764Q_26_33"/>
      <w:bookmarkStart w:id="317" w:name="Tc_ai60kOnI3k-JV3pc4LTvSw_26_32"/>
      <w:bookmarkStart w:id="318" w:name="Tc_W4q93E6ymEKrIYkxwr2Rpw_26_30"/>
      <w:bookmarkStart w:id="319" w:name="Tc_KhVJ0j8ookCiJX-hU_S70w_26_25"/>
      <w:bookmarkStart w:id="320" w:name="Tc_eBq7SU9NVk2gg6-wE2wL2w_26_20"/>
      <w:bookmarkStart w:id="321" w:name="Tc_3a-63xUn6E6wbUFmXCdL9g_26_15"/>
      <w:bookmarkStart w:id="322" w:name="Tc_l5FjAqfKTk6pNXZlWbE-LA_26_10"/>
      <w:bookmarkStart w:id="323" w:name="Tc_1rg4QiQFqkmFdAlZmBi2aw_26_9"/>
      <w:bookmarkStart w:id="324" w:name="Tc_3wTHimm_IEKjT9nhs1kPEw_26_7"/>
      <w:bookmarkStart w:id="325" w:name="Tc__pLAG9d1vUi0zx_i-sH-IQ_26_5"/>
      <w:bookmarkStart w:id="326" w:name="Tc_SEocuhy8tUuGiEgvQHDLIg_26_4"/>
      <w:bookmarkStart w:id="327" w:name="Tc_feIOxjoM3USP80tEViv5EA_26_2"/>
      <w:bookmarkStart w:id="328" w:name="Tc_xpbJsfMWQkK2jsOc50Uvzg_26_0"/>
      <w:bookmarkStart w:id="329" w:name="Tc_K1JBn_SwO0atM9SJFfQ9uw_25_0"/>
      <w:bookmarkStart w:id="330" w:name="Tc_7v1ZlS2ViUyNLh1ycUdrTw_24_0"/>
      <w:bookmarkStart w:id="331" w:name="Tc_cgR5iV9mJEi2darOXC1FAQ_23_0"/>
      <w:bookmarkStart w:id="332" w:name="Tc_9pGxaArvz0eJeU8pJtvddw_22_32"/>
      <w:bookmarkStart w:id="333" w:name="Tc_nJ-3MEtQW0aacso7ant_6Q_22_17"/>
      <w:bookmarkStart w:id="334" w:name="Tc_cLhPQqeEb06ffkvSs9VCeA_22_0"/>
      <w:bookmarkStart w:id="335" w:name="Tc_5wWbH6i8vUWjJzm-2YE6Ow_21_32"/>
      <w:bookmarkStart w:id="336" w:name="Tc_I40J4BJex0aCFBEA3J3pBA_21_17"/>
      <w:bookmarkStart w:id="337" w:name="Tc_pFfOI8TkYUuqU3rGXp466w_21_0"/>
      <w:bookmarkStart w:id="338" w:name="Tc_whM5YCb4FUGk0xGBrLQPxQ_20_0"/>
      <w:bookmarkStart w:id="339" w:name="Tc_pDi0s78EtE2nAANTUNUqDA_19_17"/>
      <w:bookmarkStart w:id="340" w:name="Tc_SPiaeUTLbEifGl27fl5EDA_19_0"/>
      <w:bookmarkStart w:id="341" w:name="Tc_1QoYjXhy6EWsT2vPmCru9w_18_0"/>
      <w:bookmarkStart w:id="342" w:name="Tc_pYKZujcHt0iIWdjFOZzyLQ_17_45"/>
      <w:bookmarkStart w:id="343" w:name="Tc_btHuWEbW1Ui8wtAXdcetlA_17_42"/>
      <w:bookmarkStart w:id="344" w:name="Tc_HRXfAKDvgkW0Ukx0oRCR9w_17_39"/>
      <w:bookmarkStart w:id="345" w:name="Tc_jLCGaZcshEWbQyR9f66ljg_17_36"/>
      <w:bookmarkStart w:id="346" w:name="Tc_wPEwrlhE70CMQqTXdHYQPw_17_33"/>
      <w:bookmarkStart w:id="347" w:name="Tc_fM9BCslM10W9Ofkrl_HG2Q_17_32"/>
      <w:bookmarkStart w:id="348" w:name="Tc_UoKjaaSkQUi_IR6UnrNUeg_17_30"/>
      <w:bookmarkStart w:id="349" w:name="Tc_lC5hvADaQk6mfPDwqf1L2g_17_25"/>
      <w:bookmarkStart w:id="350" w:name="Tc_2ZpuX7G_WEGTbQfwpUQaOw_17_20"/>
      <w:bookmarkStart w:id="351" w:name="Tc_h3J4NbAL002w4mTkzEKarw_17_17"/>
      <w:bookmarkStart w:id="352" w:name="Tc_7KFnoMusl0eSOBNVrrwBRQ_17_15"/>
      <w:bookmarkStart w:id="353" w:name="Tc_tXNqSLzVFUi-UhUXFr7p8w_17_9"/>
      <w:bookmarkStart w:id="354" w:name="Tc_YvUSYrg3okaK2yBAzBSR8Q_17_4"/>
      <w:bookmarkStart w:id="355" w:name="Tc_sJ_cfWw0TUuR6Dtn-hyBWw_17_0"/>
      <w:bookmarkStart w:id="356" w:name="Tc_d0mjk9PJY0-xAVruULqz3A_16_0"/>
      <w:bookmarkStart w:id="357" w:name="Tc_12NSJUy6z0KfK3LhKj2rFA_15_0"/>
      <w:bookmarkStart w:id="358" w:name="Tc_2P_02xZv-0KeYN40Njr1Sw_14_47"/>
      <w:bookmarkStart w:id="359" w:name="Tc_SnYAT0rwtEGWyTlmWxXERw_14_32"/>
      <w:bookmarkStart w:id="360" w:name="Tc_VVin2dpvsk6jQLCM75L7qQ_14_17"/>
      <w:bookmarkStart w:id="361" w:name="Tc_2umWUp7OBE2ip_RPAAj5_g_14_0"/>
      <w:bookmarkStart w:id="362" w:name="Tc_xxaJ9EI5PUCciuF49n1Wdg_13_0"/>
      <w:bookmarkStart w:id="363" w:name="Tc_p-szFJ2-kUuYKJ2IV41P6Q_12_46"/>
      <w:bookmarkStart w:id="364" w:name="Tc_5QtQ1huVu02h2y54Q_WXlw_12_0"/>
      <w:bookmarkStart w:id="365" w:name="Tc_pgItahpOlE2Tefb1IogGeA_11_46"/>
      <w:bookmarkStart w:id="366" w:name="Tc_ROTI48jtMEKTc1WI_B1Ikg_11_0"/>
      <w:bookmarkStart w:id="367" w:name="Tc_yC-xu9bUcUy2Pr8Af4OPdw_10_0"/>
      <w:bookmarkStart w:id="368" w:name="Tc_bzu3mBNK-EKYAu3weHahlA_9_45"/>
      <w:bookmarkStart w:id="369" w:name="Tc_G6BqO1AyGkO3TVI9fzumKg_9_42"/>
      <w:bookmarkStart w:id="370" w:name="Tc_gndWdFfV9EmzL4diYfgMEQ_9_39"/>
      <w:bookmarkStart w:id="371" w:name="Tc_JGezJu_qTEueaCBXWDJ7Pw_9_36"/>
      <w:bookmarkStart w:id="372" w:name="Tc_77bPPNDVFE6v3YF4IltMfA_9_33"/>
      <w:bookmarkStart w:id="373" w:name="Tc_eYaitoUQ60e0Sst4PGlrng_9_32"/>
      <w:bookmarkStart w:id="374" w:name="Tc_xNq0k_Be_UOWhLZ7kZWoQA_9_30"/>
      <w:bookmarkStart w:id="375" w:name="Tc_M7r1lztTAUKqjYin5JJrWw_9_26"/>
      <w:bookmarkStart w:id="376" w:name="Tc_VJWjB_SqN0SioirROVYPow_9_25"/>
      <w:bookmarkStart w:id="377" w:name="Tc_KvxyJbotzUWavdOALKi6PA_9_23"/>
      <w:bookmarkStart w:id="378" w:name="Tc_Pe3aZXwCnUS-uc16PE6wbw_9_21"/>
      <w:bookmarkStart w:id="379" w:name="Tc_dbem_UeBbEe2_NfquLuiFA_9_20"/>
      <w:bookmarkStart w:id="380" w:name="Tc_Jjm5vU-nEkWkMBDGuhyRSA_9_18"/>
      <w:bookmarkStart w:id="381" w:name="Tc_aeblGVmkhEmvGvY-xxb0pg_9_17"/>
      <w:bookmarkStart w:id="382" w:name="Tc_CiOxSwpklECcOC9QVVYeSw_9_15"/>
      <w:bookmarkStart w:id="383" w:name="Tc_VfIfEH1KmUiAXlWIUpMlSA_9_10"/>
      <w:bookmarkStart w:id="384" w:name="Tc_dgi8SNb0LESAN-l0a_yZuw_9_9"/>
      <w:bookmarkStart w:id="385" w:name="Tc_uaC_WChd_UWgmGXzSQQtWg_9_7"/>
      <w:bookmarkStart w:id="386" w:name="Tc_JZ4y_XQg7UOSk4nqxd9Ffg_9_4"/>
      <w:bookmarkStart w:id="387" w:name="Tc_uAtovdeAQ0GAPoCi2jbiXA_9_0"/>
      <w:bookmarkStart w:id="388" w:name="Tc_bnTCgdJXAUuhW_olmQmCMw_8_46"/>
      <w:bookmarkStart w:id="389" w:name="Tc_pxzG4ZZODEm5x23eWVnWQw_8_45"/>
      <w:bookmarkStart w:id="390" w:name="Tc_Cm1jn-E5bU2rZvKZIoKQ3g_8_31"/>
      <w:bookmarkStart w:id="391" w:name="Tc_6ObcutiThESnF9MQ39iPTw_8_28"/>
      <w:bookmarkStart w:id="392" w:name="Tc_i6Q0J70S1UW_xluEyORJ-g_8_26"/>
      <w:bookmarkStart w:id="393" w:name="Tc_v8RvpyN3vUmEWxZW8vPpDw_8_23"/>
      <w:bookmarkStart w:id="394" w:name="Tc_7sCi4Km2HEyqXcZ-X9Kuiw_8_21"/>
      <w:bookmarkStart w:id="395" w:name="Tc_EKGamdxJo0CrGbyJsuOGXQ_8_18"/>
      <w:bookmarkStart w:id="396" w:name="Tc__FB46suXHEGwgZBiRWVQlw_8_16"/>
      <w:bookmarkStart w:id="397" w:name="Tc_reQOFN6IN0GSMRIVmO59ZQ_8_13"/>
      <w:bookmarkStart w:id="398" w:name="Tc_fPQsCfI3U0GNzn4gg4f5rg_8_10"/>
      <w:bookmarkStart w:id="399" w:name="Tc_IX9ELFxEBkaS1BYNMX4mPQ_8_7"/>
      <w:bookmarkStart w:id="400" w:name="Tc_VO1_ZiAI2kGevFKVjWFZZA_8_5"/>
      <w:bookmarkStart w:id="401" w:name="Tc_8RxaaT3GBU2RX6_dplKHLA_8_2"/>
      <w:bookmarkStart w:id="402" w:name="Tc_RS-udXnm30Kde5htEbA33w_8_0"/>
      <w:bookmarkStart w:id="403" w:name="Tc_EJ66dfcjLES9Ced9BCjCTg_7_45"/>
      <w:bookmarkStart w:id="404" w:name="Tc_RGUB7Hh1fUebKhnlnDG8pg_7_42"/>
      <w:bookmarkStart w:id="405" w:name="Tc_3owqGnP0S0ugFDp4K8qHaA_7_39"/>
      <w:bookmarkStart w:id="406" w:name="Tc_IbgbKGymQUeGYTb2kPB6Mg_7_36"/>
      <w:bookmarkStart w:id="407" w:name="Tc_qmjMaFG8q0mWp4WH9z6V5A_7_33"/>
      <w:bookmarkStart w:id="408" w:name="Tc_rM_O3T8vTEWUDHO9auLgew_7_32"/>
      <w:bookmarkStart w:id="409" w:name="Tc_uycb8xhg3U2NYhvtJVE4jg_7_30"/>
      <w:bookmarkStart w:id="410" w:name="Tc_Ci-XtTntLEiIT79hfPe-QA_7_25"/>
      <w:bookmarkStart w:id="411" w:name="Tc_GMfT2fuB60yPipGFRO319w_7_20"/>
      <w:bookmarkStart w:id="412" w:name="Tc_qnfqMjUUWkiD6bxPtBt9og_7_17"/>
      <w:bookmarkStart w:id="413" w:name="Tc_T4yCWFDYkE2MX9j2WyulfQ_7_15"/>
      <w:bookmarkStart w:id="414" w:name="Tc_qfQ0btQdlU61WCMBwxcxiQ_7_9"/>
      <w:bookmarkStart w:id="415" w:name="Tc_NLwSv8jB8k-S1x2CusQ6qg_7_4"/>
      <w:bookmarkStart w:id="416" w:name="Tc_BZTCVknVQEWa8Kgy2bMBvg_7_0"/>
      <w:bookmarkStart w:id="417" w:name="Tc_8tgD0yow-UaveHqc6wRX7A_6_45"/>
      <w:bookmarkStart w:id="418" w:name="Tc_mqf1xqVf9E6EG1yrEtuluw_6_42"/>
      <w:bookmarkStart w:id="419" w:name="Tc_vTHd2OgI6UKRI3X1Y_FpTg_6_39"/>
      <w:bookmarkStart w:id="420" w:name="Tc_7opt_C5PQU-8NC-TaQX01w_6_36"/>
      <w:bookmarkStart w:id="421" w:name="Tc_IkxdAXnUfkCulonNxwTe-w_6_33"/>
      <w:bookmarkStart w:id="422" w:name="Tc_T3ZEdpelOUOyqmi7mWjoBQ_6_30"/>
      <w:bookmarkStart w:id="423" w:name="Tc_-1kpvZlyfUywquTntK51Pg_6_28"/>
      <w:bookmarkStart w:id="424" w:name="Tc_PvCqeXiO_E-X1vbT_3enCg_6_25"/>
      <w:bookmarkStart w:id="425" w:name="Tc_QUwy5N2A9kiOwZc-etw0mA_6_23"/>
      <w:bookmarkStart w:id="426" w:name="Tc_sZpU4uRMT0uipQk2SHFd4w_6_20"/>
      <w:bookmarkStart w:id="427" w:name="Tc_6CvbzLkynUmlfMCLfuXMqQ_6_18"/>
      <w:bookmarkStart w:id="428" w:name="Tc_6tj6m_D2YkKrgIL2bCsy1w_6_15"/>
      <w:bookmarkStart w:id="429" w:name="Tc_s2J1uS-gQEqGVTeEj6XtHw_6_13"/>
      <w:bookmarkStart w:id="430" w:name="Tc_C5MpE5xct0GK9m89U7jJ3A_6_9"/>
      <w:bookmarkStart w:id="431" w:name="Tc_o-RmDrdK6kiFZ5QszWwZWA_6_7"/>
      <w:bookmarkStart w:id="432" w:name="Tc_Ou8HnZ5k6Eq24lGARCwCGg_6_4"/>
      <w:bookmarkStart w:id="433" w:name="Tc_ZLghagt6uEeLIGx3Z765MA_6_2"/>
      <w:bookmarkStart w:id="434" w:name="Tc_3oSOlnGtAUivaS2UVMRwzQ_5_45"/>
      <w:bookmarkStart w:id="435" w:name="Tc_2H7ORXICdkS-Y-dqelZmCw_5_42"/>
      <w:bookmarkStart w:id="436" w:name="Tc_1Qmx-cuJJkeG5S-f9GNrqA_5_39"/>
      <w:bookmarkStart w:id="437" w:name="Tc_FrL1X4qMAkemmjuTJk6ImA_5_36"/>
      <w:bookmarkStart w:id="438" w:name="Tc_Yn9rlPOHj0ii7LZ0mtf-ww_5_33"/>
      <w:bookmarkStart w:id="439" w:name="Tc_F3tH42JLz0qSCFkUPkv-_w_5_28"/>
      <w:bookmarkStart w:id="440" w:name="Tc_gJEkyJs1KUuMsdxTDMinCA_5_23"/>
      <w:bookmarkStart w:id="441" w:name="Tc_ZA8tWxHb-kmsTa71wxb6yg_5_18"/>
      <w:bookmarkStart w:id="442" w:name="Tc_M5hg5n-fIUOfcq2ZgNoeCw_5_13"/>
      <w:bookmarkStart w:id="443" w:name="Tc_m-P4HDPbkEO1-79Qha8VBA_5_7"/>
      <w:bookmarkStart w:id="444" w:name="Tc_FpVyAhrFW06w0zVTPje1Jw_5_2"/>
      <w:bookmarkStart w:id="445" w:name="Tc_WU6ihzOXpkmB8Lw0kqDtjA_4_45"/>
      <w:bookmarkStart w:id="446" w:name="Tc_5f-27lu6VE2HipGORhMq_g_4_39"/>
      <w:bookmarkStart w:id="447" w:name="Tc_FdK08KdQF02wKvV5NFx5dg_4_33"/>
      <w:bookmarkStart w:id="448" w:name="Tc_XZArKy_vuUeUSjKO6kikqw_4_7"/>
      <w:bookmarkStart w:id="449" w:name="Tc_IM2EdBvaVEmGdIP8M_sOpg_4_2"/>
      <w:bookmarkStart w:id="450" w:name="Tc_f_GQXomnPkqNOIYHKHZ4Aw_3_39"/>
      <w:bookmarkStart w:id="451" w:name="Tc_19lEF45lDkW66nUSZrDBcw_3_7"/>
      <w:bookmarkStart w:id="452" w:name="Tc_IpTz6DvLaEyK9DGc8n-q0A_3_2"/>
      <w:bookmarkStart w:id="453" w:name="Tc_RFImh6CXxEy8PWxdqusqEg_2_7"/>
      <w:bookmarkStart w:id="454" w:name="Tc_Ii6HRG5LnECTBtKT3UzQLA_2_2"/>
      <w:bookmarkStart w:id="455" w:name="Tc_CKgjxTX3m02I5H6AGxJBlA_1_2"/>
      <w:bookmarkStart w:id="456" w:name="_539050dd_768e_4928_8294_a590699cbcee"/>
      <w:bookmarkStart w:id="457" w:name="Tc_7Rc5V_HNHUSX6Yr7HIjThg_26_45"/>
      <w:bookmarkStart w:id="458" w:name="Tc_CCrAMFJCVkSL3vyhKg61qg_26_42"/>
      <w:bookmarkStart w:id="459" w:name="Tc_-lQmB83mK0Clj76EiQC44g_26_39"/>
      <w:bookmarkStart w:id="460" w:name="Tc_jerpWiAouk-rw5trQb-ymA_26_36"/>
      <w:bookmarkStart w:id="461" w:name="Tc_o7jsD8_PukyjM_fvfo764Q_26_33"/>
      <w:bookmarkStart w:id="462" w:name="Tc_ai60kOnI3k-JV3pc4LTvSw_26_32"/>
      <w:bookmarkStart w:id="463" w:name="Tc_W4q93E6ymEKrIYkxwr2Rpw_26_30"/>
      <w:bookmarkStart w:id="464" w:name="Tc_KhVJ0j8ookCiJX-hU_S70w_26_25"/>
      <w:bookmarkStart w:id="465" w:name="Tc_eBq7SU9NVk2gg6-wE2wL2w_26_20"/>
      <w:bookmarkStart w:id="466" w:name="Tc_3a-63xUn6E6wbUFmXCdL9g_26_15"/>
      <w:bookmarkStart w:id="467" w:name="Tc_l5FjAqfKTk6pNXZlWbE-LA_26_10"/>
      <w:bookmarkStart w:id="468" w:name="Tc_1rg4QiQFqkmFdAlZmBi2aw_26_9"/>
      <w:bookmarkStart w:id="469" w:name="Tc_3wTHimm_IEKjT9nhs1kPEw_26_7"/>
      <w:bookmarkStart w:id="470" w:name="Tc__pLAG9d1vUi0zx_i-sH-IQ_26_5"/>
      <w:bookmarkStart w:id="471" w:name="Tc_SEocuhy8tUuGiEgvQHDLIg_26_4"/>
      <w:bookmarkStart w:id="472" w:name="Tc_feIOxjoM3USP80tEViv5EA_26_2"/>
      <w:bookmarkStart w:id="473" w:name="Tc_xpbJsfMWQkK2jsOc50Uvzg_26_0"/>
      <w:bookmarkStart w:id="474" w:name="Tc_K1JBn_SwO0atM9SJFfQ9uw_25_0"/>
      <w:bookmarkStart w:id="475" w:name="Tc_7v1ZlS2ViUyNLh1ycUdrTw_24_0"/>
      <w:bookmarkStart w:id="476" w:name="Tc_cgR5iV9mJEi2darOXC1FAQ_23_0"/>
      <w:bookmarkStart w:id="477" w:name="Tc_9pGxaArvz0eJeU8pJtvddw_22_32"/>
      <w:bookmarkStart w:id="478" w:name="Tc_nJ-3MEtQW0aacso7ant_6Q_22_17"/>
      <w:bookmarkStart w:id="479" w:name="Tc_cLhPQqeEb06ffkvSs9VCeA_22_0"/>
      <w:bookmarkStart w:id="480" w:name="Tc_5wWbH6i8vUWjJzm-2YE6Ow_21_32"/>
      <w:bookmarkStart w:id="481" w:name="Tc_I40J4BJex0aCFBEA3J3pBA_21_17"/>
      <w:bookmarkStart w:id="482" w:name="Tc_pFfOI8TkYUuqU3rGXp466w_21_0"/>
      <w:bookmarkStart w:id="483" w:name="Tc_whM5YCb4FUGk0xGBrLQPxQ_20_0"/>
      <w:bookmarkStart w:id="484" w:name="Tc_pDi0s78EtE2nAANTUNUqDA_19_17"/>
      <w:bookmarkStart w:id="485" w:name="Tc_SPiaeUTLbEifGl27fl5EDA_19_0"/>
      <w:bookmarkStart w:id="486" w:name="Tc_1QoYjXhy6EWsT2vPmCru9w_18_0"/>
      <w:bookmarkStart w:id="487" w:name="Tc_pYKZujcHt0iIWdjFOZzyLQ_17_45"/>
      <w:bookmarkStart w:id="488" w:name="Tc_btHuWEbW1Ui8wtAXdcetlA_17_42"/>
      <w:bookmarkStart w:id="489" w:name="Tc_HRXfAKDvgkW0Ukx0oRCR9w_17_39"/>
      <w:bookmarkStart w:id="490" w:name="Tc_jLCGaZcshEWbQyR9f66ljg_17_36"/>
      <w:bookmarkStart w:id="491" w:name="Tc_wPEwrlhE70CMQqTXdHYQPw_17_33"/>
      <w:bookmarkStart w:id="492" w:name="Tc_fM9BCslM10W9Ofkrl_HG2Q_17_32"/>
      <w:bookmarkStart w:id="493" w:name="Tc_UoKjaaSkQUi_IR6UnrNUeg_17_30"/>
      <w:bookmarkStart w:id="494" w:name="Tc_lC5hvADaQk6mfPDwqf1L2g_17_25"/>
      <w:bookmarkStart w:id="495" w:name="Tc_2ZpuX7G_WEGTbQfwpUQaOw_17_20"/>
      <w:bookmarkStart w:id="496" w:name="Tc_h3J4NbAL002w4mTkzEKarw_17_17"/>
      <w:bookmarkStart w:id="497" w:name="Tc_7KFnoMusl0eSOBNVrrwBRQ_17_15"/>
      <w:bookmarkStart w:id="498" w:name="Tc_tXNqSLzVFUi-UhUXFr7p8w_17_9"/>
      <w:bookmarkStart w:id="499" w:name="Tc_YvUSYrg3okaK2yBAzBSR8Q_17_4"/>
      <w:bookmarkStart w:id="500" w:name="Tc_sJ_cfWw0TUuR6Dtn-hyBWw_17_0"/>
      <w:bookmarkStart w:id="501" w:name="Tc_d0mjk9PJY0-xAVruULqz3A_16_0"/>
      <w:bookmarkStart w:id="502" w:name="Tc_12NSJUy6z0KfK3LhKj2rFA_15_0"/>
      <w:bookmarkStart w:id="503" w:name="Tc_2P_02xZv-0KeYN40Njr1Sw_14_47"/>
      <w:bookmarkStart w:id="504" w:name="Tc_SnYAT0rwtEGWyTlmWxXERw_14_32"/>
      <w:bookmarkStart w:id="505" w:name="Tc_VVin2dpvsk6jQLCM75L7qQ_14_17"/>
      <w:bookmarkStart w:id="506" w:name="Tc_2umWUp7OBE2ip_RPAAj5_g_14_0"/>
      <w:bookmarkStart w:id="507" w:name="Tc_xxaJ9EI5PUCciuF49n1Wdg_13_0"/>
      <w:bookmarkStart w:id="508" w:name="Tc_p-szFJ2-kUuYKJ2IV41P6Q_12_46"/>
      <w:bookmarkStart w:id="509" w:name="Tc_5QtQ1huVu02h2y54Q_WXlw_12_0"/>
      <w:bookmarkStart w:id="510" w:name="Tc_pgItahpOlE2Tefb1IogGeA_11_46"/>
      <w:bookmarkStart w:id="511" w:name="Tc_ROTI48jtMEKTc1WI_B1Ikg_11_0"/>
      <w:bookmarkStart w:id="512" w:name="Tc_yC-xu9bUcUy2Pr8Af4OPdw_10_0"/>
      <w:bookmarkStart w:id="513" w:name="Tc_bzu3mBNK-EKYAu3weHahlA_9_45"/>
      <w:bookmarkStart w:id="514" w:name="Tc_G6BqO1AyGkO3TVI9fzumKg_9_42"/>
      <w:bookmarkStart w:id="515" w:name="Tc_gndWdFfV9EmzL4diYfgMEQ_9_39"/>
      <w:bookmarkStart w:id="516" w:name="Tc_JGezJu_qTEueaCBXWDJ7Pw_9_36"/>
      <w:bookmarkStart w:id="517" w:name="Tc_77bPPNDVFE6v3YF4IltMfA_9_33"/>
      <w:bookmarkStart w:id="518" w:name="Tc_eYaitoUQ60e0Sst4PGlrng_9_32"/>
      <w:bookmarkStart w:id="519" w:name="Tc_xNq0k_Be_UOWhLZ7kZWoQA_9_30"/>
      <w:bookmarkStart w:id="520" w:name="Tc_M7r1lztTAUKqjYin5JJrWw_9_26"/>
      <w:bookmarkStart w:id="521" w:name="Tc_VJWjB_SqN0SioirROVYPow_9_25"/>
      <w:bookmarkStart w:id="522" w:name="Tc_KvxyJbotzUWavdOALKi6PA_9_23"/>
      <w:bookmarkStart w:id="523" w:name="Tc_Pe3aZXwCnUS-uc16PE6wbw_9_21"/>
      <w:bookmarkStart w:id="524" w:name="Tc_dbem_UeBbEe2_NfquLuiFA_9_20"/>
      <w:bookmarkStart w:id="525" w:name="Tc_Jjm5vU-nEkWkMBDGuhyRSA_9_18"/>
      <w:bookmarkStart w:id="526" w:name="Tc_aeblGVmkhEmvGvY-xxb0pg_9_17"/>
      <w:bookmarkStart w:id="527" w:name="Tc_CiOxSwpklECcOC9QVVYeSw_9_15"/>
      <w:bookmarkStart w:id="528" w:name="Tc_VfIfEH1KmUiAXlWIUpMlSA_9_10"/>
      <w:bookmarkStart w:id="529" w:name="Tc_dgi8SNb0LESAN-l0a_yZuw_9_9"/>
      <w:bookmarkStart w:id="530" w:name="Tc_uaC_WChd_UWgmGXzSQQtWg_9_7"/>
      <w:bookmarkStart w:id="531" w:name="Tc_JZ4y_XQg7UOSk4nqxd9Ffg_9_4"/>
      <w:bookmarkStart w:id="532" w:name="Tc_uAtovdeAQ0GAPoCi2jbiXA_9_0"/>
      <w:bookmarkStart w:id="533" w:name="Tc_bnTCgdJXAUuhW_olmQmCMw_8_46"/>
      <w:bookmarkStart w:id="534" w:name="Tc_pxzG4ZZODEm5x23eWVnWQw_8_45"/>
      <w:bookmarkStart w:id="535" w:name="Tc_Cm1jn-E5bU2rZvKZIoKQ3g_8_31"/>
      <w:bookmarkStart w:id="536" w:name="Tc_6ObcutiThESnF9MQ39iPTw_8_28"/>
      <w:bookmarkStart w:id="537" w:name="Tc_i6Q0J70S1UW_xluEyORJ-g_8_26"/>
      <w:bookmarkStart w:id="538" w:name="Tc_v8RvpyN3vUmEWxZW8vPpDw_8_23"/>
      <w:bookmarkStart w:id="539" w:name="Tc_7sCi4Km2HEyqXcZ-X9Kuiw_8_21"/>
      <w:bookmarkStart w:id="540" w:name="Tc_EKGamdxJo0CrGbyJsuOGXQ_8_18"/>
      <w:bookmarkStart w:id="541" w:name="Tc__FB46suXHEGwgZBiRWVQlw_8_16"/>
      <w:bookmarkStart w:id="542" w:name="Tc_reQOFN6IN0GSMRIVmO59ZQ_8_13"/>
      <w:bookmarkStart w:id="543" w:name="Tc_fPQsCfI3U0GNzn4gg4f5rg_8_10"/>
      <w:bookmarkStart w:id="544" w:name="Tc_IX9ELFxEBkaS1BYNMX4mPQ_8_7"/>
      <w:bookmarkStart w:id="545" w:name="Tc_VO1_ZiAI2kGevFKVjWFZZA_8_5"/>
      <w:bookmarkStart w:id="546" w:name="Tc_8RxaaT3GBU2RX6_dplKHLA_8_2"/>
      <w:bookmarkStart w:id="547" w:name="Tc_RS-udXnm30Kde5htEbA33w_8_0"/>
      <w:bookmarkStart w:id="548" w:name="Tc_EJ66dfcjLES9Ced9BCjCTg_7_45"/>
      <w:bookmarkStart w:id="549" w:name="Tc_RGUB7Hh1fUebKhnlnDG8pg_7_42"/>
      <w:bookmarkStart w:id="550" w:name="Tc_3owqGnP0S0ugFDp4K8qHaA_7_39"/>
      <w:bookmarkStart w:id="551" w:name="Tc_IbgbKGymQUeGYTb2kPB6Mg_7_36"/>
      <w:bookmarkStart w:id="552" w:name="Tc_qmjMaFG8q0mWp4WH9z6V5A_7_33"/>
      <w:bookmarkStart w:id="553" w:name="Tc_rM_O3T8vTEWUDHO9auLgew_7_32"/>
      <w:bookmarkStart w:id="554" w:name="Tc_uycb8xhg3U2NYhvtJVE4jg_7_30"/>
      <w:bookmarkStart w:id="555" w:name="Tc_Ci-XtTntLEiIT79hfPe-QA_7_25"/>
      <w:bookmarkStart w:id="556" w:name="Tc_GMfT2fuB60yPipGFRO319w_7_20"/>
      <w:bookmarkStart w:id="557" w:name="Tc_qnfqMjUUWkiD6bxPtBt9og_7_17"/>
      <w:bookmarkStart w:id="558" w:name="Tc_T4yCWFDYkE2MX9j2WyulfQ_7_15"/>
      <w:bookmarkStart w:id="559" w:name="Tc_qfQ0btQdlU61WCMBwxcxiQ_7_9"/>
      <w:bookmarkStart w:id="560" w:name="Tc_NLwSv8jB8k-S1x2CusQ6qg_7_4"/>
      <w:bookmarkStart w:id="561" w:name="Tc_BZTCVknVQEWa8Kgy2bMBvg_7_0"/>
      <w:bookmarkStart w:id="562" w:name="Tc_8tgD0yow-UaveHqc6wRX7A_6_45"/>
      <w:bookmarkStart w:id="563" w:name="Tc_mqf1xqVf9E6EG1yrEtuluw_6_42"/>
      <w:bookmarkStart w:id="564" w:name="Tc_vTHd2OgI6UKRI3X1Y_FpTg_6_39"/>
      <w:bookmarkStart w:id="565" w:name="Tc_7opt_C5PQU-8NC-TaQX01w_6_36"/>
      <w:bookmarkStart w:id="566" w:name="Tc_IkxdAXnUfkCulonNxwTe-w_6_33"/>
      <w:bookmarkStart w:id="567" w:name="Tc_T3ZEdpelOUOyqmi7mWjoBQ_6_30"/>
      <w:bookmarkStart w:id="568" w:name="Tc_-1kpvZlyfUywquTntK51Pg_6_28"/>
      <w:bookmarkStart w:id="569" w:name="Tc_PvCqeXiO_E-X1vbT_3enCg_6_25"/>
      <w:bookmarkStart w:id="570" w:name="Tc_QUwy5N2A9kiOwZc-etw0mA_6_23"/>
      <w:bookmarkStart w:id="571" w:name="Tc_sZpU4uRMT0uipQk2SHFd4w_6_20"/>
      <w:bookmarkStart w:id="572" w:name="Tc_6CvbzLkynUmlfMCLfuXMqQ_6_18"/>
      <w:bookmarkStart w:id="573" w:name="Tc_6tj6m_D2YkKrgIL2bCsy1w_6_15"/>
      <w:bookmarkStart w:id="574" w:name="Tc_s2J1uS-gQEqGVTeEj6XtHw_6_13"/>
      <w:bookmarkStart w:id="575" w:name="Tc_C5MpE5xct0GK9m89U7jJ3A_6_9"/>
      <w:bookmarkStart w:id="576" w:name="Tc_o-RmDrdK6kiFZ5QszWwZWA_6_7"/>
      <w:bookmarkStart w:id="577" w:name="Tc_Ou8HnZ5k6Eq24lGARCwCGg_6_4"/>
      <w:bookmarkStart w:id="578" w:name="Tc_ZLghagt6uEeLIGx3Z765MA_6_2"/>
      <w:bookmarkStart w:id="579" w:name="Tc_3oSOlnGtAUivaS2UVMRwzQ_5_45"/>
      <w:bookmarkStart w:id="580" w:name="Tc_2H7ORXICdkS-Y-dqelZmCw_5_42"/>
      <w:bookmarkStart w:id="581" w:name="Tc_1Qmx-cuJJkeG5S-f9GNrqA_5_39"/>
      <w:bookmarkStart w:id="582" w:name="Tc_FrL1X4qMAkemmjuTJk6ImA_5_36"/>
      <w:bookmarkStart w:id="583" w:name="Tc_Yn9rlPOHj0ii7LZ0mtf-ww_5_33"/>
      <w:bookmarkStart w:id="584" w:name="Tc_F3tH42JLz0qSCFkUPkv-_w_5_28"/>
      <w:bookmarkStart w:id="585" w:name="Tc_gJEkyJs1KUuMsdxTDMinCA_5_23"/>
      <w:bookmarkStart w:id="586" w:name="Tc_ZA8tWxHb-kmsTa71wxb6yg_5_18"/>
      <w:bookmarkStart w:id="587" w:name="Tc_M5hg5n-fIUOfcq2ZgNoeCw_5_13"/>
      <w:bookmarkStart w:id="588" w:name="Tc_m-P4HDPbkEO1-79Qha8VBA_5_7"/>
      <w:bookmarkStart w:id="589" w:name="Tc_FpVyAhrFW06w0zVTPje1Jw_5_2"/>
      <w:bookmarkStart w:id="590" w:name="Tc_WU6ihzOXpkmB8Lw0kqDtjA_4_45"/>
      <w:bookmarkStart w:id="591" w:name="Tc_5f-27lu6VE2HipGORhMq_g_4_39"/>
      <w:bookmarkStart w:id="592" w:name="Tc_FdK08KdQF02wKvV5NFx5dg_4_33"/>
      <w:bookmarkStart w:id="593" w:name="Tc_XZArKy_vuUeUSjKO6kikqw_4_7"/>
      <w:bookmarkStart w:id="594" w:name="Tc_IM2EdBvaVEmGdIP8M_sOpg_4_2"/>
      <w:bookmarkStart w:id="595" w:name="Tc_f_GQXomnPkqNOIYHKHZ4Aw_3_39"/>
      <w:bookmarkStart w:id="596" w:name="Tc_19lEF45lDkW66nUSZrDBcw_3_7"/>
      <w:bookmarkStart w:id="597" w:name="Tc_IpTz6DvLaEyK9DGc8n-q0A_3_2"/>
      <w:bookmarkStart w:id="598" w:name="Tc_RFImh6CXxEy8PWxdqusqEg_2_7"/>
      <w:bookmarkStart w:id="599" w:name="Tc_Ii6HRG5LnECTBtKT3UzQLA_2_2"/>
      <w:bookmarkStart w:id="600" w:name="Tc_CKgjxTX3m02I5H6AGxJBlA_1_2"/>
      <w:bookmarkStart w:id="601" w:name="_539050dd_768e_4928_8294_a590699cbcee"/>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tbl>
      <w:tblPr>
        <w:tblW w:w="17380" w:type="dxa"/>
        <w:jc w:val="left"/>
        <w:tblInd w:w="0" w:type="dxa"/>
        <w:tblCellMar>
          <w:top w:w="0" w:type="dxa"/>
          <w:left w:w="0" w:type="dxa"/>
          <w:bottom w:w="0" w:type="dxa"/>
          <w:right w:w="0" w:type="dxa"/>
        </w:tblCellMar>
      </w:tblPr>
      <w:tblGrid>
        <w:gridCol w:w="871"/>
        <w:gridCol w:w="326"/>
        <w:gridCol w:w="481"/>
        <w:gridCol w:w="326"/>
        <w:gridCol w:w="166"/>
        <w:gridCol w:w="481"/>
        <w:gridCol w:w="326"/>
        <w:gridCol w:w="481"/>
        <w:gridCol w:w="326"/>
        <w:gridCol w:w="166"/>
        <w:gridCol w:w="541"/>
        <w:gridCol w:w="146"/>
        <w:gridCol w:w="206"/>
        <w:gridCol w:w="646"/>
        <w:gridCol w:w="326"/>
        <w:gridCol w:w="170"/>
        <w:gridCol w:w="356"/>
        <w:gridCol w:w="326"/>
        <w:gridCol w:w="451"/>
        <w:gridCol w:w="326"/>
        <w:gridCol w:w="170"/>
        <w:gridCol w:w="356"/>
        <w:gridCol w:w="326"/>
        <w:gridCol w:w="496"/>
        <w:gridCol w:w="326"/>
        <w:gridCol w:w="170"/>
        <w:gridCol w:w="356"/>
        <w:gridCol w:w="326"/>
        <w:gridCol w:w="646"/>
        <w:gridCol w:w="326"/>
        <w:gridCol w:w="170"/>
        <w:gridCol w:w="356"/>
        <w:gridCol w:w="326"/>
        <w:gridCol w:w="226"/>
        <w:gridCol w:w="496"/>
        <w:gridCol w:w="326"/>
        <w:gridCol w:w="254"/>
        <w:gridCol w:w="542"/>
        <w:gridCol w:w="326"/>
        <w:gridCol w:w="319"/>
        <w:gridCol w:w="597"/>
        <w:gridCol w:w="326"/>
        <w:gridCol w:w="353"/>
        <w:gridCol w:w="518"/>
        <w:gridCol w:w="326"/>
        <w:gridCol w:w="195"/>
        <w:gridCol w:w="586"/>
        <w:gridCol w:w="196"/>
      </w:tblGrid>
      <w:tr>
        <w:trPr/>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53085" cy="175260"/>
                      <wp:effectExtent l="0" t="0" r="0" b="0"/>
                      <wp:wrapNone/>
                      <wp:docPr id="27" name="Frame27"/>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05435" cy="175260"/>
                      <wp:effectExtent l="0" t="0" r="0" b="0"/>
                      <wp:wrapNone/>
                      <wp:docPr id="29" name="Frame29"/>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5410" cy="175260"/>
                      <wp:effectExtent l="0" t="0" r="0" b="0"/>
                      <wp:wrapNone/>
                      <wp:docPr id="31" name="Frame31"/>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05435" cy="175260"/>
                      <wp:effectExtent l="0" t="0" r="0" b="0"/>
                      <wp:wrapNone/>
                      <wp:docPr id="32" name="Frame32"/>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5435" cy="175260"/>
                      <wp:effectExtent l="0" t="0" r="0" b="0"/>
                      <wp:wrapNone/>
                      <wp:docPr id="34" name="Frame34"/>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5410" cy="175260"/>
                      <wp:effectExtent l="0" t="0" r="0" b="0"/>
                      <wp:wrapNone/>
                      <wp:docPr id="36" name="Frame36"/>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43535" cy="175260"/>
                      <wp:effectExtent l="0" t="0" r="0" b="0"/>
                      <wp:wrapNone/>
                      <wp:docPr id="37" name="Frame37"/>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2710" cy="175260"/>
                      <wp:effectExtent l="0" t="0" r="0" b="0"/>
                      <wp:wrapNone/>
                      <wp:docPr id="38" name="Frame3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9" name="Frame3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0210" cy="175260"/>
                      <wp:effectExtent l="0" t="0" r="0" b="0"/>
                      <wp:wrapNone/>
                      <wp:docPr id="40" name="Frame40"/>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07950" cy="175260"/>
                      <wp:effectExtent l="0" t="0" r="0" b="0"/>
                      <wp:wrapNone/>
                      <wp:docPr id="42" name="Frame42"/>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6060" cy="175260"/>
                      <wp:effectExtent l="0" t="0" r="0" b="0"/>
                      <wp:wrapNone/>
                      <wp:docPr id="43" name="Frame43"/>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86385" cy="175260"/>
                      <wp:effectExtent l="0" t="0" r="0" b="0"/>
                      <wp:wrapNone/>
                      <wp:docPr id="45" name="Frame45"/>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07950" cy="175260"/>
                      <wp:effectExtent l="0" t="0" r="0" b="0"/>
                      <wp:wrapNone/>
                      <wp:docPr id="47" name="Frame47"/>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6060" cy="175260"/>
                      <wp:effectExtent l="0" t="0" r="0" b="0"/>
                      <wp:wrapNone/>
                      <wp:docPr id="48" name="Frame48"/>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14960" cy="175260"/>
                      <wp:effectExtent l="0" t="0" r="0" b="0"/>
                      <wp:wrapNone/>
                      <wp:docPr id="50" name="Frame50"/>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07950" cy="175260"/>
                      <wp:effectExtent l="0" t="0" r="0" b="0"/>
                      <wp:wrapNone/>
                      <wp:docPr id="52" name="Frame52"/>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26060" cy="175260"/>
                      <wp:effectExtent l="0" t="0" r="0" b="0"/>
                      <wp:wrapNone/>
                      <wp:docPr id="53" name="Frame53"/>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0210" cy="175260"/>
                      <wp:effectExtent l="0" t="0" r="0" b="0"/>
                      <wp:wrapNone/>
                      <wp:docPr id="55" name="Frame55"/>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7950" cy="175260"/>
                      <wp:effectExtent l="0" t="0" r="0" b="0"/>
                      <wp:wrapNone/>
                      <wp:docPr id="57" name="Frame57"/>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6060" cy="175260"/>
                      <wp:effectExtent l="0" t="0" r="0" b="0"/>
                      <wp:wrapNone/>
                      <wp:docPr id="58" name="Frame58"/>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3510" cy="175260"/>
                      <wp:effectExtent l="0" t="0" r="0" b="0"/>
                      <wp:wrapNone/>
                      <wp:docPr id="60" name="Frame60"/>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14960" cy="175260"/>
                      <wp:effectExtent l="0" t="0" r="0" b="0"/>
                      <wp:wrapNone/>
                      <wp:docPr id="61" name="Frame61"/>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1290" cy="175260"/>
                      <wp:effectExtent l="0" t="0" r="0" b="0"/>
                      <wp:wrapNone/>
                      <wp:docPr id="63" name="Frame63"/>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44170" cy="175260"/>
                      <wp:effectExtent l="0" t="0" r="0" b="0"/>
                      <wp:wrapNone/>
                      <wp:docPr id="64" name="Frame64"/>
                      <a:graphic xmlns:a="http://schemas.openxmlformats.org/drawingml/2006/main">
                        <a:graphicData uri="http://schemas.microsoft.com/office/word/2010/wordprocessingShape">
                          <wps:wsp>
                            <wps:cNvSpPr txBox="1"/>
                            <wps:spPr>
                              <a:xfrm>
                                <a:off x="0" y="0"/>
                                <a:ext cx="344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2565" cy="175260"/>
                      <wp:effectExtent l="0" t="0" r="0" b="0"/>
                      <wp:wrapNone/>
                      <wp:docPr id="66" name="Frame66"/>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79095" cy="175260"/>
                      <wp:effectExtent l="0" t="0" r="0" b="0"/>
                      <wp:wrapNone/>
                      <wp:docPr id="67" name="Frame67"/>
                      <a:graphic xmlns:a="http://schemas.openxmlformats.org/drawingml/2006/main">
                        <a:graphicData uri="http://schemas.microsoft.com/office/word/2010/wordprocessingShape">
                          <wps:wsp>
                            <wps:cNvSpPr txBox="1"/>
                            <wps:spPr>
                              <a:xfrm>
                                <a:off x="0" y="0"/>
                                <a:ext cx="379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24155" cy="175260"/>
                      <wp:effectExtent l="0" t="0" r="0" b="0"/>
                      <wp:wrapNone/>
                      <wp:docPr id="69" name="Frame69"/>
                      <a:graphic xmlns:a="http://schemas.openxmlformats.org/drawingml/2006/main">
                        <a:graphicData uri="http://schemas.microsoft.com/office/word/2010/wordprocessingShape">
                          <wps:wsp>
                            <wps:cNvSpPr txBox="1"/>
                            <wps:spPr>
                              <a:xfrm>
                                <a:off x="0" y="0"/>
                                <a:ext cx="2241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28930" cy="175260"/>
                      <wp:effectExtent l="0" t="0" r="0" b="0"/>
                      <wp:wrapNone/>
                      <wp:docPr id="70" name="Frame70"/>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3825" cy="175260"/>
                      <wp:effectExtent l="0" t="0" r="0" b="0"/>
                      <wp:wrapNone/>
                      <wp:docPr id="72" name="Frame72"/>
                      <a:graphic xmlns:a="http://schemas.openxmlformats.org/drawingml/2006/main">
                        <a:graphicData uri="http://schemas.microsoft.com/office/word/2010/wordprocessingShape">
                          <wps:wsp>
                            <wps:cNvSpPr txBox="1"/>
                            <wps:spPr>
                              <a:xfrm>
                                <a:off x="0" y="0"/>
                                <a:ext cx="123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72110" cy="175260"/>
                      <wp:effectExtent l="0" t="0" r="0" b="0"/>
                      <wp:wrapNone/>
                      <wp:docPr id="73" name="Frame7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987" w:type="dxa"/>
            <w:gridSpan w:val="4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2021</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4"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A</w:t>
            </w:r>
          </w:p>
        </w:tc>
        <w:tc>
          <w:tcPr>
            <w:tcW w:w="326" w:type="dxa"/>
            <w:tcBorders/>
            <w:shd w:fill="auto" w:val="clear"/>
            <w:vAlign w:val="center"/>
          </w:tcPr>
          <w:p>
            <w:pPr>
              <w:pStyle w:val="TableContents"/>
              <w:spacing w:before="0" w:after="1"/>
              <w:ind w:left="0" w:right="0" w:hanging="0"/>
              <w:jc w:val="center"/>
              <w:rPr/>
            </w:pPr>
            <w:r>
              <w:rPr/>
              <w:t>​</w:t>
            </w:r>
          </w:p>
        </w:tc>
        <w:tc>
          <w:tcPr>
            <w:tcW w:w="1514"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B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19" w:type="dxa"/>
            <w:tcBorders/>
            <w:shd w:fill="auto" w:val="clear"/>
            <w:vAlign w:val="center"/>
          </w:tcPr>
          <w:p>
            <w:pPr>
              <w:pStyle w:val="TableContents"/>
              <w:spacing w:before="0" w:after="1"/>
              <w:ind w:left="0" w:right="0" w:hanging="0"/>
              <w:rPr/>
            </w:pPr>
            <w:r>
              <w:rPr/>
              <w:t>​</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5"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4"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Redeemable</w:t>
            </w:r>
          </w:p>
        </w:tc>
        <w:tc>
          <w:tcPr>
            <w:tcW w:w="326" w:type="dxa"/>
            <w:tcBorders/>
            <w:shd w:fill="auto" w:val="clear"/>
            <w:vAlign w:val="center"/>
          </w:tcPr>
          <w:p>
            <w:pPr>
              <w:pStyle w:val="TableContents"/>
              <w:spacing w:before="0" w:after="1"/>
              <w:ind w:left="0" w:right="0" w:hanging="0"/>
              <w:jc w:val="center"/>
              <w:rPr/>
            </w:pPr>
            <w:r>
              <w:rPr/>
              <w:t>​</w:t>
            </w:r>
          </w:p>
        </w:tc>
        <w:tc>
          <w:tcPr>
            <w:tcW w:w="1514"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Redeemable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5"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4"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Convertible Preferred</w:t>
            </w:r>
          </w:p>
        </w:tc>
        <w:tc>
          <w:tcPr>
            <w:tcW w:w="326" w:type="dxa"/>
            <w:tcBorders/>
            <w:shd w:fill="auto" w:val="clear"/>
            <w:vAlign w:val="center"/>
          </w:tcPr>
          <w:p>
            <w:pPr>
              <w:pStyle w:val="TableContents"/>
              <w:spacing w:before="0" w:after="1"/>
              <w:ind w:left="0" w:right="0" w:hanging="0"/>
              <w:jc w:val="center"/>
              <w:rPr/>
            </w:pPr>
            <w:r>
              <w:rPr/>
              <w:t>​</w:t>
            </w:r>
          </w:p>
        </w:tc>
        <w:tc>
          <w:tcPr>
            <w:tcW w:w="1514"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26" w:type="dxa"/>
            <w:tcBorders/>
            <w:shd w:fill="auto" w:val="clear"/>
            <w:vAlign w:val="center"/>
          </w:tcPr>
          <w:p>
            <w:pPr>
              <w:pStyle w:val="TableContents"/>
              <w:spacing w:before="0" w:after="1"/>
              <w:ind w:left="0" w:right="0" w:hanging="0"/>
              <w:jc w:val="center"/>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26" w:type="dxa"/>
            <w:tcBorders/>
            <w:shd w:fill="auto" w:val="clear"/>
            <w:vAlign w:val="center"/>
          </w:tcPr>
          <w:p>
            <w:pPr>
              <w:pStyle w:val="TableContents"/>
              <w:spacing w:before="0" w:after="1"/>
              <w:ind w:left="0" w:right="0" w:hanging="0"/>
              <w:jc w:val="center"/>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151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1"/>
              <w:ind w:left="0" w:right="0" w:hanging="0"/>
              <w:rPr/>
            </w:pPr>
            <w:r>
              <w:rPr/>
              <w:t>​</w:t>
            </w:r>
          </w:p>
        </w:tc>
        <w:tc>
          <w:tcPr>
            <w:tcW w:w="13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A Shares</w:t>
            </w:r>
          </w:p>
        </w:tc>
        <w:tc>
          <w:tcPr>
            <w:tcW w:w="326" w:type="dxa"/>
            <w:tcBorders/>
            <w:shd w:fill="auto" w:val="clear"/>
            <w:vAlign w:val="center"/>
          </w:tcPr>
          <w:p>
            <w:pPr>
              <w:pStyle w:val="TableContents"/>
              <w:spacing w:before="0" w:after="1"/>
              <w:ind w:left="0" w:right="0" w:hanging="0"/>
              <w:jc w:val="center"/>
              <w:rPr/>
            </w:pPr>
            <w:r>
              <w:rPr/>
              <w:t>​</w:t>
            </w:r>
          </w:p>
        </w:tc>
        <w:tc>
          <w:tcPr>
            <w:tcW w:w="134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B Shares</w:t>
            </w:r>
          </w:p>
        </w:tc>
        <w:tc>
          <w:tcPr>
            <w:tcW w:w="326" w:type="dxa"/>
            <w:tcBorders/>
            <w:shd w:fill="auto" w:val="clear"/>
            <w:vAlign w:val="center"/>
          </w:tcPr>
          <w:p>
            <w:pPr>
              <w:pStyle w:val="TableContents"/>
              <w:spacing w:before="0" w:after="1"/>
              <w:ind w:left="0" w:right="0" w:hanging="0"/>
              <w:jc w:val="center"/>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C Shares</w:t>
            </w:r>
          </w:p>
        </w:tc>
        <w:tc>
          <w:tcPr>
            <w:tcW w:w="326" w:type="dxa"/>
            <w:tcBorders/>
            <w:shd w:fill="auto" w:val="clear"/>
            <w:vAlign w:val="center"/>
          </w:tcPr>
          <w:p>
            <w:pPr>
              <w:pStyle w:val="TableContents"/>
              <w:spacing w:before="0" w:after="1"/>
              <w:ind w:left="0" w:right="0" w:hanging="0"/>
              <w:rPr/>
            </w:pPr>
            <w:r>
              <w:rPr/>
              <w:t>​</w:t>
            </w:r>
          </w:p>
        </w:tc>
        <w:tc>
          <w:tcPr>
            <w:tcW w:w="72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Shareholders’</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6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7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 </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7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shd w:fill="auto" w:val="clear"/>
            <w:vAlign w:val="center"/>
          </w:tcPr>
          <w:p>
            <w:pPr>
              <w:pStyle w:val="TableContents"/>
              <w:spacing w:before="0" w:after="1"/>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1"/>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26" w:type="dxa"/>
            <w:tcBorders/>
            <w:shd w:fill="auto" w:val="clear"/>
            <w:vAlign w:val="center"/>
          </w:tcPr>
          <w:p>
            <w:pPr>
              <w:pStyle w:val="TableContents"/>
              <w:spacing w:before="0" w:after="1"/>
              <w:ind w:left="0" w:right="0" w:hanging="0"/>
              <w:jc w:val="center"/>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2"/>
              </w:rPr>
              <w:t>Deficit</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January 1, 2021, as previously reported</w:t>
            </w:r>
          </w:p>
        </w:tc>
        <w:tc>
          <w:tcPr>
            <w:tcW w:w="32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33,765</w:t>
            </w:r>
          </w:p>
        </w:tc>
        <w:tc>
          <w:tcPr>
            <w:tcW w:w="326" w:type="dxa"/>
            <w:tcBorders/>
            <w:shd w:fill="CCEEFF" w:val="clear"/>
            <w:vAlign w:val="center"/>
          </w:tcPr>
          <w:p>
            <w:pPr>
              <w:pStyle w:val="TableContents"/>
              <w:spacing w:before="0" w:after="1"/>
              <w:ind w:left="0" w:right="0" w:hanging="0"/>
              <w:jc w:val="right"/>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1"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7,960,458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7,960,458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226" w:type="dxa"/>
            <w:tcBorders/>
            <w:shd w:fill="CCEEFF" w:val="clear"/>
            <w:vAlign w:val="center"/>
          </w:tcPr>
          <w:p>
            <w:pPr>
              <w:pStyle w:val="TableContents"/>
              <w:spacing w:before="0" w:after="1"/>
              <w:ind w:left="0" w:right="0" w:hanging="0"/>
              <w:rPr/>
            </w:pPr>
            <w:r>
              <w:rPr/>
              <w:t> </w:t>
            </w:r>
            <w:r>
              <w:rPr>
                <w:rFonts w:ascii="Times New Roman;Times;serif" w:hAnsi="Times New Roman;Times;serif"/>
                <w:b/>
                <w:sz w:val="12"/>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19,531</w:t>
            </w:r>
          </w:p>
        </w:tc>
        <w:tc>
          <w:tcPr>
            <w:tcW w:w="326" w:type="dxa"/>
            <w:tcBorders/>
            <w:shd w:fill="CCEEFF" w:val="clear"/>
            <w:vAlign w:val="center"/>
          </w:tcPr>
          <w:p>
            <w:pPr>
              <w:pStyle w:val="TableContents"/>
              <w:spacing w:before="0" w:after="1"/>
              <w:ind w:left="0" w:right="0" w:hanging="0"/>
              <w:jc w:val="right"/>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2"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(55,591)</w:t>
            </w:r>
          </w:p>
        </w:tc>
        <w:tc>
          <w:tcPr>
            <w:tcW w:w="326"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7"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(1,243)</w:t>
            </w:r>
          </w:p>
        </w:tc>
        <w:tc>
          <w:tcPr>
            <w:tcW w:w="326" w:type="dxa"/>
            <w:tcBorders/>
            <w:shd w:fill="CCEEFF" w:val="clear"/>
            <w:vAlign w:val="center"/>
          </w:tcPr>
          <w:p>
            <w:pPr>
              <w:pStyle w:val="TableContents"/>
              <w:spacing w:before="0" w:after="1"/>
              <w:ind w:left="0" w:right="0" w:hanging="0"/>
              <w:jc w:val="right"/>
              <w:rPr/>
            </w:pPr>
            <w:r>
              <w:rPr/>
              <w:t>​</w:t>
            </w:r>
          </w:p>
        </w:tc>
        <w:tc>
          <w:tcPr>
            <w:tcW w:w="353"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18"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391</w:t>
            </w:r>
          </w:p>
        </w:tc>
        <w:tc>
          <w:tcPr>
            <w:tcW w:w="326" w:type="dxa"/>
            <w:tcBorders/>
            <w:shd w:fill="CCEEFF" w:val="clear"/>
            <w:vAlign w:val="center"/>
          </w:tcPr>
          <w:p>
            <w:pPr>
              <w:pStyle w:val="TableContents"/>
              <w:spacing w:before="0" w:after="1"/>
              <w:ind w:left="0" w:right="0" w:hanging="0"/>
              <w:jc w:val="right"/>
              <w:rPr/>
            </w:pPr>
            <w:r>
              <w:rPr/>
              <w:t>​</w:t>
            </w:r>
          </w:p>
        </w:tc>
        <w:tc>
          <w:tcPr>
            <w:tcW w:w="195"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(36,912)</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 based compensation – restatement (see note 1)</w:t>
            </w:r>
          </w:p>
        </w:tc>
        <w:tc>
          <w:tcPr>
            <w:tcW w:w="326"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right"/>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2,129</w:t>
            </w:r>
          </w:p>
        </w:tc>
        <w:tc>
          <w:tcPr>
            <w:tcW w:w="326" w:type="dxa"/>
            <w:tcBorders/>
            <w:shd w:fill="auto" w:val="clear"/>
            <w:vAlign w:val="center"/>
          </w:tcPr>
          <w:p>
            <w:pPr>
              <w:pStyle w:val="TableContents"/>
              <w:spacing w:before="0" w:after="1"/>
              <w:ind w:left="0" w:right="0" w:hanging="0"/>
              <w:jc w:val="right"/>
              <w:rPr/>
            </w:pPr>
            <w:r>
              <w:rPr/>
              <w:t>​</w:t>
            </w:r>
          </w:p>
        </w:tc>
        <w:tc>
          <w:tcPr>
            <w:tcW w:w="25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(2,129)</w:t>
            </w:r>
          </w:p>
        </w:tc>
        <w:tc>
          <w:tcPr>
            <w:tcW w:w="326" w:type="dxa"/>
            <w:tcBorders/>
            <w:shd w:fill="auto" w:val="clear"/>
            <w:vAlign w:val="center"/>
          </w:tcPr>
          <w:p>
            <w:pPr>
              <w:pStyle w:val="TableContents"/>
              <w:spacing w:before="0" w:after="1"/>
              <w:ind w:left="0" w:right="0" w:hanging="0"/>
              <w:jc w:val="right"/>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9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5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1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9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January 1, 2021, as restated</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33,765</w:t>
            </w:r>
          </w:p>
        </w:tc>
        <w:tc>
          <w:tcPr>
            <w:tcW w:w="326" w:type="dxa"/>
            <w:tcBorders/>
            <w:shd w:fill="CCEEFF" w:val="clear"/>
            <w:vAlign w:val="center"/>
          </w:tcPr>
          <w:p>
            <w:pPr>
              <w:pStyle w:val="TableContents"/>
              <w:spacing w:before="0" w:after="1"/>
              <w:ind w:left="0" w:right="0" w:hanging="0"/>
              <w:jc w:val="right"/>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1"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7,960,458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7,960,458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226" w:type="dxa"/>
            <w:tcBorders/>
            <w:shd w:fill="CCEEFF" w:val="clear"/>
            <w:vAlign w:val="center"/>
          </w:tcPr>
          <w:p>
            <w:pPr>
              <w:pStyle w:val="TableContents"/>
              <w:spacing w:before="0" w:after="1"/>
              <w:ind w:left="0" w:right="0" w:hanging="0"/>
              <w:rPr/>
            </w:pPr>
            <w:r>
              <w:rPr/>
              <w:t> </w:t>
            </w:r>
            <w:r>
              <w:rPr>
                <w:rFonts w:ascii="Times New Roman;Times;serif" w:hAnsi="Times New Roman;Times;serif"/>
                <w:b/>
                <w:sz w:val="12"/>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21,660</w:t>
            </w:r>
          </w:p>
        </w:tc>
        <w:tc>
          <w:tcPr>
            <w:tcW w:w="326" w:type="dxa"/>
            <w:tcBorders/>
            <w:shd w:fill="CCEEFF" w:val="clear"/>
            <w:vAlign w:val="center"/>
          </w:tcPr>
          <w:p>
            <w:pPr>
              <w:pStyle w:val="TableContents"/>
              <w:spacing w:before="0" w:after="1"/>
              <w:ind w:left="0" w:right="0" w:hanging="0"/>
              <w:jc w:val="right"/>
              <w:rPr/>
            </w:pPr>
            <w:r>
              <w:rPr/>
              <w:t>​</w:t>
            </w:r>
          </w:p>
        </w:tc>
        <w:tc>
          <w:tcPr>
            <w:tcW w:w="254" w:type="dxa"/>
            <w:tcBorders/>
            <w:shd w:fill="CCEEFF" w:val="clear"/>
            <w:vAlign w:val="center"/>
          </w:tcPr>
          <w:p>
            <w:pPr>
              <w:pStyle w:val="TableContents"/>
              <w:spacing w:before="0" w:after="1"/>
              <w:ind w:left="0" w:right="0" w:hanging="0"/>
              <w:rPr/>
            </w:pPr>
            <w:r>
              <w:rPr/>
              <w:t> </w:t>
            </w:r>
            <w:r>
              <w:rPr>
                <w:rFonts w:ascii="Times New Roman;Times;serif" w:hAnsi="Times New Roman;Times;serif"/>
                <w:b/>
                <w:sz w:val="12"/>
              </w:rPr>
              <w:t>$</w:t>
            </w:r>
          </w:p>
        </w:tc>
        <w:tc>
          <w:tcPr>
            <w:tcW w:w="542"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(57,720)</w:t>
            </w:r>
          </w:p>
        </w:tc>
        <w:tc>
          <w:tcPr>
            <w:tcW w:w="326"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 </w:t>
            </w:r>
            <w:r>
              <w:rPr>
                <w:rFonts w:ascii="Times New Roman;Times;serif" w:hAnsi="Times New Roman;Times;serif"/>
                <w:b/>
                <w:sz w:val="12"/>
              </w:rPr>
              <w:t>$</w:t>
            </w:r>
          </w:p>
        </w:tc>
        <w:tc>
          <w:tcPr>
            <w:tcW w:w="597"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(1,243)</w:t>
            </w:r>
          </w:p>
        </w:tc>
        <w:tc>
          <w:tcPr>
            <w:tcW w:w="326" w:type="dxa"/>
            <w:tcBorders/>
            <w:shd w:fill="CCEEFF" w:val="clear"/>
            <w:vAlign w:val="center"/>
          </w:tcPr>
          <w:p>
            <w:pPr>
              <w:pStyle w:val="TableContents"/>
              <w:spacing w:before="0" w:after="1"/>
              <w:ind w:left="0" w:right="0" w:hanging="0"/>
              <w:jc w:val="right"/>
              <w:rPr/>
            </w:pPr>
            <w:r>
              <w:rPr/>
              <w:t>​</w:t>
            </w:r>
          </w:p>
        </w:tc>
        <w:tc>
          <w:tcPr>
            <w:tcW w:w="353" w:type="dxa"/>
            <w:tcBorders/>
            <w:shd w:fill="CCEEFF" w:val="clear"/>
            <w:vAlign w:val="center"/>
          </w:tcPr>
          <w:p>
            <w:pPr>
              <w:pStyle w:val="TableContents"/>
              <w:spacing w:before="0" w:after="1"/>
              <w:ind w:left="0" w:right="0" w:hanging="0"/>
              <w:rPr/>
            </w:pPr>
            <w:r>
              <w:rPr/>
              <w:t> </w:t>
            </w:r>
            <w:r>
              <w:rPr>
                <w:rFonts w:ascii="Times New Roman;Times;serif" w:hAnsi="Times New Roman;Times;serif"/>
                <w:b/>
                <w:sz w:val="12"/>
              </w:rPr>
              <w:t>$</w:t>
            </w:r>
          </w:p>
        </w:tc>
        <w:tc>
          <w:tcPr>
            <w:tcW w:w="518"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391</w:t>
            </w:r>
          </w:p>
        </w:tc>
        <w:tc>
          <w:tcPr>
            <w:tcW w:w="326" w:type="dxa"/>
            <w:tcBorders/>
            <w:shd w:fill="CCEEFF" w:val="clear"/>
            <w:vAlign w:val="center"/>
          </w:tcPr>
          <w:p>
            <w:pPr>
              <w:pStyle w:val="TableContents"/>
              <w:spacing w:before="0" w:after="1"/>
              <w:ind w:left="0" w:right="0" w:hanging="0"/>
              <w:jc w:val="right"/>
              <w:rPr/>
            </w:pPr>
            <w:r>
              <w:rPr/>
              <w:t>​</w:t>
            </w:r>
          </w:p>
        </w:tc>
        <w:tc>
          <w:tcPr>
            <w:tcW w:w="195"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(36,912)</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 based compensation</w:t>
            </w:r>
          </w:p>
        </w:tc>
        <w:tc>
          <w:tcPr>
            <w:tcW w:w="326" w:type="dxa"/>
            <w:tcBorders/>
            <w:shd w:fill="auto" w:val="clear"/>
            <w:vAlign w:val="center"/>
          </w:tcPr>
          <w:p>
            <w:pPr>
              <w:pStyle w:val="TableContents"/>
              <w:spacing w:before="0" w:after="1"/>
              <w:ind w:left="0" w:right="0" w:hanging="0"/>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shd w:fill="auto" w:val="clear"/>
            <w:vAlign w:val="center"/>
          </w:tcPr>
          <w:p>
            <w:pPr>
              <w:pStyle w:val="TableContents"/>
              <w:spacing w:before="0" w:after="1"/>
              <w:ind w:left="0" w:right="0" w:hanging="0"/>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 </w:t>
            </w:r>
          </w:p>
        </w:tc>
        <w:tc>
          <w:tcPr>
            <w:tcW w:w="4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797</w:t>
            </w:r>
          </w:p>
        </w:tc>
        <w:tc>
          <w:tcPr>
            <w:tcW w:w="326" w:type="dxa"/>
            <w:tcBorders/>
            <w:shd w:fill="auto" w:val="clear"/>
            <w:vAlign w:val="center"/>
          </w:tcPr>
          <w:p>
            <w:pPr>
              <w:pStyle w:val="TableContents"/>
              <w:spacing w:before="0" w:after="1"/>
              <w:ind w:left="0" w:right="0" w:hanging="0"/>
              <w:jc w:val="right"/>
              <w:rPr/>
            </w:pPr>
            <w:r>
              <w:rPr/>
              <w:t>​</w:t>
            </w:r>
          </w:p>
        </w:tc>
        <w:tc>
          <w:tcPr>
            <w:tcW w:w="254" w:type="dxa"/>
            <w:tcBorders/>
            <w:shd w:fill="auto" w:val="clear"/>
            <w:vAlign w:val="center"/>
          </w:tcPr>
          <w:p>
            <w:pPr>
              <w:pStyle w:val="TableContents"/>
              <w:spacing w:before="0" w:after="1"/>
              <w:ind w:left="0" w:right="0" w:hanging="0"/>
              <w:rPr/>
            </w:pPr>
            <w:r>
              <w:rPr/>
              <w:t> </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19" w:type="dxa"/>
            <w:tcBorders/>
            <w:shd w:fill="auto" w:val="clear"/>
            <w:vAlign w:val="center"/>
          </w:tcPr>
          <w:p>
            <w:pPr>
              <w:pStyle w:val="TableContents"/>
              <w:spacing w:before="0" w:after="1"/>
              <w:ind w:left="0" w:right="0" w:hanging="0"/>
              <w:rPr/>
            </w:pPr>
            <w:r>
              <w:rPr/>
              <w:t> </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53" w:type="dxa"/>
            <w:tcBorders/>
            <w:shd w:fill="auto" w:val="clear"/>
            <w:vAlign w:val="center"/>
          </w:tcPr>
          <w:p>
            <w:pPr>
              <w:pStyle w:val="TableContents"/>
              <w:spacing w:before="0" w:after="1"/>
              <w:ind w:left="0" w:right="0" w:hanging="0"/>
              <w:rPr/>
            </w:pPr>
            <w:r>
              <w:rPr/>
              <w:t> </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95"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797</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Issue of Series B shares, net of issuance costs</w:t>
            </w:r>
          </w:p>
        </w:tc>
        <w:tc>
          <w:tcPr>
            <w:tcW w:w="32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28,957</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121,837</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 </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54" w:type="dxa"/>
            <w:tcBorders/>
            <w:shd w:fill="CCEEFF" w:val="clear"/>
            <w:vAlign w:val="center"/>
          </w:tcPr>
          <w:p>
            <w:pPr>
              <w:pStyle w:val="TableContents"/>
              <w:spacing w:before="0" w:after="1"/>
              <w:ind w:left="0" w:right="0" w:hanging="0"/>
              <w:rPr/>
            </w:pPr>
            <w:r>
              <w:rPr/>
              <w:t> </w:t>
            </w:r>
          </w:p>
        </w:tc>
        <w:tc>
          <w:tcPr>
            <w:tcW w:w="5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 </w:t>
            </w:r>
          </w:p>
        </w:tc>
        <w:tc>
          <w:tcPr>
            <w:tcW w:w="5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53" w:type="dxa"/>
            <w:tcBorders/>
            <w:shd w:fill="CCEEFF" w:val="clear"/>
            <w:vAlign w:val="center"/>
          </w:tcPr>
          <w:p>
            <w:pPr>
              <w:pStyle w:val="TableContents"/>
              <w:spacing w:before="0" w:after="1"/>
              <w:ind w:left="0" w:right="0" w:hanging="0"/>
              <w:rPr/>
            </w:pPr>
            <w:r>
              <w:rPr/>
              <w:t> </w:t>
            </w:r>
          </w:p>
        </w:tc>
        <w:tc>
          <w:tcPr>
            <w:tcW w:w="51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95"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Series B Shares issued on conversion of convertible notes</w:t>
            </w:r>
          </w:p>
        </w:tc>
        <w:tc>
          <w:tcPr>
            <w:tcW w:w="326" w:type="dxa"/>
            <w:tcBorders/>
            <w:shd w:fill="auto" w:val="clear"/>
            <w:vAlign w:val="center"/>
          </w:tcPr>
          <w:p>
            <w:pPr>
              <w:pStyle w:val="TableContents"/>
              <w:spacing w:before="0" w:after="1"/>
              <w:ind w:left="0" w:right="0" w:hanging="0"/>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shd w:fill="auto" w:val="clear"/>
            <w:vAlign w:val="center"/>
          </w:tcPr>
          <w:p>
            <w:pPr>
              <w:pStyle w:val="TableContents"/>
              <w:spacing w:before="0" w:after="1"/>
              <w:ind w:left="0" w:right="0" w:hanging="0"/>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12,421</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53,721</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 </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54" w:type="dxa"/>
            <w:tcBorders/>
            <w:shd w:fill="auto" w:val="clear"/>
            <w:vAlign w:val="center"/>
          </w:tcPr>
          <w:p>
            <w:pPr>
              <w:pStyle w:val="TableContents"/>
              <w:spacing w:before="0" w:after="1"/>
              <w:ind w:left="0" w:right="0" w:hanging="0"/>
              <w:rPr/>
            </w:pPr>
            <w:r>
              <w:rPr/>
              <w:t> </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19" w:type="dxa"/>
            <w:tcBorders/>
            <w:shd w:fill="auto" w:val="clear"/>
            <w:vAlign w:val="center"/>
          </w:tcPr>
          <w:p>
            <w:pPr>
              <w:pStyle w:val="TableContents"/>
              <w:spacing w:before="0" w:after="1"/>
              <w:ind w:left="0" w:right="0" w:hanging="0"/>
              <w:rPr/>
            </w:pPr>
            <w:r>
              <w:rPr/>
              <w:t> </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53" w:type="dxa"/>
            <w:tcBorders/>
            <w:shd w:fill="auto" w:val="clear"/>
            <w:vAlign w:val="center"/>
          </w:tcPr>
          <w:p>
            <w:pPr>
              <w:pStyle w:val="TableContents"/>
              <w:spacing w:before="0" w:after="1"/>
              <w:ind w:left="0" w:right="0" w:hanging="0"/>
              <w:rPr/>
            </w:pPr>
            <w:r>
              <w:rPr/>
              <w:t> </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95"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Issue of Deferred A shares</w:t>
            </w:r>
          </w:p>
        </w:tc>
        <w:tc>
          <w:tcPr>
            <w:tcW w:w="32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(29)</w:t>
            </w:r>
          </w:p>
        </w:tc>
        <w:tc>
          <w:tcPr>
            <w:tcW w:w="326" w:type="dxa"/>
            <w:tcBorders/>
            <w:shd w:fill="CCEEFF" w:val="clear"/>
            <w:vAlign w:val="center"/>
          </w:tcPr>
          <w:p>
            <w:pPr>
              <w:pStyle w:val="TableContents"/>
              <w:spacing w:before="0" w:after="1"/>
              <w:ind w:left="0" w:right="0" w:hanging="0"/>
              <w:jc w:val="right"/>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(57)</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63,443</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c>
          <w:tcPr>
            <w:tcW w:w="326" w:type="dxa"/>
            <w:tcBorders/>
            <w:shd w:fill="CCEEFF" w:val="clear"/>
            <w:vAlign w:val="center"/>
          </w:tcPr>
          <w:p>
            <w:pPr>
              <w:pStyle w:val="TableContents"/>
              <w:spacing w:before="0" w:after="1"/>
              <w:ind w:left="0" w:right="0" w:hanging="0"/>
              <w:jc w:val="right"/>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 </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54" w:type="dxa"/>
            <w:tcBorders/>
            <w:shd w:fill="CCEEFF" w:val="clear"/>
            <w:vAlign w:val="center"/>
          </w:tcPr>
          <w:p>
            <w:pPr>
              <w:pStyle w:val="TableContents"/>
              <w:spacing w:before="0" w:after="1"/>
              <w:ind w:left="0" w:right="0" w:hanging="0"/>
              <w:rPr/>
            </w:pPr>
            <w:r>
              <w:rPr/>
              <w:t> </w:t>
            </w:r>
          </w:p>
        </w:tc>
        <w:tc>
          <w:tcPr>
            <w:tcW w:w="5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 </w:t>
            </w:r>
          </w:p>
        </w:tc>
        <w:tc>
          <w:tcPr>
            <w:tcW w:w="5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53" w:type="dxa"/>
            <w:tcBorders/>
            <w:shd w:fill="CCEEFF" w:val="clear"/>
            <w:vAlign w:val="center"/>
          </w:tcPr>
          <w:p>
            <w:pPr>
              <w:pStyle w:val="TableContents"/>
              <w:spacing w:before="0" w:after="1"/>
              <w:ind w:left="0" w:right="0" w:hanging="0"/>
              <w:rPr/>
            </w:pPr>
            <w:r>
              <w:rPr/>
              <w:t> </w:t>
            </w:r>
          </w:p>
        </w:tc>
        <w:tc>
          <w:tcPr>
            <w:tcW w:w="51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95"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Issue of ordinary shares</w:t>
            </w:r>
          </w:p>
        </w:tc>
        <w:tc>
          <w:tcPr>
            <w:tcW w:w="326" w:type="dxa"/>
            <w:tcBorders/>
            <w:shd w:fill="auto" w:val="clear"/>
            <w:vAlign w:val="center"/>
          </w:tcPr>
          <w:p>
            <w:pPr>
              <w:pStyle w:val="TableContents"/>
              <w:spacing w:before="0" w:after="1"/>
              <w:ind w:left="0" w:right="0" w:hanging="0"/>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shd w:fill="auto" w:val="clear"/>
            <w:vAlign w:val="center"/>
          </w:tcPr>
          <w:p>
            <w:pPr>
              <w:pStyle w:val="TableContents"/>
              <w:spacing w:before="0" w:after="1"/>
              <w:ind w:left="0" w:right="0" w:hanging="0"/>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263,886</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263,886</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226" w:type="dxa"/>
            <w:tcBorders/>
            <w:shd w:fill="auto" w:val="clear"/>
            <w:vAlign w:val="center"/>
          </w:tcPr>
          <w:p>
            <w:pPr>
              <w:pStyle w:val="TableContents"/>
              <w:spacing w:before="0" w:after="1"/>
              <w:ind w:left="0" w:right="0" w:hanging="0"/>
              <w:rPr/>
            </w:pPr>
            <w:r>
              <w:rPr/>
              <w:t> </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54" w:type="dxa"/>
            <w:tcBorders/>
            <w:shd w:fill="auto" w:val="clear"/>
            <w:vAlign w:val="center"/>
          </w:tcPr>
          <w:p>
            <w:pPr>
              <w:pStyle w:val="TableContents"/>
              <w:spacing w:before="0" w:after="1"/>
              <w:ind w:left="0" w:right="0" w:hanging="0"/>
              <w:rPr/>
            </w:pPr>
            <w:r>
              <w:rPr/>
              <w:t> </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19" w:type="dxa"/>
            <w:tcBorders/>
            <w:shd w:fill="auto" w:val="clear"/>
            <w:vAlign w:val="center"/>
          </w:tcPr>
          <w:p>
            <w:pPr>
              <w:pStyle w:val="TableContents"/>
              <w:spacing w:before="0" w:after="1"/>
              <w:ind w:left="0" w:right="0" w:hanging="0"/>
              <w:rPr/>
            </w:pPr>
            <w:r>
              <w:rPr/>
              <w:t> </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53" w:type="dxa"/>
            <w:tcBorders/>
            <w:shd w:fill="auto" w:val="clear"/>
            <w:vAlign w:val="center"/>
          </w:tcPr>
          <w:p>
            <w:pPr>
              <w:pStyle w:val="TableContents"/>
              <w:spacing w:before="0" w:after="1"/>
              <w:ind w:left="0" w:right="0" w:hanging="0"/>
              <w:rPr/>
            </w:pPr>
            <w:r>
              <w:rPr/>
              <w:t> </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95"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196" w:type="dxa"/>
            <w:tcBorders/>
            <w:shd w:fill="auto"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w:t>
            </w:r>
          </w:p>
        </w:tc>
        <w:tc>
          <w:tcPr>
            <w:tcW w:w="32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 </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 </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54" w:type="dxa"/>
            <w:tcBorders/>
            <w:shd w:fill="CCEEFF" w:val="clear"/>
            <w:vAlign w:val="center"/>
          </w:tcPr>
          <w:p>
            <w:pPr>
              <w:pStyle w:val="TableContents"/>
              <w:spacing w:before="0" w:after="1"/>
              <w:ind w:left="0" w:right="0" w:hanging="0"/>
              <w:rPr/>
            </w:pPr>
            <w:r>
              <w:rPr/>
              <w:t> </w:t>
            </w:r>
          </w:p>
        </w:tc>
        <w:tc>
          <w:tcPr>
            <w:tcW w:w="5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 </w:t>
            </w:r>
          </w:p>
        </w:tc>
        <w:tc>
          <w:tcPr>
            <w:tcW w:w="597"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(1,420)</w:t>
            </w:r>
          </w:p>
        </w:tc>
        <w:tc>
          <w:tcPr>
            <w:tcW w:w="326" w:type="dxa"/>
            <w:tcBorders/>
            <w:shd w:fill="CCEEFF" w:val="clear"/>
            <w:vAlign w:val="center"/>
          </w:tcPr>
          <w:p>
            <w:pPr>
              <w:pStyle w:val="TableContents"/>
              <w:spacing w:before="0" w:after="1"/>
              <w:ind w:left="0" w:right="0" w:hanging="0"/>
              <w:jc w:val="right"/>
              <w:rPr/>
            </w:pPr>
            <w:r>
              <w:rPr/>
              <w:t>​</w:t>
            </w:r>
          </w:p>
        </w:tc>
        <w:tc>
          <w:tcPr>
            <w:tcW w:w="353" w:type="dxa"/>
            <w:tcBorders/>
            <w:shd w:fill="CCEEFF" w:val="clear"/>
            <w:vAlign w:val="center"/>
          </w:tcPr>
          <w:p>
            <w:pPr>
              <w:pStyle w:val="TableContents"/>
              <w:spacing w:before="0" w:after="1"/>
              <w:ind w:left="0" w:right="0" w:hanging="0"/>
              <w:rPr/>
            </w:pPr>
            <w:r>
              <w:rPr/>
              <w:t> </w:t>
            </w:r>
          </w:p>
        </w:tc>
        <w:tc>
          <w:tcPr>
            <w:tcW w:w="518"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c>
          <w:tcPr>
            <w:tcW w:w="326" w:type="dxa"/>
            <w:tcBorders/>
            <w:shd w:fill="CCEEFF" w:val="clear"/>
            <w:vAlign w:val="center"/>
          </w:tcPr>
          <w:p>
            <w:pPr>
              <w:pStyle w:val="TableContents"/>
              <w:spacing w:before="0" w:after="1"/>
              <w:ind w:left="0" w:right="0" w:hanging="0"/>
              <w:jc w:val="right"/>
              <w:rPr/>
            </w:pPr>
            <w:r>
              <w:rPr/>
              <w:t>​</w:t>
            </w:r>
          </w:p>
        </w:tc>
        <w:tc>
          <w:tcPr>
            <w:tcW w:w="195"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(1,416)</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right"/>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5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(15,268)</w:t>
            </w:r>
          </w:p>
        </w:tc>
        <w:tc>
          <w:tcPr>
            <w:tcW w:w="326" w:type="dxa"/>
            <w:tcBorders/>
            <w:shd w:fill="auto" w:val="clear"/>
            <w:vAlign w:val="center"/>
          </w:tcPr>
          <w:p>
            <w:pPr>
              <w:pStyle w:val="TableContents"/>
              <w:spacing w:before="0" w:after="1"/>
              <w:ind w:left="0" w:right="0" w:hanging="0"/>
              <w:jc w:val="right"/>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9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35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1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(118)</w:t>
            </w:r>
          </w:p>
        </w:tc>
        <w:tc>
          <w:tcPr>
            <w:tcW w:w="326" w:type="dxa"/>
            <w:tcBorders/>
            <w:shd w:fill="auto" w:val="clear"/>
            <w:vAlign w:val="center"/>
          </w:tcPr>
          <w:p>
            <w:pPr>
              <w:pStyle w:val="TableContents"/>
              <w:spacing w:before="0" w:after="1"/>
              <w:ind w:left="0" w:right="0" w:hanging="0"/>
              <w:jc w:val="right"/>
              <w:rPr/>
            </w:pPr>
            <w:r>
              <w:rPr/>
              <w:t>​</w:t>
            </w:r>
          </w:p>
        </w:tc>
        <w:tc>
          <w:tcPr>
            <w:tcW w:w="19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(15,386)</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March 31, 2021</w:t>
            </w:r>
          </w:p>
        </w:tc>
        <w:tc>
          <w:tcPr>
            <w:tcW w:w="326" w:type="dxa"/>
            <w:tcBorders/>
            <w:shd w:fill="CCEEFF" w:val="clear"/>
            <w:vAlign w:val="center"/>
          </w:tcPr>
          <w:p>
            <w:pPr>
              <w:pStyle w:val="TableContents"/>
              <w:spacing w:before="0" w:after="1"/>
              <w:ind w:left="0" w:right="0" w:hanging="0"/>
              <w:rPr/>
            </w:pPr>
            <w:r>
              <w:rPr/>
              <w:t>​</w:t>
            </w:r>
          </w:p>
        </w:tc>
        <w:tc>
          <w:tcPr>
            <w:tcW w:w="4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33,736</w:t>
            </w:r>
          </w:p>
        </w:tc>
        <w:tc>
          <w:tcPr>
            <w:tcW w:w="326" w:type="dxa"/>
            <w:tcBorders/>
            <w:shd w:fill="CCEEFF" w:val="clear"/>
            <w:vAlign w:val="center"/>
          </w:tcPr>
          <w:p>
            <w:pPr>
              <w:pStyle w:val="TableContents"/>
              <w:spacing w:before="0" w:after="1"/>
              <w:ind w:left="0" w:right="0" w:hanging="0"/>
              <w:jc w:val="right"/>
              <w:rPr/>
            </w:pPr>
            <w:r>
              <w:rPr/>
              <w:t>​</w:t>
            </w:r>
          </w:p>
        </w:tc>
        <w:tc>
          <w:tcPr>
            <w:tcW w:w="4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41,378</w:t>
            </w:r>
          </w:p>
        </w:tc>
        <w:tc>
          <w:tcPr>
            <w:tcW w:w="326" w:type="dxa"/>
            <w:tcBorders/>
            <w:shd w:fill="CCEEFF" w:val="clear"/>
            <w:vAlign w:val="center"/>
          </w:tcPr>
          <w:p>
            <w:pPr>
              <w:pStyle w:val="TableContents"/>
              <w:spacing w:before="0" w:after="1"/>
              <w:ind w:left="0" w:right="0" w:hanging="0"/>
              <w:rPr/>
            </w:pPr>
            <w:r>
              <w:rPr/>
              <w:t>​</w:t>
            </w:r>
          </w:p>
        </w:tc>
        <w:tc>
          <w:tcPr>
            <w:tcW w:w="1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175,501</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6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8,224,344</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63,443</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86</w:t>
            </w:r>
          </w:p>
        </w:tc>
        <w:tc>
          <w:tcPr>
            <w:tcW w:w="326" w:type="dxa"/>
            <w:tcBorders/>
            <w:shd w:fill="CCEEFF" w:val="clear"/>
            <w:vAlign w:val="center"/>
          </w:tcPr>
          <w:p>
            <w:pPr>
              <w:pStyle w:val="TableContents"/>
              <w:spacing w:before="0" w:after="1"/>
              <w:ind w:left="0" w:right="0" w:hanging="0"/>
              <w:jc w:val="right"/>
              <w:rPr/>
            </w:pPr>
            <w:r>
              <w:rPr/>
              <w:t>​</w:t>
            </w:r>
          </w:p>
        </w:tc>
        <w:tc>
          <w:tcPr>
            <w:tcW w:w="49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8,224,344</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2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22,457</w:t>
            </w:r>
          </w:p>
        </w:tc>
        <w:tc>
          <w:tcPr>
            <w:tcW w:w="326" w:type="dxa"/>
            <w:tcBorders/>
            <w:shd w:fill="CCEEFF" w:val="clear"/>
            <w:vAlign w:val="center"/>
          </w:tcPr>
          <w:p>
            <w:pPr>
              <w:pStyle w:val="TableContents"/>
              <w:spacing w:before="0" w:after="1"/>
              <w:ind w:left="0" w:right="0" w:hanging="0"/>
              <w:jc w:val="right"/>
              <w:rPr/>
            </w:pPr>
            <w:r>
              <w:rPr/>
              <w:t>​</w:t>
            </w:r>
          </w:p>
        </w:tc>
        <w:tc>
          <w:tcPr>
            <w:tcW w:w="25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(72,988)</w:t>
            </w:r>
          </w:p>
        </w:tc>
        <w:tc>
          <w:tcPr>
            <w:tcW w:w="326" w:type="dxa"/>
            <w:tcBorders/>
            <w:shd w:fill="CCEEFF" w:val="clear"/>
            <w:vAlign w:val="center"/>
          </w:tcPr>
          <w:p>
            <w:pPr>
              <w:pStyle w:val="TableContents"/>
              <w:spacing w:before="0" w:after="1"/>
              <w:ind w:left="0" w:right="0" w:hanging="0"/>
              <w:jc w:val="right"/>
              <w:rPr/>
            </w:pPr>
            <w:r>
              <w:rPr/>
              <w:t>​</w:t>
            </w:r>
          </w:p>
        </w:tc>
        <w:tc>
          <w:tcPr>
            <w:tcW w:w="31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(2,663)</w:t>
            </w:r>
          </w:p>
        </w:tc>
        <w:tc>
          <w:tcPr>
            <w:tcW w:w="326" w:type="dxa"/>
            <w:tcBorders/>
            <w:shd w:fill="CCEEFF" w:val="clear"/>
            <w:vAlign w:val="center"/>
          </w:tcPr>
          <w:p>
            <w:pPr>
              <w:pStyle w:val="TableContents"/>
              <w:spacing w:before="0" w:after="1"/>
              <w:ind w:left="0" w:right="0" w:hanging="0"/>
              <w:jc w:val="right"/>
              <w:rPr/>
            </w:pPr>
            <w:r>
              <w:rPr/>
              <w:t>​</w:t>
            </w:r>
          </w:p>
        </w:tc>
        <w:tc>
          <w:tcPr>
            <w:tcW w:w="35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1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277</w:t>
            </w:r>
          </w:p>
        </w:tc>
        <w:tc>
          <w:tcPr>
            <w:tcW w:w="326" w:type="dxa"/>
            <w:tcBorders/>
            <w:shd w:fill="CCEEFF" w:val="clear"/>
            <w:vAlign w:val="center"/>
          </w:tcPr>
          <w:p>
            <w:pPr>
              <w:pStyle w:val="TableContents"/>
              <w:spacing w:before="0" w:after="1"/>
              <w:ind w:left="0" w:right="0" w:hanging="0"/>
              <w:jc w:val="right"/>
              <w:rPr/>
            </w:pPr>
            <w:r>
              <w:rPr/>
              <w:t>​</w:t>
            </w:r>
          </w:p>
        </w:tc>
        <w:tc>
          <w:tcPr>
            <w:tcW w:w="19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(52,831)</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 based compensation</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jc w:val="right"/>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8,736</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5"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8,736</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Initial public offering, net of underwriting discounts</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6,500,000</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102,765</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5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5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3" w:type="dxa"/>
            <w:tcBorders/>
            <w:shd w:fill="CCEEFF" w:val="clear"/>
            <w:vAlign w:val="center"/>
          </w:tcPr>
          <w:p>
            <w:pPr>
              <w:pStyle w:val="TableContents"/>
              <w:spacing w:before="0" w:after="1"/>
              <w:ind w:left="0" w:right="0" w:hanging="0"/>
              <w:rPr/>
            </w:pPr>
            <w:r>
              <w:rPr/>
              <w:t>​</w:t>
            </w:r>
          </w:p>
        </w:tc>
        <w:tc>
          <w:tcPr>
            <w:tcW w:w="51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5"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102,765</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Offering Cost</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(2,394)</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5"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(2,394)</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Conversion of Series A shares</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(22,065)</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(33,736)</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6,818,085</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198,585</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6,818,085</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2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33,733</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5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5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3" w:type="dxa"/>
            <w:tcBorders/>
            <w:shd w:fill="CCEEFF" w:val="clear"/>
            <w:vAlign w:val="center"/>
          </w:tcPr>
          <w:p>
            <w:pPr>
              <w:pStyle w:val="TableContents"/>
              <w:spacing w:before="0" w:after="1"/>
              <w:ind w:left="0" w:right="0" w:hanging="0"/>
              <w:rPr/>
            </w:pPr>
            <w:r>
              <w:rPr/>
              <w:t>​</w:t>
            </w:r>
          </w:p>
        </w:tc>
        <w:tc>
          <w:tcPr>
            <w:tcW w:w="51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5"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33,736</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Conversion of Series B shares</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(41,378)</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(175,501)</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12,785,802</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372,402</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12,785,802</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175,496</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5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5"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175,501</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Issue of share to non-controlling interest</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5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5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3" w:type="dxa"/>
            <w:tcBorders/>
            <w:shd w:fill="CCEEFF" w:val="clear"/>
            <w:vAlign w:val="center"/>
          </w:tcPr>
          <w:p>
            <w:pPr>
              <w:pStyle w:val="TableContents"/>
              <w:spacing w:before="0" w:after="1"/>
              <w:ind w:left="0" w:right="0" w:hanging="0"/>
              <w:rPr/>
            </w:pPr>
            <w:r>
              <w:rPr/>
              <w:t>​</w:t>
            </w:r>
          </w:p>
        </w:tc>
        <w:tc>
          <w:tcPr>
            <w:tcW w:w="518"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296</w:t>
            </w:r>
          </w:p>
        </w:tc>
        <w:tc>
          <w:tcPr>
            <w:tcW w:w="326" w:type="dxa"/>
            <w:tcBorders/>
            <w:shd w:fill="CCEEFF" w:val="clear"/>
            <w:vAlign w:val="center"/>
          </w:tcPr>
          <w:p>
            <w:pPr>
              <w:pStyle w:val="TableContents"/>
              <w:spacing w:before="0" w:after="1"/>
              <w:ind w:left="0" w:right="0" w:hanging="0"/>
              <w:rPr/>
            </w:pPr>
            <w:r>
              <w:rPr/>
              <w:t>​</w:t>
            </w:r>
          </w:p>
        </w:tc>
        <w:tc>
          <w:tcPr>
            <w:tcW w:w="195"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296</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5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597"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83</w:t>
            </w:r>
          </w:p>
        </w:tc>
        <w:tc>
          <w:tcPr>
            <w:tcW w:w="326" w:type="dxa"/>
            <w:tcBorders/>
            <w:shd w:fill="auto" w:val="clear"/>
            <w:vAlign w:val="center"/>
          </w:tcPr>
          <w:p>
            <w:pPr>
              <w:pStyle w:val="TableContents"/>
              <w:spacing w:before="0" w:after="1"/>
              <w:ind w:left="0" w:right="0" w:hanging="0"/>
              <w:rPr/>
            </w:pPr>
            <w:r>
              <w:rPr/>
              <w:t>​</w:t>
            </w:r>
          </w:p>
        </w:tc>
        <w:tc>
          <w:tcPr>
            <w:tcW w:w="353" w:type="dxa"/>
            <w:tcBorders/>
            <w:shd w:fill="auto" w:val="clear"/>
            <w:vAlign w:val="center"/>
          </w:tcPr>
          <w:p>
            <w:pPr>
              <w:pStyle w:val="TableContents"/>
              <w:spacing w:before="0" w:after="1"/>
              <w:ind w:left="0" w:right="0" w:hanging="0"/>
              <w:rPr/>
            </w:pPr>
            <w:r>
              <w:rPr/>
              <w:t>​</w:t>
            </w:r>
          </w:p>
        </w:tc>
        <w:tc>
          <w:tcPr>
            <w:tcW w:w="518"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326" w:type="dxa"/>
            <w:tcBorders/>
            <w:shd w:fill="auto" w:val="clear"/>
            <w:vAlign w:val="center"/>
          </w:tcPr>
          <w:p>
            <w:pPr>
              <w:pStyle w:val="TableContents"/>
              <w:spacing w:before="0" w:after="1"/>
              <w:ind w:left="0" w:right="0" w:hanging="0"/>
              <w:rPr/>
            </w:pPr>
            <w:r>
              <w:rPr/>
              <w:t>​</w:t>
            </w:r>
          </w:p>
        </w:tc>
        <w:tc>
          <w:tcPr>
            <w:tcW w:w="195"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c>
          <w:tcPr>
            <w:tcW w:w="196" w:type="dxa"/>
            <w:tcBorders/>
            <w:shd w:fill="auto" w:val="clear"/>
            <w:vAlign w:val="center"/>
          </w:tcPr>
          <w:p>
            <w:pPr>
              <w:pStyle w:val="TableContents"/>
              <w:spacing w:before="0" w:after="1"/>
              <w:ind w:left="0" w:right="0" w:hanging="0"/>
              <w:rPr/>
            </w:pPr>
            <w:r>
              <w:rPr/>
              <w:t>​</w:t>
            </w:r>
          </w:p>
        </w:tc>
      </w:tr>
      <w:tr>
        <w:trPr/>
        <w:tc>
          <w:tcPr>
            <w:tcW w:w="87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(15,927)</w:t>
            </w:r>
          </w:p>
        </w:tc>
        <w:tc>
          <w:tcPr>
            <w:tcW w:w="326" w:type="dxa"/>
            <w:tcBorders/>
            <w:shd w:fill="CCEEFF" w:val="clear"/>
            <w:vAlign w:val="center"/>
          </w:tcPr>
          <w:p>
            <w:pPr>
              <w:pStyle w:val="TableContents"/>
              <w:spacing w:before="0" w:after="1"/>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9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5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(58)</w:t>
            </w:r>
          </w:p>
        </w:tc>
        <w:tc>
          <w:tcPr>
            <w:tcW w:w="326" w:type="dxa"/>
            <w:tcBorders/>
            <w:shd w:fill="CCEEFF" w:val="clear"/>
            <w:vAlign w:val="center"/>
          </w:tcPr>
          <w:p>
            <w:pPr>
              <w:pStyle w:val="TableContents"/>
              <w:spacing w:before="0" w:after="1"/>
              <w:ind w:left="0" w:right="0" w:hanging="0"/>
              <w:rPr/>
            </w:pPr>
            <w:r>
              <w:rPr/>
              <w:t>​</w:t>
            </w:r>
          </w:p>
        </w:tc>
        <w:tc>
          <w:tcPr>
            <w:tcW w:w="19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(15,985)</w:t>
            </w:r>
          </w:p>
        </w:tc>
        <w:tc>
          <w:tcPr>
            <w:tcW w:w="196" w:type="dxa"/>
            <w:tcBorders/>
            <w:shd w:fill="CCEEFF"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June 30, 2021</w:t>
            </w:r>
          </w:p>
        </w:tc>
        <w:tc>
          <w:tcPr>
            <w:tcW w:w="326" w:type="dxa"/>
            <w:tcBorders/>
            <w:shd w:fill="auto" w:val="clear"/>
            <w:vAlign w:val="center"/>
          </w:tcPr>
          <w:p>
            <w:pPr>
              <w:pStyle w:val="TableContents"/>
              <w:spacing w:before="0" w:after="1"/>
              <w:ind w:left="0" w:right="0" w:hanging="0"/>
              <w:rPr/>
            </w:pPr>
            <w:r>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right"/>
              <w:rPr/>
            </w:pPr>
            <w:r>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34,328,231</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63,443</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86</w:t>
            </w:r>
          </w:p>
        </w:tc>
        <w:tc>
          <w:tcPr>
            <w:tcW w:w="326" w:type="dxa"/>
            <w:tcBorders/>
            <w:shd w:fill="auto" w:val="clear"/>
            <w:vAlign w:val="center"/>
          </w:tcPr>
          <w:p>
            <w:pPr>
              <w:pStyle w:val="TableContents"/>
              <w:spacing w:before="0" w:after="1"/>
              <w:ind w:left="0" w:right="0" w:hanging="0"/>
              <w:jc w:val="right"/>
              <w:rPr/>
            </w:pPr>
            <w:r>
              <w:rPr/>
              <w:t>​</w:t>
            </w:r>
          </w:p>
        </w:tc>
        <w:tc>
          <w:tcPr>
            <w:tcW w:w="4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570,987</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w:t>
            </w:r>
          </w:p>
        </w:tc>
        <w:tc>
          <w:tcPr>
            <w:tcW w:w="326" w:type="dxa"/>
            <w:tcBorders/>
            <w:shd w:fill="auto" w:val="clear"/>
            <w:vAlign w:val="center"/>
          </w:tcPr>
          <w:p>
            <w:pPr>
              <w:pStyle w:val="TableContents"/>
              <w:spacing w:before="0" w:after="1"/>
              <w:ind w:left="0" w:right="0" w:hanging="0"/>
              <w:jc w:val="right"/>
              <w:rPr/>
            </w:pPr>
            <w:r>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27,828,231</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22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340,793</w:t>
            </w:r>
          </w:p>
        </w:tc>
        <w:tc>
          <w:tcPr>
            <w:tcW w:w="326" w:type="dxa"/>
            <w:tcBorders/>
            <w:shd w:fill="auto" w:val="clear"/>
            <w:vAlign w:val="center"/>
          </w:tcPr>
          <w:p>
            <w:pPr>
              <w:pStyle w:val="TableContents"/>
              <w:spacing w:before="0" w:after="1"/>
              <w:ind w:left="0" w:right="0" w:hanging="0"/>
              <w:jc w:val="right"/>
              <w:rPr/>
            </w:pPr>
            <w:r>
              <w:rPr/>
              <w:t>​</w:t>
            </w:r>
          </w:p>
        </w:tc>
        <w:tc>
          <w:tcPr>
            <w:tcW w:w="25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(88,915)</w:t>
            </w:r>
          </w:p>
        </w:tc>
        <w:tc>
          <w:tcPr>
            <w:tcW w:w="326" w:type="dxa"/>
            <w:tcBorders/>
            <w:shd w:fill="auto" w:val="clear"/>
            <w:vAlign w:val="center"/>
          </w:tcPr>
          <w:p>
            <w:pPr>
              <w:pStyle w:val="TableContents"/>
              <w:spacing w:before="0" w:after="1"/>
              <w:ind w:left="0" w:right="0" w:hanging="0"/>
              <w:jc w:val="right"/>
              <w:rPr/>
            </w:pPr>
            <w:r>
              <w:rPr/>
              <w:t>​</w:t>
            </w:r>
          </w:p>
        </w:tc>
        <w:tc>
          <w:tcPr>
            <w:tcW w:w="31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(2,580)</w:t>
            </w:r>
          </w:p>
        </w:tc>
        <w:tc>
          <w:tcPr>
            <w:tcW w:w="326" w:type="dxa"/>
            <w:tcBorders/>
            <w:shd w:fill="auto" w:val="clear"/>
            <w:vAlign w:val="center"/>
          </w:tcPr>
          <w:p>
            <w:pPr>
              <w:pStyle w:val="TableContents"/>
              <w:spacing w:before="0" w:after="1"/>
              <w:ind w:left="0" w:right="0" w:hanging="0"/>
              <w:jc w:val="right"/>
              <w:rPr/>
            </w:pPr>
            <w:r>
              <w:rPr/>
              <w:t>​</w:t>
            </w:r>
          </w:p>
        </w:tc>
        <w:tc>
          <w:tcPr>
            <w:tcW w:w="35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1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518</w:t>
            </w:r>
          </w:p>
        </w:tc>
        <w:tc>
          <w:tcPr>
            <w:tcW w:w="326" w:type="dxa"/>
            <w:tcBorders/>
            <w:shd w:fill="auto" w:val="clear"/>
            <w:vAlign w:val="center"/>
          </w:tcPr>
          <w:p>
            <w:pPr>
              <w:pStyle w:val="TableContents"/>
              <w:spacing w:before="0" w:after="1"/>
              <w:ind w:left="0" w:right="0" w:hanging="0"/>
              <w:jc w:val="right"/>
              <w:rPr/>
            </w:pPr>
            <w:r>
              <w:rPr/>
              <w:t>​</w:t>
            </w:r>
          </w:p>
        </w:tc>
        <w:tc>
          <w:tcPr>
            <w:tcW w:w="19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249,911</w:t>
            </w:r>
          </w:p>
        </w:tc>
        <w:tc>
          <w:tcPr>
            <w:tcW w:w="196"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lineRule="auto" w:line="240" w:before="0" w:after="24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Indicates amount less than thousand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REDEEMABLE CONVERTIBLE PREFERRED SHARES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AND SHAREHOLDERS’ EQUITY (DEFICIT)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602" w:name="Tc_5aR1s_EXGUerjnh4fgDTXg_19_45"/>
      <w:bookmarkStart w:id="603" w:name="Tc_gNxBff37oUOU1yCeUh7ywA_19_42"/>
      <w:bookmarkStart w:id="604" w:name="Tc_SOGKk2ujUkigN4uzvxo7eA_19_39"/>
      <w:bookmarkStart w:id="605" w:name="Tc_05B8o8kJGUydDArNOEQOAw_19_36"/>
      <w:bookmarkStart w:id="606" w:name="Tc_cZI7cifE1kGqRw7KwkLsHg_19_33"/>
      <w:bookmarkStart w:id="607" w:name="Tc_02KeaI0CaUupfNOWuldt8A_19_32"/>
      <w:bookmarkStart w:id="608" w:name="Tc_INSUSvMD3Eu7vDTrmVXx7A_19_30"/>
      <w:bookmarkStart w:id="609" w:name="Tc_F2RZZfy2skm1oufejbo53w_19_26"/>
      <w:bookmarkStart w:id="610" w:name="Tc_73nyFdGyz0KjZeETy3XE6g_19_25"/>
      <w:bookmarkStart w:id="611" w:name="Tc_h2Nz06GNckW7STCSbaAjqg_19_23"/>
      <w:bookmarkStart w:id="612" w:name="Tc_5lQBNd4HAUCXVeSv4X0gmA_19_21"/>
      <w:bookmarkStart w:id="613" w:name="Tc_aAFJxDvP70Sk4pL0r7NoTQ_19_20"/>
      <w:bookmarkStart w:id="614" w:name="Tc_i-MihBnh7ka-6WtbM29I3w_19_18"/>
      <w:bookmarkStart w:id="615" w:name="Tc_N1f58Dmc_UGcUK4DUpORxA_19_17"/>
      <w:bookmarkStart w:id="616" w:name="Tc_UQvycN1El0mNFopGWdrGQw_19_15"/>
      <w:bookmarkStart w:id="617" w:name="Tc_VZUfoFtvwUy6KaVAlhNiGw_19_10"/>
      <w:bookmarkStart w:id="618" w:name="Tc_pAtPp0OxHkqDK1213bmo_A_19_9"/>
      <w:bookmarkStart w:id="619" w:name="Tc_eQ1O-LkX1ECCmjfRQd20sw_19_7"/>
      <w:bookmarkStart w:id="620" w:name="Tc_GHZq3nJqn0uhT_YgkRRLXQ_19_4"/>
      <w:bookmarkStart w:id="621" w:name="Tc_wOY6gCPuekCsldyF_eM8gw_19_0"/>
      <w:bookmarkStart w:id="622" w:name="Tc_b-jPHbG6wUGvC8O3vheopQ_18_0"/>
      <w:bookmarkStart w:id="623" w:name="Tc_WdJ8SiY5SEm2aDCdN5bMSA_17_0"/>
      <w:bookmarkStart w:id="624" w:name="Tc_at39hW9df0yjhL5lFaVGzw_16_0"/>
      <w:bookmarkStart w:id="625" w:name="Tc_Wl8rQpx1tESkX4_8vtloLg_15_45"/>
      <w:bookmarkStart w:id="626" w:name="Tc_GC46hwIdc0ue32yPf3Ztwg_15_42"/>
      <w:bookmarkStart w:id="627" w:name="Tc_V2ZFU16Qk0iSzVOmxJFcWQ_15_39"/>
      <w:bookmarkStart w:id="628" w:name="Tc_G_Yf_ec3FUW_Ahn28qKu0Q_15_36"/>
      <w:bookmarkStart w:id="629" w:name="Tc_EmWythS1XUmiQm-IiG6mxw_15_33"/>
      <w:bookmarkStart w:id="630" w:name="Tc_Qqm_3ZAOEUGAG_8gIj3NwA_15_32"/>
      <w:bookmarkStart w:id="631" w:name="Tc_Ehn36Rm5jk-t6IX2VyAF1A_15_30"/>
      <w:bookmarkStart w:id="632" w:name="Tc_TDImtqFsf0-c3PLZknWuSw_15_25"/>
      <w:bookmarkStart w:id="633" w:name="Tc_hedCR9KEuE-__bbD_OHhnw_15_20"/>
      <w:bookmarkStart w:id="634" w:name="Tc_QEF8r6ZuR0eeNcvoRecvag_15_17"/>
      <w:bookmarkStart w:id="635" w:name="Tc_Y_cciDLpdEq_p0E6Jo3Xzw_15_15"/>
      <w:bookmarkStart w:id="636" w:name="Tc_XS0UtbqbCkeC0OD4fVNK4A_15_9"/>
      <w:bookmarkStart w:id="637" w:name="Tc_LgwaflJWLkawptzAcoykYA_15_4"/>
      <w:bookmarkStart w:id="638" w:name="Tc_7LZAdZLReUiAzEzMFVAimg_15_0"/>
      <w:bookmarkStart w:id="639" w:name="Tc_K-OpGqsQx0aut1fRe2OROw_14_0"/>
      <w:bookmarkStart w:id="640" w:name="Tc_YpbLQDDAkkK2Db3LP6qx3w_13_0"/>
      <w:bookmarkStart w:id="641" w:name="Tc_iW9UxypP10y9wkfWQ9eSyg_12_47"/>
      <w:bookmarkStart w:id="642" w:name="Tc_Jv942HUadkONXXZwwaKaag_12_32"/>
      <w:bookmarkStart w:id="643" w:name="Tc_9gX6N4-iw0WcW0ZguBr9Mg_12_17"/>
      <w:bookmarkStart w:id="644" w:name="Tc_OPJx9oO7uk2kZNJzK-bHHA_12_0"/>
      <w:bookmarkStart w:id="645" w:name="Tc_yS9CPdPe8U6dJdP1A8rjQw_11_47"/>
      <w:bookmarkStart w:id="646" w:name="Tc_SrukJCa1HEC1fPA8YWc9Pg_11_32"/>
      <w:bookmarkStart w:id="647" w:name="Tc_1uLXoiLu50qrODOsfNpgmg_11_17"/>
      <w:bookmarkStart w:id="648" w:name="Tc_Qg8qujGIwkqqr6p9M2ElGQ_11_0"/>
      <w:bookmarkStart w:id="649" w:name="Tc_JH-w8vicrUCJBbWIuXMm8Q_10_0"/>
      <w:bookmarkStart w:id="650" w:name="Tc_kNa8tIGPkEuSsWyp2_Il1A_9_45"/>
      <w:bookmarkStart w:id="651" w:name="Tc_DDcGOYuRK0W0VicqyKmy9g_9_42"/>
      <w:bookmarkStart w:id="652" w:name="Tc_Xo1A-wpv-E6iQIaRYIigSg_9_39"/>
      <w:bookmarkStart w:id="653" w:name="Tc_GCklpA952Eu9otcYSngCXw_9_36"/>
      <w:bookmarkStart w:id="654" w:name="Tc_3o_wbiPQkEeujh9cweu4jA_9_33"/>
      <w:bookmarkStart w:id="655" w:name="Tc_ToMSks2gW0CeRBpUZN4Gtw_9_32"/>
      <w:bookmarkStart w:id="656" w:name="Tc_K2WYwOrAcUGfOLOWVKiP6w_9_30"/>
      <w:bookmarkStart w:id="657" w:name="Tc_pFq8SkTB7kKtX5TFXEM8UA_9_26"/>
      <w:bookmarkStart w:id="658" w:name="Tc_XlfJ2zo8uE2eKWcNRDungQ_9_25"/>
      <w:bookmarkStart w:id="659" w:name="Tc_PF99OT5HpkyXumi-Y56dvg_9_23"/>
      <w:bookmarkStart w:id="660" w:name="Tc_wcFIj0PDaE-f9s-umtI3iQ_9_21"/>
      <w:bookmarkStart w:id="661" w:name="Tc_AORIvgMua0igFYUvZeZEYA_9_20"/>
      <w:bookmarkStart w:id="662" w:name="Tc_kzwQSXGdrEKL1r9Yhe_ahw_9_18"/>
      <w:bookmarkStart w:id="663" w:name="Tc_g_kIF0qWEkOXpT_J4brplA_9_17"/>
      <w:bookmarkStart w:id="664" w:name="Tc_0j9SS2J-Mki-hEcFb0Os8g_9_15"/>
      <w:bookmarkStart w:id="665" w:name="Tc_FiAf8-Nf8EijPaeQ7fFO5w_9_10"/>
      <w:bookmarkStart w:id="666" w:name="Tc_BO7RQ5Itj0K8rTv0Ox1jXw_9_9"/>
      <w:bookmarkStart w:id="667" w:name="Tc_Yrkgecg6yEuPXGJyDs1gfQ_9_7"/>
      <w:bookmarkStart w:id="668" w:name="Tc_GkpM_YBcwkiGqN0z82cb5A_9_4"/>
      <w:bookmarkStart w:id="669" w:name="Tc_Hm0z_Afy4E6cDYhgat-kgw_9_0"/>
      <w:bookmarkStart w:id="670" w:name="Tc_JonY4cpnqkKuy22HjNnpRw_8_46"/>
      <w:bookmarkStart w:id="671" w:name="Tc_I9GfJfK0aE6aft5YOr99Ew_8_31"/>
      <w:bookmarkStart w:id="672" w:name="Tc_h8jymwrgaE-dFzfig7y5iQ_8_28"/>
      <w:bookmarkStart w:id="673" w:name="Tc_ErNEGTVS_kKb3LdX4sUuEA_8_26"/>
      <w:bookmarkStart w:id="674" w:name="Tc_25iF3KlD8UueZWIAceGetg_8_23"/>
      <w:bookmarkStart w:id="675" w:name="Tc_X4fI3qyF90O1HrFxaPrF5w_8_21"/>
      <w:bookmarkStart w:id="676" w:name="Tc_fvLHTkqMLkiWIxNxGMWNSA_8_18"/>
      <w:bookmarkStart w:id="677" w:name="Tc_RsfrGWJFIUmMtCPzNWCkLg_8_16"/>
      <w:bookmarkStart w:id="678" w:name="Tc_Pr4TrE3Kx0GF8sibruogtw_8_13"/>
      <w:bookmarkStart w:id="679" w:name="Tc_kEzwtyPBO0GawHJ0OoO9FA_8_10"/>
      <w:bookmarkStart w:id="680" w:name="Tc_JwZNrGC5f0uIbr82tqqgjw_8_7"/>
      <w:bookmarkStart w:id="681" w:name="Tc_CCVc7o69S0eCkdLCiRiOUw_8_5"/>
      <w:bookmarkStart w:id="682" w:name="Tc_Kyf1gzf4a0GYGWUZVnb5BA_8_2"/>
      <w:bookmarkStart w:id="683" w:name="Tc_ixegg6aNaESdc92hBElySg_8_0"/>
      <w:bookmarkStart w:id="684" w:name="Tc_YdbNJ8JZukyQEaR1-WkuKw_7_45"/>
      <w:bookmarkStart w:id="685" w:name="Tc_wSvJtpwq20exPzL49wVElg_7_42"/>
      <w:bookmarkStart w:id="686" w:name="Tc_QnAWkRZYsUaNL9Dfy03v5Q_7_39"/>
      <w:bookmarkStart w:id="687" w:name="Tc_Ad8DKjMn_0efPuKfsNrpTw_7_36"/>
      <w:bookmarkStart w:id="688" w:name="Tc_NFNOT0jPUkCavR4DtFfI1Q_7_33"/>
      <w:bookmarkStart w:id="689" w:name="Tc_UkDNT0RFnEidS9n4xN_CdA_7_32"/>
      <w:bookmarkStart w:id="690" w:name="Tc_W7x5nOs-10-aEjDWx8BpBQ_7_30"/>
      <w:bookmarkStart w:id="691" w:name="Tc_s1CUd4CMCkGBxfjfOtBzBQ_7_25"/>
      <w:bookmarkStart w:id="692" w:name="Tc_SMTGUewyR0-dXwSuQeIvWA_7_20"/>
      <w:bookmarkStart w:id="693" w:name="Tc_qigm205Gn0qt8_NdgKWEzQ_7_17"/>
      <w:bookmarkStart w:id="694" w:name="Tc_oyZmLdtB70ypAzDu3tSfTw_7_15"/>
      <w:bookmarkStart w:id="695" w:name="Tc_oMyt_8WPfU22cpWYTvygfQ_7_9"/>
      <w:bookmarkStart w:id="696" w:name="Tc_gFnYgWKX2kKSlynjMFwy8w_7_4"/>
      <w:bookmarkStart w:id="697" w:name="Tc_AdD7dVlZfUSa4871F_E-TA_7_0"/>
      <w:bookmarkStart w:id="698" w:name="Tc_RaVHa7sOkUSWzUCC_Bpagw_6_45"/>
      <w:bookmarkStart w:id="699" w:name="Tc_Yu-LG8JwUE-hVgQDqxFaNw_6_42"/>
      <w:bookmarkStart w:id="700" w:name="Tc_ZbjQJo32dUWe1Tl7K6qVyw_6_39"/>
      <w:bookmarkStart w:id="701" w:name="Tc_fcIUbv2bWEOVKZ_OLOUEhA_6_36"/>
      <w:bookmarkStart w:id="702" w:name="Tc_lUi-lwHVKk6dGu6YLYiF4A_6_33"/>
      <w:bookmarkStart w:id="703" w:name="Tc_YFgVy3Q940mAYUcr58S45g_6_30"/>
      <w:bookmarkStart w:id="704" w:name="Tc_UTQ491vCukqqrxSB2nQ0SQ_6_28"/>
      <w:bookmarkStart w:id="705" w:name="Tc_tE1dsGcMhUCWlo_MYlMD6w_6_25"/>
      <w:bookmarkStart w:id="706" w:name="Tc_IUGZ4F2lyEee9tse2qtG6Q_6_23"/>
      <w:bookmarkStart w:id="707" w:name="Tc_bvw4ARGPlkqPGbIEUQOusA_6_20"/>
      <w:bookmarkStart w:id="708" w:name="Tc_ReVklQzfO0mQfEDsUg5V_g_6_18"/>
      <w:bookmarkStart w:id="709" w:name="Tc_A4WqBUPVJkqdiN-G-UgCiQ_6_15"/>
      <w:bookmarkStart w:id="710" w:name="Tc_ayGJYc6iY0CVxZcla7x9Jw_6_13"/>
      <w:bookmarkStart w:id="711" w:name="Tc_kIJDePvDV0ONS4Dbp25ZsA_6_9"/>
      <w:bookmarkStart w:id="712" w:name="Tc_MmrKCOOM2UWx7HQaEgGUAw_6_7"/>
      <w:bookmarkStart w:id="713" w:name="Tc_pB46M3dj5E-RhlsuC5Eatw_6_4"/>
      <w:bookmarkStart w:id="714" w:name="Tc_Xdu2BMp1B0aR5jmp7FsQYw_6_2"/>
      <w:bookmarkStart w:id="715" w:name="Tc_fYmuw3b7o0Cm8vDTVmehZg_5_45"/>
      <w:bookmarkStart w:id="716" w:name="Tc_zg-ItJeVS0KME-TWsSQoag_5_42"/>
      <w:bookmarkStart w:id="717" w:name="Tc_XeN4V-0Z1ESEjH_nv-KRmg_5_39"/>
      <w:bookmarkStart w:id="718" w:name="Tc_W9vm8VixpEqRzXoXciN9tQ_5_36"/>
      <w:bookmarkStart w:id="719" w:name="Tc_abcu7KHhBkKb_sK4s8YaPA_5_33"/>
      <w:bookmarkStart w:id="720" w:name="Tc_zV664XfpjkCOZ-QAtGC6nQ_5_28"/>
      <w:bookmarkStart w:id="721" w:name="Tc_gUJTeHd56k-Ao-m0yT4q9Q_5_23"/>
      <w:bookmarkStart w:id="722" w:name="Tc_qjnOnksunUK9KefqR-uKfQ_5_18"/>
      <w:bookmarkStart w:id="723" w:name="Tc_7BZ2zlhVWkWLsUrl8FoElw_5_13"/>
      <w:bookmarkStart w:id="724" w:name="Tc_NKoKeFpfqUG38467v0ioZQ_5_7"/>
      <w:bookmarkStart w:id="725" w:name="Tc_HbP-U2dt8U-VT1vQYVpRWw_5_2"/>
      <w:bookmarkStart w:id="726" w:name="Tc_As-ChXyCjka_f2KCZlqYXQ_4_45"/>
      <w:bookmarkStart w:id="727" w:name="Tc_VW9JkT-h7k2vgfO5TV19aA_4_39"/>
      <w:bookmarkStart w:id="728" w:name="Tc_fKYd8lTtRkS2aB_a_8Wl6A_4_33"/>
      <w:bookmarkStart w:id="729" w:name="Tc_poXGISjOB0GMn3Cq9nW_dw_4_7"/>
      <w:bookmarkStart w:id="730" w:name="Tc_5-STZ_DtY0-bD3PV_CLZHg_4_2"/>
      <w:bookmarkStart w:id="731" w:name="Tc_8XaLUgrIk0CpkMxGX_06lg_3_39"/>
      <w:bookmarkStart w:id="732" w:name="Tc_erZ9-cgda0qh6SBRwLQPKQ_3_7"/>
      <w:bookmarkStart w:id="733" w:name="Tc_N0ZlOQCbAUKJRrpwa0PBqw_3_2"/>
      <w:bookmarkStart w:id="734" w:name="Tc_R5aIDmniGU2bzQVfHAXdlQ_2_7"/>
      <w:bookmarkStart w:id="735" w:name="Tc_9hbeowR5UEqfa_OqGTJCsg_2_2"/>
      <w:bookmarkStart w:id="736" w:name="Tc_RaBsuDxW70ip9i2J7uzQow_1_2"/>
      <w:bookmarkStart w:id="737" w:name="_b2a3128e_bf17_4170_aa62_326ce7a4caad"/>
      <w:bookmarkStart w:id="738" w:name="Tc_5aR1s_EXGUerjnh4fgDTXg_19_45"/>
      <w:bookmarkStart w:id="739" w:name="Tc_gNxBff37oUOU1yCeUh7ywA_19_42"/>
      <w:bookmarkStart w:id="740" w:name="Tc_SOGKk2ujUkigN4uzvxo7eA_19_39"/>
      <w:bookmarkStart w:id="741" w:name="Tc_05B8o8kJGUydDArNOEQOAw_19_36"/>
      <w:bookmarkStart w:id="742" w:name="Tc_cZI7cifE1kGqRw7KwkLsHg_19_33"/>
      <w:bookmarkStart w:id="743" w:name="Tc_02KeaI0CaUupfNOWuldt8A_19_32"/>
      <w:bookmarkStart w:id="744" w:name="Tc_INSUSvMD3Eu7vDTrmVXx7A_19_30"/>
      <w:bookmarkStart w:id="745" w:name="Tc_F2RZZfy2skm1oufejbo53w_19_26"/>
      <w:bookmarkStart w:id="746" w:name="Tc_73nyFdGyz0KjZeETy3XE6g_19_25"/>
      <w:bookmarkStart w:id="747" w:name="Tc_h2Nz06GNckW7STCSbaAjqg_19_23"/>
      <w:bookmarkStart w:id="748" w:name="Tc_5lQBNd4HAUCXVeSv4X0gmA_19_21"/>
      <w:bookmarkStart w:id="749" w:name="Tc_aAFJxDvP70Sk4pL0r7NoTQ_19_20"/>
      <w:bookmarkStart w:id="750" w:name="Tc_i-MihBnh7ka-6WtbM29I3w_19_18"/>
      <w:bookmarkStart w:id="751" w:name="Tc_N1f58Dmc_UGcUK4DUpORxA_19_17"/>
      <w:bookmarkStart w:id="752" w:name="Tc_UQvycN1El0mNFopGWdrGQw_19_15"/>
      <w:bookmarkStart w:id="753" w:name="Tc_VZUfoFtvwUy6KaVAlhNiGw_19_10"/>
      <w:bookmarkStart w:id="754" w:name="Tc_pAtPp0OxHkqDK1213bmo_A_19_9"/>
      <w:bookmarkStart w:id="755" w:name="Tc_eQ1O-LkX1ECCmjfRQd20sw_19_7"/>
      <w:bookmarkStart w:id="756" w:name="Tc_GHZq3nJqn0uhT_YgkRRLXQ_19_4"/>
      <w:bookmarkStart w:id="757" w:name="Tc_wOY6gCPuekCsldyF_eM8gw_19_0"/>
      <w:bookmarkStart w:id="758" w:name="Tc_b-jPHbG6wUGvC8O3vheopQ_18_0"/>
      <w:bookmarkStart w:id="759" w:name="Tc_WdJ8SiY5SEm2aDCdN5bMSA_17_0"/>
      <w:bookmarkStart w:id="760" w:name="Tc_at39hW9df0yjhL5lFaVGzw_16_0"/>
      <w:bookmarkStart w:id="761" w:name="Tc_Wl8rQpx1tESkX4_8vtloLg_15_45"/>
      <w:bookmarkStart w:id="762" w:name="Tc_GC46hwIdc0ue32yPf3Ztwg_15_42"/>
      <w:bookmarkStart w:id="763" w:name="Tc_V2ZFU16Qk0iSzVOmxJFcWQ_15_39"/>
      <w:bookmarkStart w:id="764" w:name="Tc_G_Yf_ec3FUW_Ahn28qKu0Q_15_36"/>
      <w:bookmarkStart w:id="765" w:name="Tc_EmWythS1XUmiQm-IiG6mxw_15_33"/>
      <w:bookmarkStart w:id="766" w:name="Tc_Qqm_3ZAOEUGAG_8gIj3NwA_15_32"/>
      <w:bookmarkStart w:id="767" w:name="Tc_Ehn36Rm5jk-t6IX2VyAF1A_15_30"/>
      <w:bookmarkStart w:id="768" w:name="Tc_TDImtqFsf0-c3PLZknWuSw_15_25"/>
      <w:bookmarkStart w:id="769" w:name="Tc_hedCR9KEuE-__bbD_OHhnw_15_20"/>
      <w:bookmarkStart w:id="770" w:name="Tc_QEF8r6ZuR0eeNcvoRecvag_15_17"/>
      <w:bookmarkStart w:id="771" w:name="Tc_Y_cciDLpdEq_p0E6Jo3Xzw_15_15"/>
      <w:bookmarkStart w:id="772" w:name="Tc_XS0UtbqbCkeC0OD4fVNK4A_15_9"/>
      <w:bookmarkStart w:id="773" w:name="Tc_LgwaflJWLkawptzAcoykYA_15_4"/>
      <w:bookmarkStart w:id="774" w:name="Tc_7LZAdZLReUiAzEzMFVAimg_15_0"/>
      <w:bookmarkStart w:id="775" w:name="Tc_K-OpGqsQx0aut1fRe2OROw_14_0"/>
      <w:bookmarkStart w:id="776" w:name="Tc_YpbLQDDAkkK2Db3LP6qx3w_13_0"/>
      <w:bookmarkStart w:id="777" w:name="Tc_iW9UxypP10y9wkfWQ9eSyg_12_47"/>
      <w:bookmarkStart w:id="778" w:name="Tc_Jv942HUadkONXXZwwaKaag_12_32"/>
      <w:bookmarkStart w:id="779" w:name="Tc_9gX6N4-iw0WcW0ZguBr9Mg_12_17"/>
      <w:bookmarkStart w:id="780" w:name="Tc_OPJx9oO7uk2kZNJzK-bHHA_12_0"/>
      <w:bookmarkStart w:id="781" w:name="Tc_yS9CPdPe8U6dJdP1A8rjQw_11_47"/>
      <w:bookmarkStart w:id="782" w:name="Tc_SrukJCa1HEC1fPA8YWc9Pg_11_32"/>
      <w:bookmarkStart w:id="783" w:name="Tc_1uLXoiLu50qrODOsfNpgmg_11_17"/>
      <w:bookmarkStart w:id="784" w:name="Tc_Qg8qujGIwkqqr6p9M2ElGQ_11_0"/>
      <w:bookmarkStart w:id="785" w:name="Tc_JH-w8vicrUCJBbWIuXMm8Q_10_0"/>
      <w:bookmarkStart w:id="786" w:name="Tc_kNa8tIGPkEuSsWyp2_Il1A_9_45"/>
      <w:bookmarkStart w:id="787" w:name="Tc_DDcGOYuRK0W0VicqyKmy9g_9_42"/>
      <w:bookmarkStart w:id="788" w:name="Tc_Xo1A-wpv-E6iQIaRYIigSg_9_39"/>
      <w:bookmarkStart w:id="789" w:name="Tc_GCklpA952Eu9otcYSngCXw_9_36"/>
      <w:bookmarkStart w:id="790" w:name="Tc_3o_wbiPQkEeujh9cweu4jA_9_33"/>
      <w:bookmarkStart w:id="791" w:name="Tc_ToMSks2gW0CeRBpUZN4Gtw_9_32"/>
      <w:bookmarkStart w:id="792" w:name="Tc_K2WYwOrAcUGfOLOWVKiP6w_9_30"/>
      <w:bookmarkStart w:id="793" w:name="Tc_pFq8SkTB7kKtX5TFXEM8UA_9_26"/>
      <w:bookmarkStart w:id="794" w:name="Tc_XlfJ2zo8uE2eKWcNRDungQ_9_25"/>
      <w:bookmarkStart w:id="795" w:name="Tc_PF99OT5HpkyXumi-Y56dvg_9_23"/>
      <w:bookmarkStart w:id="796" w:name="Tc_wcFIj0PDaE-f9s-umtI3iQ_9_21"/>
      <w:bookmarkStart w:id="797" w:name="Tc_AORIvgMua0igFYUvZeZEYA_9_20"/>
      <w:bookmarkStart w:id="798" w:name="Tc_kzwQSXGdrEKL1r9Yhe_ahw_9_18"/>
      <w:bookmarkStart w:id="799" w:name="Tc_g_kIF0qWEkOXpT_J4brplA_9_17"/>
      <w:bookmarkStart w:id="800" w:name="Tc_0j9SS2J-Mki-hEcFb0Os8g_9_15"/>
      <w:bookmarkStart w:id="801" w:name="Tc_FiAf8-Nf8EijPaeQ7fFO5w_9_10"/>
      <w:bookmarkStart w:id="802" w:name="Tc_BO7RQ5Itj0K8rTv0Ox1jXw_9_9"/>
      <w:bookmarkStart w:id="803" w:name="Tc_Yrkgecg6yEuPXGJyDs1gfQ_9_7"/>
      <w:bookmarkStart w:id="804" w:name="Tc_GkpM_YBcwkiGqN0z82cb5A_9_4"/>
      <w:bookmarkStart w:id="805" w:name="Tc_Hm0z_Afy4E6cDYhgat-kgw_9_0"/>
      <w:bookmarkStart w:id="806" w:name="Tc_JonY4cpnqkKuy22HjNnpRw_8_46"/>
      <w:bookmarkStart w:id="807" w:name="Tc_I9GfJfK0aE6aft5YOr99Ew_8_31"/>
      <w:bookmarkStart w:id="808" w:name="Tc_h8jymwrgaE-dFzfig7y5iQ_8_28"/>
      <w:bookmarkStart w:id="809" w:name="Tc_ErNEGTVS_kKb3LdX4sUuEA_8_26"/>
      <w:bookmarkStart w:id="810" w:name="Tc_25iF3KlD8UueZWIAceGetg_8_23"/>
      <w:bookmarkStart w:id="811" w:name="Tc_X4fI3qyF90O1HrFxaPrF5w_8_21"/>
      <w:bookmarkStart w:id="812" w:name="Tc_fvLHTkqMLkiWIxNxGMWNSA_8_18"/>
      <w:bookmarkStart w:id="813" w:name="Tc_RsfrGWJFIUmMtCPzNWCkLg_8_16"/>
      <w:bookmarkStart w:id="814" w:name="Tc_Pr4TrE3Kx0GF8sibruogtw_8_13"/>
      <w:bookmarkStart w:id="815" w:name="Tc_kEzwtyPBO0GawHJ0OoO9FA_8_10"/>
      <w:bookmarkStart w:id="816" w:name="Tc_JwZNrGC5f0uIbr82tqqgjw_8_7"/>
      <w:bookmarkStart w:id="817" w:name="Tc_CCVc7o69S0eCkdLCiRiOUw_8_5"/>
      <w:bookmarkStart w:id="818" w:name="Tc_Kyf1gzf4a0GYGWUZVnb5BA_8_2"/>
      <w:bookmarkStart w:id="819" w:name="Tc_ixegg6aNaESdc92hBElySg_8_0"/>
      <w:bookmarkStart w:id="820" w:name="Tc_YdbNJ8JZukyQEaR1-WkuKw_7_45"/>
      <w:bookmarkStart w:id="821" w:name="Tc_wSvJtpwq20exPzL49wVElg_7_42"/>
      <w:bookmarkStart w:id="822" w:name="Tc_QnAWkRZYsUaNL9Dfy03v5Q_7_39"/>
      <w:bookmarkStart w:id="823" w:name="Tc_Ad8DKjMn_0efPuKfsNrpTw_7_36"/>
      <w:bookmarkStart w:id="824" w:name="Tc_NFNOT0jPUkCavR4DtFfI1Q_7_33"/>
      <w:bookmarkStart w:id="825" w:name="Tc_UkDNT0RFnEidS9n4xN_CdA_7_32"/>
      <w:bookmarkStart w:id="826" w:name="Tc_W7x5nOs-10-aEjDWx8BpBQ_7_30"/>
      <w:bookmarkStart w:id="827" w:name="Tc_s1CUd4CMCkGBxfjfOtBzBQ_7_25"/>
      <w:bookmarkStart w:id="828" w:name="Tc_SMTGUewyR0-dXwSuQeIvWA_7_20"/>
      <w:bookmarkStart w:id="829" w:name="Tc_qigm205Gn0qt8_NdgKWEzQ_7_17"/>
      <w:bookmarkStart w:id="830" w:name="Tc_oyZmLdtB70ypAzDu3tSfTw_7_15"/>
      <w:bookmarkStart w:id="831" w:name="Tc_oMyt_8WPfU22cpWYTvygfQ_7_9"/>
      <w:bookmarkStart w:id="832" w:name="Tc_gFnYgWKX2kKSlynjMFwy8w_7_4"/>
      <w:bookmarkStart w:id="833" w:name="Tc_AdD7dVlZfUSa4871F_E-TA_7_0"/>
      <w:bookmarkStart w:id="834" w:name="Tc_RaVHa7sOkUSWzUCC_Bpagw_6_45"/>
      <w:bookmarkStart w:id="835" w:name="Tc_Yu-LG8JwUE-hVgQDqxFaNw_6_42"/>
      <w:bookmarkStart w:id="836" w:name="Tc_ZbjQJo32dUWe1Tl7K6qVyw_6_39"/>
      <w:bookmarkStart w:id="837" w:name="Tc_fcIUbv2bWEOVKZ_OLOUEhA_6_36"/>
      <w:bookmarkStart w:id="838" w:name="Tc_lUi-lwHVKk6dGu6YLYiF4A_6_33"/>
      <w:bookmarkStart w:id="839" w:name="Tc_YFgVy3Q940mAYUcr58S45g_6_30"/>
      <w:bookmarkStart w:id="840" w:name="Tc_UTQ491vCukqqrxSB2nQ0SQ_6_28"/>
      <w:bookmarkStart w:id="841" w:name="Tc_tE1dsGcMhUCWlo_MYlMD6w_6_25"/>
      <w:bookmarkStart w:id="842" w:name="Tc_IUGZ4F2lyEee9tse2qtG6Q_6_23"/>
      <w:bookmarkStart w:id="843" w:name="Tc_bvw4ARGPlkqPGbIEUQOusA_6_20"/>
      <w:bookmarkStart w:id="844" w:name="Tc_ReVklQzfO0mQfEDsUg5V_g_6_18"/>
      <w:bookmarkStart w:id="845" w:name="Tc_A4WqBUPVJkqdiN-G-UgCiQ_6_15"/>
      <w:bookmarkStart w:id="846" w:name="Tc_ayGJYc6iY0CVxZcla7x9Jw_6_13"/>
      <w:bookmarkStart w:id="847" w:name="Tc_kIJDePvDV0ONS4Dbp25ZsA_6_9"/>
      <w:bookmarkStart w:id="848" w:name="Tc_MmrKCOOM2UWx7HQaEgGUAw_6_7"/>
      <w:bookmarkStart w:id="849" w:name="Tc_pB46M3dj5E-RhlsuC5Eatw_6_4"/>
      <w:bookmarkStart w:id="850" w:name="Tc_Xdu2BMp1B0aR5jmp7FsQYw_6_2"/>
      <w:bookmarkStart w:id="851" w:name="Tc_fYmuw3b7o0Cm8vDTVmehZg_5_45"/>
      <w:bookmarkStart w:id="852" w:name="Tc_zg-ItJeVS0KME-TWsSQoag_5_42"/>
      <w:bookmarkStart w:id="853" w:name="Tc_XeN4V-0Z1ESEjH_nv-KRmg_5_39"/>
      <w:bookmarkStart w:id="854" w:name="Tc_W9vm8VixpEqRzXoXciN9tQ_5_36"/>
      <w:bookmarkStart w:id="855" w:name="Tc_abcu7KHhBkKb_sK4s8YaPA_5_33"/>
      <w:bookmarkStart w:id="856" w:name="Tc_zV664XfpjkCOZ-QAtGC6nQ_5_28"/>
      <w:bookmarkStart w:id="857" w:name="Tc_gUJTeHd56k-Ao-m0yT4q9Q_5_23"/>
      <w:bookmarkStart w:id="858" w:name="Tc_qjnOnksunUK9KefqR-uKfQ_5_18"/>
      <w:bookmarkStart w:id="859" w:name="Tc_7BZ2zlhVWkWLsUrl8FoElw_5_13"/>
      <w:bookmarkStart w:id="860" w:name="Tc_NKoKeFpfqUG38467v0ioZQ_5_7"/>
      <w:bookmarkStart w:id="861" w:name="Tc_HbP-U2dt8U-VT1vQYVpRWw_5_2"/>
      <w:bookmarkStart w:id="862" w:name="Tc_As-ChXyCjka_f2KCZlqYXQ_4_45"/>
      <w:bookmarkStart w:id="863" w:name="Tc_VW9JkT-h7k2vgfO5TV19aA_4_39"/>
      <w:bookmarkStart w:id="864" w:name="Tc_fKYd8lTtRkS2aB_a_8Wl6A_4_33"/>
      <w:bookmarkStart w:id="865" w:name="Tc_poXGISjOB0GMn3Cq9nW_dw_4_7"/>
      <w:bookmarkStart w:id="866" w:name="Tc_5-STZ_DtY0-bD3PV_CLZHg_4_2"/>
      <w:bookmarkStart w:id="867" w:name="Tc_8XaLUgrIk0CpkMxGX_06lg_3_39"/>
      <w:bookmarkStart w:id="868" w:name="Tc_erZ9-cgda0qh6SBRwLQPKQ_3_7"/>
      <w:bookmarkStart w:id="869" w:name="Tc_N0ZlOQCbAUKJRrpwa0PBqw_3_2"/>
      <w:bookmarkStart w:id="870" w:name="Tc_R5aIDmniGU2bzQVfHAXdlQ_2_7"/>
      <w:bookmarkStart w:id="871" w:name="Tc_9hbeowR5UEqfa_OqGTJCsg_2_2"/>
      <w:bookmarkStart w:id="872" w:name="Tc_RaBsuDxW70ip9i2J7uzQow_1_2"/>
      <w:bookmarkStart w:id="873" w:name="_b2a3128e_bf17_4170_aa62_326ce7a4caad"/>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tbl>
      <w:tblPr>
        <w:tblW w:w="16763" w:type="dxa"/>
        <w:jc w:val="left"/>
        <w:tblInd w:w="0" w:type="dxa"/>
        <w:tblCellMar>
          <w:top w:w="0" w:type="dxa"/>
          <w:left w:w="0" w:type="dxa"/>
          <w:bottom w:w="0" w:type="dxa"/>
          <w:right w:w="0" w:type="dxa"/>
        </w:tblCellMar>
      </w:tblPr>
      <w:tblGrid>
        <w:gridCol w:w="796"/>
        <w:gridCol w:w="326"/>
        <w:gridCol w:w="451"/>
        <w:gridCol w:w="326"/>
        <w:gridCol w:w="166"/>
        <w:gridCol w:w="436"/>
        <w:gridCol w:w="326"/>
        <w:gridCol w:w="451"/>
        <w:gridCol w:w="326"/>
        <w:gridCol w:w="170"/>
        <w:gridCol w:w="356"/>
        <w:gridCol w:w="146"/>
        <w:gridCol w:w="206"/>
        <w:gridCol w:w="586"/>
        <w:gridCol w:w="326"/>
        <w:gridCol w:w="170"/>
        <w:gridCol w:w="356"/>
        <w:gridCol w:w="326"/>
        <w:gridCol w:w="451"/>
        <w:gridCol w:w="326"/>
        <w:gridCol w:w="170"/>
        <w:gridCol w:w="356"/>
        <w:gridCol w:w="326"/>
        <w:gridCol w:w="451"/>
        <w:gridCol w:w="326"/>
        <w:gridCol w:w="170"/>
        <w:gridCol w:w="356"/>
        <w:gridCol w:w="326"/>
        <w:gridCol w:w="586"/>
        <w:gridCol w:w="326"/>
        <w:gridCol w:w="170"/>
        <w:gridCol w:w="356"/>
        <w:gridCol w:w="326"/>
        <w:gridCol w:w="173"/>
        <w:gridCol w:w="458"/>
        <w:gridCol w:w="326"/>
        <w:gridCol w:w="204"/>
        <w:gridCol w:w="592"/>
        <w:gridCol w:w="326"/>
        <w:gridCol w:w="258"/>
        <w:gridCol w:w="658"/>
        <w:gridCol w:w="326"/>
        <w:gridCol w:w="290"/>
        <w:gridCol w:w="581"/>
        <w:gridCol w:w="326"/>
        <w:gridCol w:w="200"/>
        <w:gridCol w:w="581"/>
        <w:gridCol w:w="196"/>
      </w:tblGrid>
      <w:tr>
        <w:trPr/>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5460" cy="175260"/>
                      <wp:effectExtent l="0" t="0" r="0" b="0"/>
                      <wp:wrapNone/>
                      <wp:docPr id="75" name="Frame7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86385" cy="175260"/>
                      <wp:effectExtent l="0" t="0" r="0" b="0"/>
                      <wp:wrapNone/>
                      <wp:docPr id="77" name="Frame77"/>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05410" cy="175260"/>
                      <wp:effectExtent l="0" t="0" r="0" b="0"/>
                      <wp:wrapNone/>
                      <wp:docPr id="79" name="Frame79"/>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76860" cy="175260"/>
                      <wp:effectExtent l="0" t="0" r="0" b="0"/>
                      <wp:wrapNone/>
                      <wp:docPr id="80" name="Frame80"/>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6385" cy="175260"/>
                      <wp:effectExtent l="0" t="0" r="0" b="0"/>
                      <wp:wrapNone/>
                      <wp:docPr id="82" name="Frame82"/>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7950" cy="175260"/>
                      <wp:effectExtent l="0" t="0" r="0" b="0"/>
                      <wp:wrapNone/>
                      <wp:docPr id="84" name="Frame84"/>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060" cy="175260"/>
                      <wp:effectExtent l="0" t="0" r="0" b="0"/>
                      <wp:wrapNone/>
                      <wp:docPr id="85" name="Frame85"/>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2710" cy="175260"/>
                      <wp:effectExtent l="0" t="0" r="0" b="0"/>
                      <wp:wrapNone/>
                      <wp:docPr id="86" name="Frame8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0810" cy="175260"/>
                      <wp:effectExtent l="0" t="0" r="0" b="0"/>
                      <wp:wrapNone/>
                      <wp:docPr id="87" name="Frame8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72110" cy="175260"/>
                      <wp:effectExtent l="0" t="0" r="0" b="0"/>
                      <wp:wrapNone/>
                      <wp:docPr id="88" name="Frame8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07950" cy="175260"/>
                      <wp:effectExtent l="0" t="0" r="0" b="0"/>
                      <wp:wrapNone/>
                      <wp:docPr id="90" name="Frame90"/>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6060" cy="175260"/>
                      <wp:effectExtent l="0" t="0" r="0" b="0"/>
                      <wp:wrapNone/>
                      <wp:docPr id="91" name="Frame91"/>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86385" cy="175260"/>
                      <wp:effectExtent l="0" t="0" r="0" b="0"/>
                      <wp:wrapNone/>
                      <wp:docPr id="93" name="Frame93"/>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07950" cy="175260"/>
                      <wp:effectExtent l="0" t="0" r="0" b="0"/>
                      <wp:wrapNone/>
                      <wp:docPr id="95" name="Frame95"/>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6060" cy="175260"/>
                      <wp:effectExtent l="0" t="0" r="0" b="0"/>
                      <wp:wrapNone/>
                      <wp:docPr id="96" name="Frame96"/>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86385" cy="175260"/>
                      <wp:effectExtent l="0" t="0" r="0" b="0"/>
                      <wp:wrapNone/>
                      <wp:docPr id="98" name="Frame98"/>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7950" cy="175260"/>
                      <wp:effectExtent l="0" t="0" r="0" b="0"/>
                      <wp:wrapNone/>
                      <wp:docPr id="100" name="Frame100"/>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6060" cy="175260"/>
                      <wp:effectExtent l="0" t="0" r="0" b="0"/>
                      <wp:wrapNone/>
                      <wp:docPr id="101" name="Frame101"/>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72110" cy="175260"/>
                      <wp:effectExtent l="0" t="0" r="0" b="0"/>
                      <wp:wrapNone/>
                      <wp:docPr id="103" name="Frame10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7950" cy="175260"/>
                      <wp:effectExtent l="0" t="0" r="0" b="0"/>
                      <wp:wrapNone/>
                      <wp:docPr id="105" name="Frame105"/>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6060" cy="175260"/>
                      <wp:effectExtent l="0" t="0" r="0" b="0"/>
                      <wp:wrapNone/>
                      <wp:docPr id="106" name="Frame106"/>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9855" cy="175260"/>
                      <wp:effectExtent l="0" t="0" r="0" b="0"/>
                      <wp:wrapNone/>
                      <wp:docPr id="108" name="Frame108"/>
                      <a:graphic xmlns:a="http://schemas.openxmlformats.org/drawingml/2006/main">
                        <a:graphicData uri="http://schemas.microsoft.com/office/word/2010/wordprocessingShape">
                          <wps:wsp>
                            <wps:cNvSpPr txBox="1"/>
                            <wps:spPr>
                              <a:xfrm>
                                <a:off x="0" y="0"/>
                                <a:ext cx="109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90830" cy="175260"/>
                      <wp:effectExtent l="0" t="0" r="0" b="0"/>
                      <wp:wrapNone/>
                      <wp:docPr id="109" name="Frame109"/>
                      <a:graphic xmlns:a="http://schemas.openxmlformats.org/drawingml/2006/main">
                        <a:graphicData uri="http://schemas.microsoft.com/office/word/2010/wordprocessingShape">
                          <wps:wsp>
                            <wps:cNvSpPr txBox="1"/>
                            <wps:spPr>
                              <a:xfrm>
                                <a:off x="0" y="0"/>
                                <a:ext cx="290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9540" cy="175260"/>
                      <wp:effectExtent l="0" t="0" r="0" b="0"/>
                      <wp:wrapNone/>
                      <wp:docPr id="111" name="Frame111"/>
                      <a:graphic xmlns:a="http://schemas.openxmlformats.org/drawingml/2006/main">
                        <a:graphicData uri="http://schemas.microsoft.com/office/word/2010/wordprocessingShape">
                          <wps:wsp>
                            <wps:cNvSpPr txBox="1"/>
                            <wps:spPr>
                              <a:xfrm>
                                <a:off x="0" y="0"/>
                                <a:ext cx="129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75920" cy="175260"/>
                      <wp:effectExtent l="0" t="0" r="0" b="0"/>
                      <wp:wrapNone/>
                      <wp:docPr id="112" name="Frame112"/>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63830" cy="175260"/>
                      <wp:effectExtent l="0" t="0" r="0" b="0"/>
                      <wp:wrapNone/>
                      <wp:docPr id="114" name="Frame114"/>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7830" cy="175260"/>
                      <wp:effectExtent l="0" t="0" r="0" b="0"/>
                      <wp:wrapNone/>
                      <wp:docPr id="115" name="Frame115"/>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4150" cy="175260"/>
                      <wp:effectExtent l="0" t="0" r="0" b="0"/>
                      <wp:wrapNone/>
                      <wp:docPr id="117" name="Frame117"/>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8935" cy="175260"/>
                      <wp:effectExtent l="0" t="0" r="0" b="0"/>
                      <wp:wrapNone/>
                      <wp:docPr id="118" name="Frame118"/>
                      <a:graphic xmlns:a="http://schemas.openxmlformats.org/drawingml/2006/main">
                        <a:graphicData uri="http://schemas.microsoft.com/office/word/2010/wordprocessingShape">
                          <wps:wsp>
                            <wps:cNvSpPr txBox="1"/>
                            <wps:spPr>
                              <a:xfrm>
                                <a:off x="0" y="0"/>
                                <a:ext cx="368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7000" cy="175260"/>
                      <wp:effectExtent l="0" t="0" r="0" b="0"/>
                      <wp:wrapNone/>
                      <wp:docPr id="120" name="Frame120"/>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8935" cy="175260"/>
                      <wp:effectExtent l="0" t="0" r="0" b="0"/>
                      <wp:wrapNone/>
                      <wp:docPr id="121" name="Frame121"/>
                      <a:graphic xmlns:a="http://schemas.openxmlformats.org/drawingml/2006/main">
                        <a:graphicData uri="http://schemas.microsoft.com/office/word/2010/wordprocessingShape">
                          <wps:wsp>
                            <wps:cNvSpPr txBox="1"/>
                            <wps:spPr>
                              <a:xfrm>
                                <a:off x="0" y="0"/>
                                <a:ext cx="368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4460" cy="175260"/>
                      <wp:effectExtent l="0" t="0" r="0" b="0"/>
                      <wp:wrapNone/>
                      <wp:docPr id="122" name="Frame12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445" w:type="dxa"/>
            <w:gridSpan w:val="4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2020</w:t>
            </w:r>
          </w:p>
        </w:tc>
        <w:tc>
          <w:tcPr>
            <w:tcW w:w="196" w:type="dxa"/>
            <w:tcBorders/>
            <w:shd w:fill="auto" w:val="clear"/>
            <w:vAlign w:val="center"/>
          </w:tcPr>
          <w:p>
            <w:pPr>
              <w:pStyle w:val="TableContents"/>
              <w:spacing w:before="0" w:after="1"/>
              <w:ind w:left="0" w:right="0" w:hanging="0"/>
              <w:rPr/>
            </w:pPr>
            <w:r>
              <w:rPr/>
              <w:t> </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79"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A</w:t>
            </w:r>
          </w:p>
        </w:tc>
        <w:tc>
          <w:tcPr>
            <w:tcW w:w="326" w:type="dxa"/>
            <w:tcBorders/>
            <w:shd w:fill="auto" w:val="clear"/>
            <w:vAlign w:val="center"/>
          </w:tcPr>
          <w:p>
            <w:pPr>
              <w:pStyle w:val="TableContents"/>
              <w:spacing w:before="0" w:after="1"/>
              <w:ind w:left="0" w:right="0" w:hanging="0"/>
              <w:jc w:val="center"/>
              <w:rPr/>
            </w:pPr>
            <w:r>
              <w:rPr/>
              <w:t>​</w:t>
            </w:r>
          </w:p>
        </w:tc>
        <w:tc>
          <w:tcPr>
            <w:tcW w:w="13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B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3" w:type="dxa"/>
            <w:tcBorders/>
            <w:shd w:fill="auto" w:val="clear"/>
            <w:vAlign w:val="center"/>
          </w:tcPr>
          <w:p>
            <w:pPr>
              <w:pStyle w:val="TableContents"/>
              <w:spacing w:before="0" w:after="1"/>
              <w:ind w:left="0" w:right="0" w:hanging="0"/>
              <w:rPr/>
            </w:pPr>
            <w:r>
              <w:rPr/>
              <w:t>​</w:t>
            </w:r>
          </w:p>
        </w:tc>
        <w:tc>
          <w:tcPr>
            <w:tcW w:w="45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4"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8"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9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 </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79"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Redeemable</w:t>
            </w:r>
          </w:p>
        </w:tc>
        <w:tc>
          <w:tcPr>
            <w:tcW w:w="326" w:type="dxa"/>
            <w:tcBorders/>
            <w:shd w:fill="auto" w:val="clear"/>
            <w:vAlign w:val="center"/>
          </w:tcPr>
          <w:p>
            <w:pPr>
              <w:pStyle w:val="TableContents"/>
              <w:spacing w:before="0" w:after="1"/>
              <w:ind w:left="0" w:right="0" w:hanging="0"/>
              <w:jc w:val="center"/>
              <w:rPr/>
            </w:pPr>
            <w:r>
              <w:rPr/>
              <w:t>​</w:t>
            </w:r>
          </w:p>
        </w:tc>
        <w:tc>
          <w:tcPr>
            <w:tcW w:w="13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Redeemable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3" w:type="dxa"/>
            <w:tcBorders/>
            <w:shd w:fill="auto" w:val="clear"/>
            <w:vAlign w:val="center"/>
          </w:tcPr>
          <w:p>
            <w:pPr>
              <w:pStyle w:val="TableContents"/>
              <w:spacing w:before="0" w:after="1"/>
              <w:ind w:left="0" w:right="0" w:hanging="0"/>
              <w:rPr/>
            </w:pPr>
            <w:r>
              <w:rPr/>
              <w:t>​</w:t>
            </w:r>
          </w:p>
        </w:tc>
        <w:tc>
          <w:tcPr>
            <w:tcW w:w="45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4"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29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 </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79"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Convertible Preferred</w:t>
            </w:r>
          </w:p>
        </w:tc>
        <w:tc>
          <w:tcPr>
            <w:tcW w:w="326" w:type="dxa"/>
            <w:tcBorders/>
            <w:shd w:fill="auto" w:val="clear"/>
            <w:vAlign w:val="center"/>
          </w:tcPr>
          <w:p>
            <w:pPr>
              <w:pStyle w:val="TableContents"/>
              <w:spacing w:before="0" w:after="1"/>
              <w:ind w:left="0" w:right="0" w:hanging="0"/>
              <w:jc w:val="center"/>
              <w:rPr/>
            </w:pPr>
            <w:r>
              <w:rPr/>
              <w:t>​</w:t>
            </w:r>
          </w:p>
        </w:tc>
        <w:tc>
          <w:tcPr>
            <w:tcW w:w="13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26" w:type="dxa"/>
            <w:tcBorders/>
            <w:shd w:fill="auto" w:val="clear"/>
            <w:vAlign w:val="center"/>
          </w:tcPr>
          <w:p>
            <w:pPr>
              <w:pStyle w:val="TableContents"/>
              <w:spacing w:before="0" w:after="1"/>
              <w:ind w:left="0" w:right="0" w:hanging="0"/>
              <w:jc w:val="center"/>
              <w:rPr/>
            </w:pPr>
            <w:r>
              <w:rPr/>
              <w:t>​</w:t>
            </w:r>
          </w:p>
        </w:tc>
        <w:tc>
          <w:tcPr>
            <w:tcW w:w="204"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26" w:type="dxa"/>
            <w:tcBorders/>
            <w:shd w:fill="auto" w:val="clear"/>
            <w:vAlign w:val="center"/>
          </w:tcPr>
          <w:p>
            <w:pPr>
              <w:pStyle w:val="TableContents"/>
              <w:spacing w:before="0" w:after="1"/>
              <w:ind w:left="0" w:right="0" w:hanging="0"/>
              <w:jc w:val="center"/>
              <w:rPr/>
            </w:pPr>
            <w:r>
              <w:rPr/>
              <w:t>​</w:t>
            </w:r>
          </w:p>
        </w:tc>
        <w:tc>
          <w:tcPr>
            <w:tcW w:w="29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196" w:type="dxa"/>
            <w:tcBorders/>
            <w:shd w:fill="auto" w:val="clear"/>
            <w:vAlign w:val="center"/>
          </w:tcPr>
          <w:p>
            <w:pPr>
              <w:pStyle w:val="TableContents"/>
              <w:spacing w:before="0" w:after="1"/>
              <w:ind w:left="0" w:right="0" w:hanging="0"/>
              <w:rPr/>
            </w:pPr>
            <w:r>
              <w:rPr/>
              <w:t> </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7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13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143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1"/>
              <w:ind w:left="0" w:right="0" w:hanging="0"/>
              <w:rPr/>
            </w:pPr>
            <w:r>
              <w:rPr/>
              <w:t>​</w:t>
            </w:r>
          </w:p>
        </w:tc>
        <w:tc>
          <w:tcPr>
            <w:tcW w:w="13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A Shares</w:t>
            </w:r>
          </w:p>
        </w:tc>
        <w:tc>
          <w:tcPr>
            <w:tcW w:w="326" w:type="dxa"/>
            <w:tcBorders/>
            <w:shd w:fill="auto" w:val="clear"/>
            <w:vAlign w:val="center"/>
          </w:tcPr>
          <w:p>
            <w:pPr>
              <w:pStyle w:val="TableContents"/>
              <w:spacing w:before="0" w:after="1"/>
              <w:ind w:left="0" w:right="0" w:hanging="0"/>
              <w:jc w:val="center"/>
              <w:rPr/>
            </w:pPr>
            <w:r>
              <w:rPr/>
              <w:t>​</w:t>
            </w:r>
          </w:p>
        </w:tc>
        <w:tc>
          <w:tcPr>
            <w:tcW w:w="13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B Shares</w:t>
            </w:r>
          </w:p>
        </w:tc>
        <w:tc>
          <w:tcPr>
            <w:tcW w:w="326" w:type="dxa"/>
            <w:tcBorders/>
            <w:shd w:fill="auto" w:val="clear"/>
            <w:vAlign w:val="center"/>
          </w:tcPr>
          <w:p>
            <w:pPr>
              <w:pStyle w:val="TableContents"/>
              <w:spacing w:before="0" w:after="1"/>
              <w:ind w:left="0" w:right="0" w:hanging="0"/>
              <w:jc w:val="center"/>
              <w:rPr/>
            </w:pPr>
            <w:r>
              <w:rPr/>
              <w:t>​</w:t>
            </w:r>
          </w:p>
        </w:tc>
        <w:tc>
          <w:tcPr>
            <w:tcW w:w="143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C Shares</w:t>
            </w:r>
          </w:p>
        </w:tc>
        <w:tc>
          <w:tcPr>
            <w:tcW w:w="326" w:type="dxa"/>
            <w:tcBorders/>
            <w:shd w:fill="auto" w:val="clear"/>
            <w:vAlign w:val="center"/>
          </w:tcPr>
          <w:p>
            <w:pPr>
              <w:pStyle w:val="TableContents"/>
              <w:spacing w:before="0" w:after="1"/>
              <w:ind w:left="0" w:right="0" w:hanging="0"/>
              <w:rPr/>
            </w:pPr>
            <w:r>
              <w:rPr/>
              <w:t>​</w:t>
            </w:r>
          </w:p>
        </w:tc>
        <w:tc>
          <w:tcPr>
            <w:tcW w:w="6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Shareholders’</w:t>
            </w:r>
          </w:p>
        </w:tc>
        <w:tc>
          <w:tcPr>
            <w:tcW w:w="196" w:type="dxa"/>
            <w:tcBorders/>
            <w:shd w:fill="auto" w:val="clear"/>
            <w:vAlign w:val="center"/>
          </w:tcPr>
          <w:p>
            <w:pPr>
              <w:pStyle w:val="TableContents"/>
              <w:spacing w:before="0" w:after="1"/>
              <w:ind w:left="0" w:right="0" w:hanging="0"/>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6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center"/>
              <w:rPr/>
            </w:pPr>
            <w:r>
              <w:rPr/>
              <w:t> </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shd w:fill="auto" w:val="clear"/>
            <w:vAlign w:val="center"/>
          </w:tcPr>
          <w:p>
            <w:pPr>
              <w:pStyle w:val="TableContents"/>
              <w:spacing w:before="0" w:after="1"/>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1"/>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26" w:type="dxa"/>
            <w:tcBorders/>
            <w:shd w:fill="auto" w:val="clear"/>
            <w:vAlign w:val="center"/>
          </w:tcPr>
          <w:p>
            <w:pPr>
              <w:pStyle w:val="TableContents"/>
              <w:spacing w:before="0" w:after="1"/>
              <w:ind w:left="0" w:right="0" w:hanging="0"/>
              <w:jc w:val="center"/>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2"/>
              </w:rPr>
              <w:t>Deficit</w:t>
            </w:r>
          </w:p>
        </w:tc>
        <w:tc>
          <w:tcPr>
            <w:tcW w:w="196" w:type="dxa"/>
            <w:tcBorders/>
            <w:shd w:fill="auto" w:val="clear"/>
            <w:vAlign w:val="center"/>
          </w:tcPr>
          <w:p>
            <w:pPr>
              <w:pStyle w:val="TableContents"/>
              <w:spacing w:before="0" w:after="1"/>
              <w:ind w:left="0" w:right="0" w:hanging="0"/>
              <w:rPr/>
            </w:pPr>
            <w:r>
              <w:rPr/>
              <w:t> </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January 1, 2020, as previously reported</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3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33,765</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7,276,332</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7,276,332</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173"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58"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15,906</w:t>
            </w:r>
          </w:p>
        </w:tc>
        <w:tc>
          <w:tcPr>
            <w:tcW w:w="326" w:type="dxa"/>
            <w:tcBorders/>
            <w:shd w:fill="CCEEFF" w:val="clear"/>
            <w:vAlign w:val="center"/>
          </w:tcPr>
          <w:p>
            <w:pPr>
              <w:pStyle w:val="TableContents"/>
              <w:spacing w:before="0" w:after="1"/>
              <w:ind w:left="0" w:right="0" w:hanging="0"/>
              <w:jc w:val="right"/>
              <w:rPr/>
            </w:pPr>
            <w:r>
              <w:rPr/>
              <w:t>​</w:t>
            </w:r>
          </w:p>
        </w:tc>
        <w:tc>
          <w:tcPr>
            <w:tcW w:w="204"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2"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(37,885)</w:t>
            </w:r>
          </w:p>
        </w:tc>
        <w:tc>
          <w:tcPr>
            <w:tcW w:w="326" w:type="dxa"/>
            <w:tcBorders/>
            <w:shd w:fill="CCEEFF" w:val="clear"/>
            <w:vAlign w:val="center"/>
          </w:tcPr>
          <w:p>
            <w:pPr>
              <w:pStyle w:val="TableContents"/>
              <w:spacing w:before="0" w:after="1"/>
              <w:ind w:left="0" w:right="0" w:hanging="0"/>
              <w:jc w:val="right"/>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(467)</w:t>
            </w:r>
          </w:p>
        </w:tc>
        <w:tc>
          <w:tcPr>
            <w:tcW w:w="326" w:type="dxa"/>
            <w:tcBorders/>
            <w:shd w:fill="CCEEFF" w:val="clear"/>
            <w:vAlign w:val="center"/>
          </w:tcPr>
          <w:p>
            <w:pPr>
              <w:pStyle w:val="TableContents"/>
              <w:spacing w:before="0" w:after="1"/>
              <w:ind w:left="0" w:right="0" w:hanging="0"/>
              <w:jc w:val="right"/>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367</w:t>
            </w:r>
          </w:p>
        </w:tc>
        <w:tc>
          <w:tcPr>
            <w:tcW w:w="326" w:type="dxa"/>
            <w:tcBorders/>
            <w:shd w:fill="CCEEFF" w:val="clear"/>
            <w:vAlign w:val="center"/>
          </w:tcPr>
          <w:p>
            <w:pPr>
              <w:pStyle w:val="TableContents"/>
              <w:spacing w:before="0" w:after="1"/>
              <w:ind w:left="0" w:right="0" w:hanging="0"/>
              <w:jc w:val="right"/>
              <w:rPr/>
            </w:pPr>
            <w:r>
              <w:rPr/>
              <w:t>​</w:t>
            </w:r>
          </w:p>
        </w:tc>
        <w:tc>
          <w:tcPr>
            <w:tcW w:w="20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(22,079)</w:t>
            </w:r>
          </w:p>
        </w:tc>
        <w:tc>
          <w:tcPr>
            <w:tcW w:w="196" w:type="dxa"/>
            <w:tcBorders/>
            <w:shd w:fill="CCEEFF" w:val="clear"/>
            <w:vAlign w:val="center"/>
          </w:tcPr>
          <w:p>
            <w:pPr>
              <w:pStyle w:val="TableContents"/>
              <w:spacing w:before="0" w:after="1"/>
              <w:ind w:left="0" w:right="0" w:hanging="0"/>
              <w:rPr/>
            </w:pPr>
            <w:r>
              <w:rPr/>
              <w:t>​</w:t>
            </w:r>
          </w:p>
        </w:tc>
      </w:tr>
      <w:tr>
        <w:trPr/>
        <w:tc>
          <w:tcPr>
            <w:tcW w:w="796"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 based compensation - restatement (see note 1)</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2,129</w:t>
            </w:r>
          </w:p>
        </w:tc>
        <w:tc>
          <w:tcPr>
            <w:tcW w:w="326" w:type="dxa"/>
            <w:tcBorders/>
            <w:shd w:fill="auto" w:val="clear"/>
            <w:vAlign w:val="center"/>
          </w:tcPr>
          <w:p>
            <w:pPr>
              <w:pStyle w:val="TableContents"/>
              <w:spacing w:before="0" w:after="1"/>
              <w:ind w:left="0" w:right="0" w:hanging="0"/>
              <w:jc w:val="right"/>
              <w:rPr/>
            </w:pPr>
            <w:r>
              <w:rPr/>
              <w:t>​</w:t>
            </w:r>
          </w:p>
        </w:tc>
        <w:tc>
          <w:tcPr>
            <w:tcW w:w="20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9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(2,129)</w:t>
            </w:r>
          </w:p>
        </w:tc>
        <w:tc>
          <w:tcPr>
            <w:tcW w:w="326" w:type="dxa"/>
            <w:tcBorders/>
            <w:shd w:fill="auto" w:val="clear"/>
            <w:vAlign w:val="center"/>
          </w:tcPr>
          <w:p>
            <w:pPr>
              <w:pStyle w:val="TableContents"/>
              <w:spacing w:before="0" w:after="1"/>
              <w:ind w:left="0" w:right="0" w:hanging="0"/>
              <w:jc w:val="right"/>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rPr/>
            </w:pPr>
            <w:r>
              <w:rPr/>
              <w:t>​</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January 1, 2020, as restated</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3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33,765</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7,276,332</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7,276,332</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173"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58"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18,035</w:t>
            </w:r>
          </w:p>
        </w:tc>
        <w:tc>
          <w:tcPr>
            <w:tcW w:w="326" w:type="dxa"/>
            <w:tcBorders/>
            <w:shd w:fill="CCEEFF" w:val="clear"/>
            <w:vAlign w:val="center"/>
          </w:tcPr>
          <w:p>
            <w:pPr>
              <w:pStyle w:val="TableContents"/>
              <w:spacing w:before="0" w:after="1"/>
              <w:ind w:left="0" w:right="0" w:hanging="0"/>
              <w:jc w:val="right"/>
              <w:rPr/>
            </w:pPr>
            <w:r>
              <w:rPr/>
              <w:t>​</w:t>
            </w:r>
          </w:p>
        </w:tc>
        <w:tc>
          <w:tcPr>
            <w:tcW w:w="204"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2"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(40,014)</w:t>
            </w:r>
          </w:p>
        </w:tc>
        <w:tc>
          <w:tcPr>
            <w:tcW w:w="326" w:type="dxa"/>
            <w:tcBorders/>
            <w:shd w:fill="CCEEFF" w:val="clear"/>
            <w:vAlign w:val="center"/>
          </w:tcPr>
          <w:p>
            <w:pPr>
              <w:pStyle w:val="TableContents"/>
              <w:spacing w:before="0" w:after="1"/>
              <w:ind w:left="0" w:right="0" w:hanging="0"/>
              <w:jc w:val="right"/>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(467)</w:t>
            </w:r>
          </w:p>
        </w:tc>
        <w:tc>
          <w:tcPr>
            <w:tcW w:w="326" w:type="dxa"/>
            <w:tcBorders/>
            <w:shd w:fill="CCEEFF" w:val="clear"/>
            <w:vAlign w:val="center"/>
          </w:tcPr>
          <w:p>
            <w:pPr>
              <w:pStyle w:val="TableContents"/>
              <w:spacing w:before="0" w:after="1"/>
              <w:ind w:left="0" w:right="0" w:hanging="0"/>
              <w:jc w:val="right"/>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367</w:t>
            </w:r>
          </w:p>
        </w:tc>
        <w:tc>
          <w:tcPr>
            <w:tcW w:w="326" w:type="dxa"/>
            <w:tcBorders/>
            <w:shd w:fill="CCEEFF" w:val="clear"/>
            <w:vAlign w:val="center"/>
          </w:tcPr>
          <w:p>
            <w:pPr>
              <w:pStyle w:val="TableContents"/>
              <w:spacing w:before="0" w:after="1"/>
              <w:ind w:left="0" w:right="0" w:hanging="0"/>
              <w:jc w:val="right"/>
              <w:rPr/>
            </w:pPr>
            <w:r>
              <w:rPr/>
              <w:t>​</w:t>
            </w:r>
          </w:p>
        </w:tc>
        <w:tc>
          <w:tcPr>
            <w:tcW w:w="20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(22,079)</w:t>
            </w:r>
          </w:p>
        </w:tc>
        <w:tc>
          <w:tcPr>
            <w:tcW w:w="196" w:type="dxa"/>
            <w:tcBorders/>
            <w:shd w:fill="CCEEFF" w:val="clear"/>
            <w:vAlign w:val="center"/>
          </w:tcPr>
          <w:p>
            <w:pPr>
              <w:pStyle w:val="TableContents"/>
              <w:spacing w:before="0" w:after="1"/>
              <w:ind w:left="0" w:right="0" w:hanging="0"/>
              <w:rPr/>
            </w:pPr>
            <w:r>
              <w:rPr/>
              <w:t>​</w:t>
            </w:r>
          </w:p>
        </w:tc>
      </w:tr>
      <w:tr>
        <w:trPr/>
        <w:tc>
          <w:tcPr>
            <w:tcW w:w="796"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 based compensation</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45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73" w:type="dxa"/>
            <w:tcBorders/>
            <w:shd w:fill="auto" w:val="clear"/>
            <w:vAlign w:val="center"/>
          </w:tcPr>
          <w:p>
            <w:pPr>
              <w:pStyle w:val="TableContents"/>
              <w:spacing w:before="0" w:after="1"/>
              <w:ind w:left="0" w:right="0" w:hanging="0"/>
              <w:rPr/>
            </w:pPr>
            <w:r>
              <w:rPr/>
              <w:t> </w:t>
            </w:r>
          </w:p>
        </w:tc>
        <w:tc>
          <w:tcPr>
            <w:tcW w:w="458"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856</w:t>
            </w:r>
          </w:p>
        </w:tc>
        <w:tc>
          <w:tcPr>
            <w:tcW w:w="326" w:type="dxa"/>
            <w:tcBorders/>
            <w:shd w:fill="auto" w:val="clear"/>
            <w:vAlign w:val="center"/>
          </w:tcPr>
          <w:p>
            <w:pPr>
              <w:pStyle w:val="TableContents"/>
              <w:spacing w:before="0" w:after="1"/>
              <w:ind w:left="0" w:right="0" w:hanging="0"/>
              <w:jc w:val="right"/>
              <w:rPr/>
            </w:pPr>
            <w:r>
              <w:rPr/>
              <w:t>​</w:t>
            </w:r>
          </w:p>
        </w:tc>
        <w:tc>
          <w:tcPr>
            <w:tcW w:w="204" w:type="dxa"/>
            <w:tcBorders/>
            <w:shd w:fill="auto" w:val="clear"/>
            <w:vAlign w:val="center"/>
          </w:tcPr>
          <w:p>
            <w:pPr>
              <w:pStyle w:val="TableContents"/>
              <w:spacing w:before="0" w:after="1"/>
              <w:ind w:left="0" w:right="0" w:hanging="0"/>
              <w:rPr/>
            </w:pPr>
            <w:r>
              <w:rPr/>
              <w:t> </w:t>
            </w:r>
          </w:p>
        </w:tc>
        <w:tc>
          <w:tcPr>
            <w:tcW w:w="59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58" w:type="dxa"/>
            <w:tcBorders/>
            <w:shd w:fill="auto" w:val="clear"/>
            <w:vAlign w:val="center"/>
          </w:tcPr>
          <w:p>
            <w:pPr>
              <w:pStyle w:val="TableContents"/>
              <w:spacing w:before="0" w:after="1"/>
              <w:ind w:left="0" w:right="0" w:hanging="0"/>
              <w:rPr/>
            </w:pPr>
            <w:r>
              <w:rPr/>
              <w:t> </w:t>
            </w:r>
          </w:p>
        </w:tc>
        <w:tc>
          <w:tcPr>
            <w:tcW w:w="65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90" w:type="dxa"/>
            <w:tcBorders/>
            <w:shd w:fill="auto" w:val="clear"/>
            <w:vAlign w:val="center"/>
          </w:tcPr>
          <w:p>
            <w:pPr>
              <w:pStyle w:val="TableContents"/>
              <w:spacing w:before="0" w:after="1"/>
              <w:ind w:left="0" w:right="0" w:hanging="0"/>
              <w:rPr/>
            </w:pPr>
            <w:r>
              <w:rPr/>
              <w:t> </w:t>
            </w:r>
          </w:p>
        </w:tc>
        <w:tc>
          <w:tcPr>
            <w:tcW w:w="5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00" w:type="dxa"/>
            <w:tcBorders/>
            <w:shd w:fill="auto" w:val="clear"/>
            <w:vAlign w:val="center"/>
          </w:tcPr>
          <w:p>
            <w:pPr>
              <w:pStyle w:val="TableContents"/>
              <w:spacing w:before="0" w:after="1"/>
              <w:ind w:left="0" w:right="0" w:hanging="0"/>
              <w:rPr/>
            </w:pPr>
            <w:r>
              <w:rPr/>
              <w:t> </w:t>
            </w:r>
          </w:p>
        </w:tc>
        <w:tc>
          <w:tcPr>
            <w:tcW w:w="5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856</w:t>
            </w:r>
          </w:p>
        </w:tc>
        <w:tc>
          <w:tcPr>
            <w:tcW w:w="196" w:type="dxa"/>
            <w:tcBorders/>
            <w:shd w:fill="auto" w:val="clear"/>
            <w:vAlign w:val="center"/>
          </w:tcPr>
          <w:p>
            <w:pPr>
              <w:pStyle w:val="TableContents"/>
              <w:spacing w:before="0" w:after="1"/>
              <w:ind w:left="0" w:right="0" w:hanging="0"/>
              <w:rPr/>
            </w:pPr>
            <w:r>
              <w:rPr/>
              <w:t>​</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Issue of ordinary shares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479,568</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479,568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173" w:type="dxa"/>
            <w:tcBorders/>
            <w:shd w:fill="CCEEFF" w:val="clear"/>
            <w:vAlign w:val="center"/>
          </w:tcPr>
          <w:p>
            <w:pPr>
              <w:pStyle w:val="TableContents"/>
              <w:spacing w:before="0" w:after="1"/>
              <w:ind w:left="0" w:right="0" w:hanging="0"/>
              <w:rPr/>
            </w:pPr>
            <w:r>
              <w:rPr/>
              <w:t> </w:t>
            </w:r>
          </w:p>
        </w:tc>
        <w:tc>
          <w:tcPr>
            <w:tcW w:w="45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04" w:type="dxa"/>
            <w:tcBorders/>
            <w:shd w:fill="CCEEFF" w:val="clear"/>
            <w:vAlign w:val="center"/>
          </w:tcPr>
          <w:p>
            <w:pPr>
              <w:pStyle w:val="TableContents"/>
              <w:spacing w:before="0" w:after="1"/>
              <w:ind w:left="0" w:right="0" w:hanging="0"/>
              <w:rPr/>
            </w:pPr>
            <w:r>
              <w:rPr/>
              <w:t> </w:t>
            </w:r>
          </w:p>
        </w:tc>
        <w:tc>
          <w:tcPr>
            <w:tcW w:w="59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58"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90" w:type="dxa"/>
            <w:tcBorders/>
            <w:shd w:fill="CCEEFF" w:val="clear"/>
            <w:vAlign w:val="center"/>
          </w:tcPr>
          <w:p>
            <w:pPr>
              <w:pStyle w:val="TableContents"/>
              <w:spacing w:before="0" w:after="1"/>
              <w:ind w:left="0" w:right="0" w:hanging="0"/>
              <w:rPr/>
            </w:pPr>
            <w:r>
              <w:rPr/>
              <w:t> </w:t>
            </w:r>
          </w:p>
        </w:tc>
        <w:tc>
          <w:tcPr>
            <w:tcW w:w="5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00" w:type="dxa"/>
            <w:tcBorders/>
            <w:shd w:fill="CCEEFF" w:val="clear"/>
            <w:vAlign w:val="center"/>
          </w:tcPr>
          <w:p>
            <w:pPr>
              <w:pStyle w:val="TableContents"/>
              <w:spacing w:before="0" w:after="1"/>
              <w:ind w:left="0" w:right="0" w:hanging="0"/>
              <w:rPr/>
            </w:pPr>
            <w:r>
              <w:rPr/>
              <w:t> </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19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r>
      <w:tr>
        <w:trPr/>
        <w:tc>
          <w:tcPr>
            <w:tcW w:w="796"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Exercise of stock options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148,938</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45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148,938</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173" w:type="dxa"/>
            <w:tcBorders/>
            <w:shd w:fill="auto" w:val="clear"/>
            <w:vAlign w:val="center"/>
          </w:tcPr>
          <w:p>
            <w:pPr>
              <w:pStyle w:val="TableContents"/>
              <w:spacing w:before="0" w:after="1"/>
              <w:ind w:left="0" w:right="0" w:hanging="0"/>
              <w:rPr/>
            </w:pPr>
            <w:r>
              <w:rPr/>
              <w:t> </w:t>
            </w:r>
          </w:p>
        </w:tc>
        <w:tc>
          <w:tcPr>
            <w:tcW w:w="45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04" w:type="dxa"/>
            <w:tcBorders/>
            <w:shd w:fill="auto" w:val="clear"/>
            <w:vAlign w:val="center"/>
          </w:tcPr>
          <w:p>
            <w:pPr>
              <w:pStyle w:val="TableContents"/>
              <w:spacing w:before="0" w:after="1"/>
              <w:ind w:left="0" w:right="0" w:hanging="0"/>
              <w:rPr/>
            </w:pPr>
            <w:r>
              <w:rPr/>
              <w:t> </w:t>
            </w:r>
          </w:p>
        </w:tc>
        <w:tc>
          <w:tcPr>
            <w:tcW w:w="59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58" w:type="dxa"/>
            <w:tcBorders/>
            <w:shd w:fill="auto" w:val="clear"/>
            <w:vAlign w:val="center"/>
          </w:tcPr>
          <w:p>
            <w:pPr>
              <w:pStyle w:val="TableContents"/>
              <w:spacing w:before="0" w:after="1"/>
              <w:ind w:left="0" w:right="0" w:hanging="0"/>
              <w:rPr/>
            </w:pPr>
            <w:r>
              <w:rPr/>
              <w:t> </w:t>
            </w:r>
          </w:p>
        </w:tc>
        <w:tc>
          <w:tcPr>
            <w:tcW w:w="65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90" w:type="dxa"/>
            <w:tcBorders/>
            <w:shd w:fill="auto" w:val="clear"/>
            <w:vAlign w:val="center"/>
          </w:tcPr>
          <w:p>
            <w:pPr>
              <w:pStyle w:val="TableContents"/>
              <w:spacing w:before="0" w:after="1"/>
              <w:ind w:left="0" w:right="0" w:hanging="0"/>
              <w:rPr/>
            </w:pPr>
            <w:r>
              <w:rPr/>
              <w:t> </w:t>
            </w:r>
          </w:p>
        </w:tc>
        <w:tc>
          <w:tcPr>
            <w:tcW w:w="5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00" w:type="dxa"/>
            <w:tcBorders/>
            <w:shd w:fill="auto" w:val="clear"/>
            <w:vAlign w:val="center"/>
          </w:tcPr>
          <w:p>
            <w:pPr>
              <w:pStyle w:val="TableContents"/>
              <w:spacing w:before="0" w:after="1"/>
              <w:ind w:left="0" w:right="0" w:hanging="0"/>
              <w:rPr/>
            </w:pPr>
            <w:r>
              <w:rPr/>
              <w:t> </w:t>
            </w:r>
          </w:p>
        </w:tc>
        <w:tc>
          <w:tcPr>
            <w:tcW w:w="5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196" w:type="dxa"/>
            <w:tcBorders/>
            <w:shd w:fill="auto"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73" w:type="dxa"/>
            <w:tcBorders/>
            <w:shd w:fill="CCEEFF" w:val="clear"/>
            <w:vAlign w:val="center"/>
          </w:tcPr>
          <w:p>
            <w:pPr>
              <w:pStyle w:val="TableContents"/>
              <w:spacing w:before="0" w:after="1"/>
              <w:ind w:left="0" w:right="0" w:hanging="0"/>
              <w:rPr/>
            </w:pPr>
            <w:r>
              <w:rPr/>
              <w:t> </w:t>
            </w:r>
          </w:p>
        </w:tc>
        <w:tc>
          <w:tcPr>
            <w:tcW w:w="45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04" w:type="dxa"/>
            <w:tcBorders/>
            <w:shd w:fill="CCEEFF" w:val="clear"/>
            <w:vAlign w:val="center"/>
          </w:tcPr>
          <w:p>
            <w:pPr>
              <w:pStyle w:val="TableContents"/>
              <w:spacing w:before="0" w:after="1"/>
              <w:ind w:left="0" w:right="0" w:hanging="0"/>
              <w:rPr/>
            </w:pPr>
            <w:r>
              <w:rPr/>
              <w:t> </w:t>
            </w:r>
          </w:p>
        </w:tc>
        <w:tc>
          <w:tcPr>
            <w:tcW w:w="59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58"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(665)</w:t>
            </w:r>
          </w:p>
        </w:tc>
        <w:tc>
          <w:tcPr>
            <w:tcW w:w="326" w:type="dxa"/>
            <w:tcBorders/>
            <w:shd w:fill="CCEEFF" w:val="clear"/>
            <w:vAlign w:val="center"/>
          </w:tcPr>
          <w:p>
            <w:pPr>
              <w:pStyle w:val="TableContents"/>
              <w:spacing w:before="0" w:after="1"/>
              <w:ind w:left="0" w:right="0" w:hanging="0"/>
              <w:jc w:val="right"/>
              <w:rPr/>
            </w:pPr>
            <w:r>
              <w:rPr/>
              <w:t>​</w:t>
            </w:r>
          </w:p>
        </w:tc>
        <w:tc>
          <w:tcPr>
            <w:tcW w:w="290" w:type="dxa"/>
            <w:tcBorders/>
            <w:shd w:fill="CCEEFF" w:val="clear"/>
            <w:vAlign w:val="center"/>
          </w:tcPr>
          <w:p>
            <w:pPr>
              <w:pStyle w:val="TableContents"/>
              <w:spacing w:before="0" w:after="1"/>
              <w:ind w:left="0" w:right="0" w:hanging="0"/>
              <w:rPr/>
            </w:pPr>
            <w:r>
              <w:rPr/>
              <w:t> </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(18)</w:t>
            </w:r>
          </w:p>
        </w:tc>
        <w:tc>
          <w:tcPr>
            <w:tcW w:w="326" w:type="dxa"/>
            <w:tcBorders/>
            <w:shd w:fill="CCEEFF" w:val="clear"/>
            <w:vAlign w:val="center"/>
          </w:tcPr>
          <w:p>
            <w:pPr>
              <w:pStyle w:val="TableContents"/>
              <w:spacing w:before="0" w:after="1"/>
              <w:ind w:left="0" w:right="0" w:hanging="0"/>
              <w:jc w:val="right"/>
              <w:rPr/>
            </w:pPr>
            <w:r>
              <w:rPr/>
              <w:t>​</w:t>
            </w:r>
          </w:p>
        </w:tc>
        <w:tc>
          <w:tcPr>
            <w:tcW w:w="200" w:type="dxa"/>
            <w:tcBorders/>
            <w:shd w:fill="CCEEFF" w:val="clear"/>
            <w:vAlign w:val="center"/>
          </w:tcPr>
          <w:p>
            <w:pPr>
              <w:pStyle w:val="TableContents"/>
              <w:spacing w:before="0" w:after="1"/>
              <w:ind w:left="0" w:right="0" w:hanging="0"/>
              <w:rPr/>
            </w:pPr>
            <w:r>
              <w:rPr/>
              <w:t> </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(683)</w:t>
            </w:r>
          </w:p>
        </w:tc>
        <w:tc>
          <w:tcPr>
            <w:tcW w:w="196" w:type="dxa"/>
            <w:tcBorders/>
            <w:shd w:fill="CCEEFF" w:val="clear"/>
            <w:vAlign w:val="center"/>
          </w:tcPr>
          <w:p>
            <w:pPr>
              <w:pStyle w:val="TableContents"/>
              <w:spacing w:before="0" w:after="1"/>
              <w:ind w:left="0" w:right="0" w:hanging="0"/>
              <w:rPr/>
            </w:pPr>
            <w:r>
              <w:rPr/>
              <w:t>​</w:t>
            </w:r>
          </w:p>
        </w:tc>
      </w:tr>
      <w:tr>
        <w:trPr/>
        <w:tc>
          <w:tcPr>
            <w:tcW w:w="796"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auto" w:val="clear"/>
            <w:vAlign w:val="center"/>
          </w:tcPr>
          <w:p>
            <w:pPr>
              <w:pStyle w:val="TableContents"/>
              <w:spacing w:before="0" w:after="1"/>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6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7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5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0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9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(3,821)</w:t>
            </w:r>
          </w:p>
        </w:tc>
        <w:tc>
          <w:tcPr>
            <w:tcW w:w="326" w:type="dxa"/>
            <w:tcBorders/>
            <w:shd w:fill="auto" w:val="clear"/>
            <w:vAlign w:val="center"/>
          </w:tcPr>
          <w:p>
            <w:pPr>
              <w:pStyle w:val="TableContents"/>
              <w:spacing w:before="0" w:after="1"/>
              <w:ind w:left="0" w:right="0" w:hanging="0"/>
              <w:jc w:val="right"/>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26" w:type="dxa"/>
            <w:tcBorders/>
            <w:shd w:fill="auto" w:val="clear"/>
            <w:vAlign w:val="center"/>
          </w:tcPr>
          <w:p>
            <w:pPr>
              <w:pStyle w:val="TableContents"/>
              <w:spacing w:before="0" w:after="1"/>
              <w:ind w:left="0" w:right="0" w:hanging="0"/>
              <w:jc w:val="right"/>
              <w:rPr/>
            </w:pPr>
            <w:r>
              <w:rPr/>
              <w:t>​</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(3,951)</w:t>
            </w:r>
          </w:p>
        </w:tc>
        <w:tc>
          <w:tcPr>
            <w:tcW w:w="196" w:type="dxa"/>
            <w:tcBorders/>
            <w:shd w:fill="auto" w:val="clear"/>
            <w:vAlign w:val="center"/>
          </w:tcPr>
          <w:p>
            <w:pPr>
              <w:pStyle w:val="TableContents"/>
              <w:spacing w:before="0" w:after="1"/>
              <w:ind w:left="0" w:right="0" w:hanging="0"/>
              <w:rPr/>
            </w:pPr>
            <w:r>
              <w:rPr/>
              <w:t>​</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March 31, 2020</w:t>
            </w:r>
          </w:p>
        </w:tc>
        <w:tc>
          <w:tcPr>
            <w:tcW w:w="326" w:type="dxa"/>
            <w:tcBorders/>
            <w:shd w:fill="CCEEFF" w:val="clear"/>
            <w:vAlign w:val="center"/>
          </w:tcPr>
          <w:p>
            <w:pPr>
              <w:pStyle w:val="TableContents"/>
              <w:spacing w:before="0" w:after="1"/>
              <w:ind w:left="0" w:right="0" w:hanging="0"/>
              <w:rPr/>
            </w:pPr>
            <w:r>
              <w:rPr/>
              <w:t> </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33,765</w:t>
            </w:r>
          </w:p>
        </w:tc>
        <w:tc>
          <w:tcPr>
            <w:tcW w:w="326" w:type="dxa"/>
            <w:tcBorders/>
            <w:shd w:fill="CCEEFF" w:val="clear"/>
            <w:vAlign w:val="center"/>
          </w:tcPr>
          <w:p>
            <w:pPr>
              <w:pStyle w:val="TableContents"/>
              <w:spacing w:before="0" w:after="1"/>
              <w:ind w:left="0" w:right="0" w:hanging="0"/>
              <w:rPr/>
            </w:pPr>
            <w:r>
              <w:rPr/>
              <w:t> </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7,904,838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7,904,838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17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18,891</w:t>
            </w:r>
          </w:p>
        </w:tc>
        <w:tc>
          <w:tcPr>
            <w:tcW w:w="326" w:type="dxa"/>
            <w:tcBorders/>
            <w:shd w:fill="CCEEFF" w:val="clear"/>
            <w:vAlign w:val="center"/>
          </w:tcPr>
          <w:p>
            <w:pPr>
              <w:pStyle w:val="TableContents"/>
              <w:spacing w:before="0" w:after="1"/>
              <w:ind w:left="0" w:right="0" w:hanging="0"/>
              <w:jc w:val="right"/>
              <w:rPr/>
            </w:pPr>
            <w:r>
              <w:rPr/>
              <w:t>​</w:t>
            </w:r>
          </w:p>
        </w:tc>
        <w:tc>
          <w:tcPr>
            <w:tcW w:w="20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(43,835)</w:t>
            </w:r>
          </w:p>
        </w:tc>
        <w:tc>
          <w:tcPr>
            <w:tcW w:w="326" w:type="dxa"/>
            <w:tcBorders/>
            <w:shd w:fill="CCEEFF" w:val="clear"/>
            <w:vAlign w:val="center"/>
          </w:tcPr>
          <w:p>
            <w:pPr>
              <w:pStyle w:val="TableContents"/>
              <w:spacing w:before="0" w:after="1"/>
              <w:ind w:left="0" w:right="0" w:hanging="0"/>
              <w:jc w:val="right"/>
              <w:rPr/>
            </w:pPr>
            <w:r>
              <w:rPr/>
              <w:t>​</w:t>
            </w:r>
          </w:p>
        </w:tc>
        <w:tc>
          <w:tcPr>
            <w:tcW w:w="25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(1,132)</w:t>
            </w:r>
          </w:p>
        </w:tc>
        <w:tc>
          <w:tcPr>
            <w:tcW w:w="326" w:type="dxa"/>
            <w:tcBorders/>
            <w:shd w:fill="CCEEFF" w:val="clear"/>
            <w:vAlign w:val="center"/>
          </w:tcPr>
          <w:p>
            <w:pPr>
              <w:pStyle w:val="TableContents"/>
              <w:spacing w:before="0" w:after="1"/>
              <w:ind w:left="0" w:right="0" w:hanging="0"/>
              <w:jc w:val="right"/>
              <w:rPr/>
            </w:pPr>
            <w:r>
              <w:rPr/>
              <w:t>​</w:t>
            </w:r>
          </w:p>
        </w:tc>
        <w:tc>
          <w:tcPr>
            <w:tcW w:w="29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219</w:t>
            </w:r>
          </w:p>
        </w:tc>
        <w:tc>
          <w:tcPr>
            <w:tcW w:w="326" w:type="dxa"/>
            <w:tcBorders/>
            <w:shd w:fill="CCEEFF" w:val="clear"/>
            <w:vAlign w:val="center"/>
          </w:tcPr>
          <w:p>
            <w:pPr>
              <w:pStyle w:val="TableContents"/>
              <w:spacing w:before="0" w:after="1"/>
              <w:ind w:left="0" w:right="0" w:hanging="0"/>
              <w:jc w:val="right"/>
              <w:rPr/>
            </w:pPr>
            <w:r>
              <w:rPr/>
              <w:t>​</w:t>
            </w:r>
          </w:p>
        </w:tc>
        <w:tc>
          <w:tcPr>
            <w:tcW w:w="2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(25,857)</w:t>
            </w:r>
          </w:p>
        </w:tc>
        <w:tc>
          <w:tcPr>
            <w:tcW w:w="196" w:type="dxa"/>
            <w:tcBorders/>
            <w:shd w:fill="CCEEFF" w:val="clear"/>
            <w:vAlign w:val="center"/>
          </w:tcPr>
          <w:p>
            <w:pPr>
              <w:pStyle w:val="TableContents"/>
              <w:spacing w:before="0" w:after="1"/>
              <w:ind w:left="0" w:right="0" w:hanging="0"/>
              <w:rPr/>
            </w:pPr>
            <w:r>
              <w:rPr/>
              <w:t>​</w:t>
            </w:r>
          </w:p>
        </w:tc>
      </w:tr>
      <w:tr>
        <w:trPr/>
        <w:tc>
          <w:tcPr>
            <w:tcW w:w="796"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 based compensation</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3" w:type="dxa"/>
            <w:tcBorders/>
            <w:shd w:fill="auto" w:val="clear"/>
            <w:vAlign w:val="center"/>
          </w:tcPr>
          <w:p>
            <w:pPr>
              <w:pStyle w:val="TableContents"/>
              <w:spacing w:before="0" w:after="1"/>
              <w:ind w:left="0" w:right="0" w:hanging="0"/>
              <w:rPr/>
            </w:pPr>
            <w:r>
              <w:rPr/>
              <w:t>​</w:t>
            </w:r>
          </w:p>
        </w:tc>
        <w:tc>
          <w:tcPr>
            <w:tcW w:w="458"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415</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0" w:type="dxa"/>
            <w:tcBorders/>
            <w:shd w:fill="auto" w:val="clear"/>
            <w:vAlign w:val="center"/>
          </w:tcPr>
          <w:p>
            <w:pPr>
              <w:pStyle w:val="TableContents"/>
              <w:spacing w:before="0" w:after="1"/>
              <w:ind w:left="0" w:right="0" w:hanging="0"/>
              <w:rPr/>
            </w:pPr>
            <w:r>
              <w:rPr/>
              <w:t>​</w:t>
            </w:r>
          </w:p>
        </w:tc>
        <w:tc>
          <w:tcPr>
            <w:tcW w:w="5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415</w:t>
            </w:r>
          </w:p>
        </w:tc>
        <w:tc>
          <w:tcPr>
            <w:tcW w:w="196" w:type="dxa"/>
            <w:tcBorders/>
            <w:shd w:fill="auto" w:val="clear"/>
            <w:vAlign w:val="center"/>
          </w:tcPr>
          <w:p>
            <w:pPr>
              <w:pStyle w:val="TableContents"/>
              <w:spacing w:before="0" w:after="1"/>
              <w:ind w:left="0" w:right="0" w:hanging="0"/>
              <w:rPr/>
            </w:pPr>
            <w:r>
              <w:rPr/>
              <w:t>​</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3" w:type="dxa"/>
            <w:tcBorders/>
            <w:shd w:fill="CCEEFF" w:val="clear"/>
            <w:vAlign w:val="center"/>
          </w:tcPr>
          <w:p>
            <w:pPr>
              <w:pStyle w:val="TableContents"/>
              <w:spacing w:before="0" w:after="1"/>
              <w:ind w:left="0" w:right="0" w:hanging="0"/>
              <w:rPr/>
            </w:pPr>
            <w:r>
              <w:rPr/>
              <w:t>​</w:t>
            </w:r>
          </w:p>
        </w:tc>
        <w:tc>
          <w:tcPr>
            <w:tcW w:w="45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5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pPr>
            <w:r>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(143)</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26" w:type="dxa"/>
            <w:tcBorders/>
            <w:shd w:fill="CCEEFF" w:val="clear"/>
            <w:vAlign w:val="center"/>
          </w:tcPr>
          <w:p>
            <w:pPr>
              <w:pStyle w:val="TableContents"/>
              <w:spacing w:before="0" w:after="1"/>
              <w:ind w:left="0" w:right="0" w:hanging="0"/>
              <w:rPr/>
            </w:pPr>
            <w:r>
              <w:rPr/>
              <w:t>​</w:t>
            </w:r>
          </w:p>
        </w:tc>
        <w:tc>
          <w:tcPr>
            <w:tcW w:w="200" w:type="dxa"/>
            <w:tcBorders/>
            <w:shd w:fill="CCEEFF" w:val="clear"/>
            <w:vAlign w:val="center"/>
          </w:tcPr>
          <w:p>
            <w:pPr>
              <w:pStyle w:val="TableContents"/>
              <w:spacing w:before="0" w:after="1"/>
              <w:ind w:left="0" w:right="0" w:hanging="0"/>
              <w:rPr/>
            </w:pPr>
            <w:r>
              <w:rPr/>
              <w:t>​</w:t>
            </w:r>
          </w:p>
        </w:tc>
        <w:tc>
          <w:tcPr>
            <w:tcW w:w="5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(144)</w:t>
            </w:r>
          </w:p>
        </w:tc>
        <w:tc>
          <w:tcPr>
            <w:tcW w:w="196" w:type="dxa"/>
            <w:tcBorders/>
            <w:shd w:fill="CCEEFF" w:val="clear"/>
            <w:vAlign w:val="center"/>
          </w:tcPr>
          <w:p>
            <w:pPr>
              <w:pStyle w:val="TableContents"/>
              <w:spacing w:before="0" w:after="1"/>
              <w:ind w:left="0" w:right="0" w:hanging="0"/>
              <w:rPr/>
            </w:pPr>
            <w:r>
              <w:rPr/>
              <w:t>​</w:t>
            </w:r>
          </w:p>
        </w:tc>
      </w:tr>
      <w:tr>
        <w:trPr/>
        <w:tc>
          <w:tcPr>
            <w:tcW w:w="796"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auto"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auto" w:val="clear"/>
            <w:tcMar>
              <w:left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5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9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(3,588)</w:t>
            </w:r>
          </w:p>
        </w:tc>
        <w:tc>
          <w:tcPr>
            <w:tcW w:w="326"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(69)</w:t>
            </w:r>
          </w:p>
        </w:tc>
        <w:tc>
          <w:tcPr>
            <w:tcW w:w="326" w:type="dxa"/>
            <w:tcBorders/>
            <w:shd w:fill="auto" w:val="clear"/>
            <w:vAlign w:val="center"/>
          </w:tcPr>
          <w:p>
            <w:pPr>
              <w:pStyle w:val="TableContents"/>
              <w:spacing w:before="0" w:after="1"/>
              <w:ind w:left="0" w:right="0" w:hanging="0"/>
              <w:rPr/>
            </w:pPr>
            <w:r>
              <w:rPr/>
              <w:t>​</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(3,657)</w:t>
            </w:r>
          </w:p>
        </w:tc>
        <w:tc>
          <w:tcPr>
            <w:tcW w:w="196" w:type="dxa"/>
            <w:tcBorders/>
            <w:shd w:fill="auto" w:val="clear"/>
            <w:vAlign w:val="center"/>
          </w:tcPr>
          <w:p>
            <w:pPr>
              <w:pStyle w:val="TableContents"/>
              <w:spacing w:before="0" w:after="1"/>
              <w:ind w:left="0" w:right="0" w:hanging="0"/>
              <w:rPr/>
            </w:pPr>
            <w:r>
              <w:rPr/>
              <w:t>​</w:t>
            </w:r>
          </w:p>
        </w:tc>
      </w:tr>
      <w:tr>
        <w:trPr/>
        <w:tc>
          <w:tcPr>
            <w:tcW w:w="796"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 June 30, 2020</w:t>
            </w:r>
          </w:p>
        </w:tc>
        <w:tc>
          <w:tcPr>
            <w:tcW w:w="326" w:type="dxa"/>
            <w:tcBorders/>
            <w:shd w:fill="CCEEFF" w:val="clear"/>
            <w:vAlign w:val="center"/>
          </w:tcPr>
          <w:p>
            <w:pPr>
              <w:pStyle w:val="TableContents"/>
              <w:spacing w:before="0" w:after="1"/>
              <w:ind w:left="0" w:right="0" w:hanging="0"/>
              <w:rPr/>
            </w:pPr>
            <w:r>
              <w:rPr/>
              <w:t>​</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22,065</w:t>
            </w:r>
          </w:p>
        </w:tc>
        <w:tc>
          <w:tcPr>
            <w:tcW w:w="326" w:type="dxa"/>
            <w:tcBorders/>
            <w:shd w:fill="CCEEFF" w:val="clear"/>
            <w:vAlign w:val="center"/>
          </w:tcPr>
          <w:p>
            <w:pPr>
              <w:pStyle w:val="TableContents"/>
              <w:spacing w:before="0" w:after="1"/>
              <w:ind w:left="0" w:right="0" w:hanging="0"/>
              <w:rPr/>
            </w:pPr>
            <w:r>
              <w:rPr/>
              <w:t>​</w:t>
            </w:r>
          </w:p>
        </w:tc>
        <w:tc>
          <w:tcPr>
            <w:tcW w:w="1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33,765</w:t>
            </w:r>
          </w:p>
        </w:tc>
        <w:tc>
          <w:tcPr>
            <w:tcW w:w="326" w:type="dxa"/>
            <w:tcBorders/>
            <w:shd w:fill="CCEEFF" w:val="clear"/>
            <w:vAlign w:val="center"/>
          </w:tcPr>
          <w:p>
            <w:pPr>
              <w:pStyle w:val="TableContents"/>
              <w:spacing w:before="0" w:after="1"/>
              <w:ind w:left="0" w:right="0" w:hanging="0"/>
              <w:rPr/>
            </w:pPr>
            <w:r>
              <w:rPr/>
              <w:t>​</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c>
          <w:tcPr>
            <w:tcW w:w="206"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7,904,838</w:t>
            </w:r>
          </w:p>
        </w:tc>
        <w:tc>
          <w:tcPr>
            <w:tcW w:w="326" w:type="dxa"/>
            <w:tcBorders/>
            <w:shd w:fill="CCEEFF" w:val="clear"/>
            <w:vAlign w:val="center"/>
          </w:tcPr>
          <w:p>
            <w:pPr>
              <w:pStyle w:val="TableContents"/>
              <w:spacing w:before="0" w:after="1"/>
              <w:ind w:left="0" w:right="0" w:hanging="0"/>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7,904,838</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17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4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19,306</w:t>
            </w:r>
          </w:p>
        </w:tc>
        <w:tc>
          <w:tcPr>
            <w:tcW w:w="326" w:type="dxa"/>
            <w:tcBorders/>
            <w:shd w:fill="CCEEFF" w:val="clear"/>
            <w:vAlign w:val="center"/>
          </w:tcPr>
          <w:p>
            <w:pPr>
              <w:pStyle w:val="TableContents"/>
              <w:spacing w:before="0" w:after="1"/>
              <w:ind w:left="0" w:right="0" w:hanging="0"/>
              <w:rPr/>
            </w:pPr>
            <w:r>
              <w:rPr/>
              <w:t>​</w:t>
            </w:r>
          </w:p>
        </w:tc>
        <w:tc>
          <w:tcPr>
            <w:tcW w:w="20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9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(47,423)</w:t>
            </w:r>
          </w:p>
        </w:tc>
        <w:tc>
          <w:tcPr>
            <w:tcW w:w="326" w:type="dxa"/>
            <w:tcBorders/>
            <w:shd w:fill="CCEEFF" w:val="clear"/>
            <w:vAlign w:val="center"/>
          </w:tcPr>
          <w:p>
            <w:pPr>
              <w:pStyle w:val="TableContents"/>
              <w:spacing w:before="0" w:after="1"/>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(1,275)</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(149)</w:t>
            </w:r>
          </w:p>
        </w:tc>
        <w:tc>
          <w:tcPr>
            <w:tcW w:w="326" w:type="dxa"/>
            <w:tcBorders/>
            <w:shd w:fill="CCEEFF" w:val="clear"/>
            <w:vAlign w:val="center"/>
          </w:tcPr>
          <w:p>
            <w:pPr>
              <w:pStyle w:val="TableContents"/>
              <w:spacing w:before="0" w:after="1"/>
              <w:ind w:left="0" w:right="0" w:hanging="0"/>
              <w:rPr/>
            </w:pPr>
            <w:r>
              <w:rPr/>
              <w:t>​</w:t>
            </w:r>
          </w:p>
        </w:tc>
        <w:tc>
          <w:tcPr>
            <w:tcW w:w="2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(29,243)</w:t>
            </w:r>
          </w:p>
        </w:tc>
        <w:tc>
          <w:tcPr>
            <w:tcW w:w="196"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lineRule="auto" w:line="240" w:before="0" w:after="24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Indicates amount less than thousand</w:t>
      </w:r>
    </w:p>
    <w:p>
      <w:pPr>
        <w:pStyle w:val="TextBody"/>
        <w:spacing w:before="0" w:after="0"/>
        <w:ind w:left="0" w:right="0" w:hanging="0"/>
        <w:jc w:val="center"/>
        <w:rPr>
          <w:rFonts w:ascii="Times New Roman;Times;serif" w:hAnsi="Times New Roman;Times;serif"/>
          <w:sz w:val="20"/>
        </w:rPr>
      </w:pPr>
      <w:bookmarkStart w:id="874" w:name="_Hlk78943958"/>
      <w:bookmarkEnd w:id="874"/>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75" w:name="_341eecac_c511_4517_a66a_d5373044b54c"/>
      <w:bookmarkEnd w:id="875"/>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876" w:name="CONDENSEDCONSOLIDATEDSTATEMENTSOFCASHFLO"/>
      <w:bookmarkEnd w:id="876"/>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877" w:name="Tc_bRbd4VW8H0akJTvlX_7d7g_48_6"/>
      <w:bookmarkStart w:id="878" w:name="Tc_mN4L7EUvG0KWfg8-n3NfhA_48_5"/>
      <w:bookmarkStart w:id="879" w:name="Tc_B-CGE_zgYkmUYniUF1Fa0Q_48_2"/>
      <w:bookmarkStart w:id="880" w:name="Tc_ce9dzKyw7k6Qb6J0b-Q--Q_48_0"/>
      <w:bookmarkStart w:id="881" w:name="Tc_rXnYF47TYkemaTs-fX8vOw_47_4"/>
      <w:bookmarkStart w:id="882" w:name="Tc_3PlWi3zFDEeb1RUPGK9ptg_47_2"/>
      <w:bookmarkStart w:id="883" w:name="Tc_lJ9aCncg1kCc--HAHCkINA_47_0"/>
      <w:bookmarkStart w:id="884" w:name="Tc_RGgNZfQ98USKxjG8R1Wt9A_46_2"/>
      <w:bookmarkStart w:id="885" w:name="Tc_NOe0bpPTf0CNU3Ha9avlDg_46_0"/>
      <w:bookmarkStart w:id="886" w:name="Tc_9u6xV9-9WkiBnc1B7UcKTA_45_6"/>
      <w:bookmarkStart w:id="887" w:name="Tc_dZFYRtSJhkaSx5ejsG0j1Q_45_5"/>
      <w:bookmarkStart w:id="888" w:name="Tc_VmoLrRDOak6zwGw9-2iDOw_45_2"/>
      <w:bookmarkStart w:id="889" w:name="Tc_s9sFMuY34k-_XsJkm97snA_45_0"/>
      <w:bookmarkStart w:id="890" w:name="Tc_2hI16K8vFk2Vjhsrsr98cg_44_4"/>
      <w:bookmarkStart w:id="891" w:name="Tc_8AbxjitaeUCHSjZcNNMZCg_44_2"/>
      <w:bookmarkStart w:id="892" w:name="Tc_1-HNFJnUDEa0FGxI78CdxQ_44_0"/>
      <w:bookmarkStart w:id="893" w:name="Tc_Va2nInyUZ02A_uZtJ3_WTA_43_0"/>
      <w:bookmarkStart w:id="894" w:name="Tc_8sNpT92FVUeYg-GPsN_uew_42_5"/>
      <w:bookmarkStart w:id="895" w:name="Tc_k6nK_mi3tEqB5YiF1QIqgg_42_2"/>
      <w:bookmarkStart w:id="896" w:name="Tc_h1vKhvaZQEq2tVVYwoLHbw_42_0"/>
      <w:bookmarkStart w:id="897" w:name="Tc_6NdZLa15zkmAxYFpRCjmig_41_0"/>
      <w:bookmarkStart w:id="898" w:name="Tc_cpIbM6gpZ0eJPdQcjgKiNQ_40_6"/>
      <w:bookmarkStart w:id="899" w:name="Tc_lxBObI7jsUmFMKkCrDEmpg_40_5"/>
      <w:bookmarkStart w:id="900" w:name="Tc_FX6lhJ8idUWmMusWRoPxyQ_40_2"/>
      <w:bookmarkStart w:id="901" w:name="Tc_UzGWO7csw0KCvGaYtRUcLw_40_0"/>
      <w:bookmarkStart w:id="902" w:name="Tc_4zhEZMCC0UyVQWtagPHoGQ_39_6"/>
      <w:bookmarkStart w:id="903" w:name="Tc_9aDXY-zjbECkJPBtYiDWNA_39_5"/>
      <w:bookmarkStart w:id="904" w:name="Tc_KjKNvb9pEUWe6MhsRSRlag_39_2"/>
      <w:bookmarkStart w:id="905" w:name="Tc_1jx8_YeERkuQEuDaVMnbUA_39_0"/>
      <w:bookmarkStart w:id="906" w:name="Tc_7dEv_O53WkaxwgZ7QFdb1w_38_0"/>
      <w:bookmarkStart w:id="907" w:name="Tc_LCyz1n-23EmSNWP-pDvVxA_36_5"/>
      <w:bookmarkStart w:id="908" w:name="Tc_8nagF5ZiuUSD_Yg0bjYBMg_36_2"/>
      <w:bookmarkStart w:id="909" w:name="Tc__6Re1n5GwkSW7KnDjBfleg_36_0"/>
      <w:bookmarkStart w:id="910" w:name="Tc_27czLGpikkmELvRGzMTEKg_35_0"/>
      <w:bookmarkStart w:id="911" w:name="Tc_DpJY4VNdq0u9K3FmKvGDCg_34_0"/>
      <w:bookmarkStart w:id="912" w:name="Tc_eklUjMLqGk-y8kjzF4FrzA_33_0"/>
      <w:bookmarkStart w:id="913" w:name="Tc_X9ruaAZe7EWQlFl_dEXlFQ_32_6"/>
      <w:bookmarkStart w:id="914" w:name="Tc_iU6lW1ADNUSuhQbJDyxKXg_32_5"/>
      <w:bookmarkStart w:id="915" w:name="Tc_X-6orQvt7UmjoO9ajAl4lw_32_2"/>
      <w:bookmarkStart w:id="916" w:name="Tc_RC_bLEQPvkeCpscif7e1jw_32_0"/>
      <w:bookmarkStart w:id="917" w:name="Tc_AumXqpyr7UGqvgavOWEKyQ_31_6"/>
      <w:bookmarkStart w:id="918" w:name="Tc_d2udsbTxtEO_NZDnTysV4g_31_0"/>
      <w:bookmarkStart w:id="919" w:name="Tc_KRbbQSN-nkeXQjEGa1jILQ_30_6"/>
      <w:bookmarkStart w:id="920" w:name="Tc_sY8OhHtEmESc2JPEfG5IaA_30_0"/>
      <w:bookmarkStart w:id="921" w:name="Tc_8AqQl-ey40egdK1RqgiGgQ_29_6"/>
      <w:bookmarkStart w:id="922" w:name="Tc_kxB0dZMiT068qUxisDmLhw_29_0"/>
      <w:bookmarkStart w:id="923" w:name="Tc_gTYShpNw_k6BKthCK5iG4g_28_6"/>
      <w:bookmarkStart w:id="924" w:name="Tc_mllL0QOgf0W69S3nTnItBQ_28_0"/>
      <w:bookmarkStart w:id="925" w:name="Tc_a3vsk4EaakmAhXAr50dd0A_27_6"/>
      <w:bookmarkStart w:id="926" w:name="Tc_pFRDWmbsnECzv4bHhiH94g_27_0"/>
      <w:bookmarkStart w:id="927" w:name="Tc_fADclGezRkGi63cWUZ8fKQ_26_7"/>
      <w:bookmarkStart w:id="928" w:name="Tc_UE5Q2Ja1pUWHi8ZTtDkvjg_26_4"/>
      <w:bookmarkStart w:id="929" w:name="Tc_0A3uVh17Ykat6r0RtGSFSw_26_0"/>
      <w:bookmarkStart w:id="930" w:name="Tc_eWD5m7ek8kiVb9O5hpU3TQ_25_0"/>
      <w:bookmarkStart w:id="931" w:name="Tc_fARk_1swJ0O03zumM5a7qQ_24_5"/>
      <w:bookmarkStart w:id="932" w:name="Tc_SKurfjeFYk6DfnozMWG_Fw_24_2"/>
      <w:bookmarkStart w:id="933" w:name="Tc_xN5EzE2ZF0SdrASmTEMcQQ_24_0"/>
      <w:bookmarkStart w:id="934" w:name="Tc_OpYPsyDc3UGJCKnO_aymZQ_23_0"/>
      <w:bookmarkStart w:id="935" w:name="Tc_8tHoKbN2KkmcF5p-hIT1mg_22_0"/>
      <w:bookmarkStart w:id="936" w:name="Tc_HjdrAjJVDE2iQjF3yNc7YA_21_5"/>
      <w:bookmarkStart w:id="937" w:name="Tc_Jf-GexOP3UuHFLy2bp_tqw_21_2"/>
      <w:bookmarkStart w:id="938" w:name="Tc_rZQ0ENqW70Cy1I58_PzbiA_21_0"/>
      <w:bookmarkStart w:id="939" w:name="Tc_GYkI1Zmby0amI-NJ4uhKxw_20_0"/>
      <w:bookmarkStart w:id="940" w:name="Tc_f-R07QQ8sEStiU7E36Jy2g_19_0"/>
      <w:bookmarkStart w:id="941" w:name="Tc_GWo8vm68Lk-BG5J_ibAA2w_18_0"/>
      <w:bookmarkStart w:id="942" w:name="Tc_w_jPv1JTIU6HkQoKF1pWUw_17_0"/>
      <w:bookmarkStart w:id="943" w:name="Tc_35aTwH5J60CHUXl7wH7ujg_16_0"/>
      <w:bookmarkStart w:id="944" w:name="Tc_gmHMEouTQkeSGrVfiFD_oA_15_0"/>
      <w:bookmarkStart w:id="945" w:name="Tc_Nci1stNvcE6rBbgPMSJI3Q_14_0"/>
      <w:bookmarkStart w:id="946" w:name="Tc_eFxD1I7uCkePKWNu2FqEcA_13_6"/>
      <w:bookmarkStart w:id="947" w:name="Tc_HTdI-JnWtkeFeOg_Ye0O9w_13_0"/>
      <w:bookmarkStart w:id="948" w:name="Tc_uRbFuokjy0-oj5iEj6n5Zw_12_6"/>
      <w:bookmarkStart w:id="949" w:name="Tc_1wXZz3Wqe0iBYtfG3ZS8jA_12_0"/>
      <w:bookmarkStart w:id="950" w:name="Tc_mtNF_5qYh0aLFOsY9uSSCA_11_6"/>
      <w:bookmarkStart w:id="951" w:name="Tc_XYBKW827OEq1ujfQ20Kkvg_11_0"/>
      <w:bookmarkStart w:id="952" w:name="Tc_fm46QAk5Y06Z7yFfSvh9Dw_10_6"/>
      <w:bookmarkStart w:id="953" w:name="Tc_0Ywnq5oEkUCF5bByRb4-Gg_10_0"/>
      <w:bookmarkStart w:id="954" w:name="Tc_uEnAJS8mDk2wryiAH2K0WA_9_6"/>
      <w:bookmarkStart w:id="955" w:name="Tc_06OZVysRmUWkey-VJnOahA_9_0"/>
      <w:bookmarkStart w:id="956" w:name="Tc_jxyTURkXZEKYD9d5ND0ftg_8_0"/>
      <w:bookmarkStart w:id="957" w:name="Tc_RIR4NPUzO0ChVhxVzFK8Lw_7_0"/>
      <w:bookmarkStart w:id="958" w:name="Tc_A_b_Riy0_E-xzvI7ufi7Uw_6_0"/>
      <w:bookmarkStart w:id="959" w:name="Tc_ANqJW5OgzkaXK2M37WjU2Q_5_0"/>
      <w:bookmarkStart w:id="960" w:name="Tc_3jD-K4Thqk6pC0mDcAkFew_4_5"/>
      <w:bookmarkStart w:id="961" w:name="Tc_-jw5pQuVvke5lkBgO2e3kQ_4_2"/>
      <w:bookmarkStart w:id="962" w:name="Tc_I-8oxbpmokqLr5h9Py3cHQ_4_0"/>
      <w:bookmarkStart w:id="963" w:name="Tc_7vLUpRO3a0OqVEx-nVliRA_3_0"/>
      <w:bookmarkStart w:id="964" w:name="Tc_1ILV9A4vuEiljodu8gcGCw_2_5"/>
      <w:bookmarkStart w:id="965" w:name="Tc_roJ7nVF4rEWDy3VTbQ6KFg_2_2"/>
      <w:bookmarkStart w:id="966" w:name="Tc_rc4nGdob6ECdtIkaaWPzkg_1_2"/>
      <w:bookmarkStart w:id="967" w:name="_eb7a6b72_b167_4818_8f59_0882a1a8abae"/>
      <w:bookmarkStart w:id="968" w:name="Tc_bRbd4VW8H0akJTvlX_7d7g_48_6"/>
      <w:bookmarkStart w:id="969" w:name="Tc_mN4L7EUvG0KWfg8-n3NfhA_48_5"/>
      <w:bookmarkStart w:id="970" w:name="Tc_B-CGE_zgYkmUYniUF1Fa0Q_48_2"/>
      <w:bookmarkStart w:id="971" w:name="Tc_ce9dzKyw7k6Qb6J0b-Q--Q_48_0"/>
      <w:bookmarkStart w:id="972" w:name="Tc_rXnYF47TYkemaTs-fX8vOw_47_4"/>
      <w:bookmarkStart w:id="973" w:name="Tc_3PlWi3zFDEeb1RUPGK9ptg_47_2"/>
      <w:bookmarkStart w:id="974" w:name="Tc_lJ9aCncg1kCc--HAHCkINA_47_0"/>
      <w:bookmarkStart w:id="975" w:name="Tc_RGgNZfQ98USKxjG8R1Wt9A_46_2"/>
      <w:bookmarkStart w:id="976" w:name="Tc_NOe0bpPTf0CNU3Ha9avlDg_46_0"/>
      <w:bookmarkStart w:id="977" w:name="Tc_9u6xV9-9WkiBnc1B7UcKTA_45_6"/>
      <w:bookmarkStart w:id="978" w:name="Tc_dZFYRtSJhkaSx5ejsG0j1Q_45_5"/>
      <w:bookmarkStart w:id="979" w:name="Tc_VmoLrRDOak6zwGw9-2iDOw_45_2"/>
      <w:bookmarkStart w:id="980" w:name="Tc_s9sFMuY34k-_XsJkm97snA_45_0"/>
      <w:bookmarkStart w:id="981" w:name="Tc_2hI16K8vFk2Vjhsrsr98cg_44_4"/>
      <w:bookmarkStart w:id="982" w:name="Tc_8AbxjitaeUCHSjZcNNMZCg_44_2"/>
      <w:bookmarkStart w:id="983" w:name="Tc_1-HNFJnUDEa0FGxI78CdxQ_44_0"/>
      <w:bookmarkStart w:id="984" w:name="Tc_Va2nInyUZ02A_uZtJ3_WTA_43_0"/>
      <w:bookmarkStart w:id="985" w:name="Tc_8sNpT92FVUeYg-GPsN_uew_42_5"/>
      <w:bookmarkStart w:id="986" w:name="Tc_k6nK_mi3tEqB5YiF1QIqgg_42_2"/>
      <w:bookmarkStart w:id="987" w:name="Tc_h1vKhvaZQEq2tVVYwoLHbw_42_0"/>
      <w:bookmarkStart w:id="988" w:name="Tc_6NdZLa15zkmAxYFpRCjmig_41_0"/>
      <w:bookmarkStart w:id="989" w:name="Tc_cpIbM6gpZ0eJPdQcjgKiNQ_40_6"/>
      <w:bookmarkStart w:id="990" w:name="Tc_lxBObI7jsUmFMKkCrDEmpg_40_5"/>
      <w:bookmarkStart w:id="991" w:name="Tc_FX6lhJ8idUWmMusWRoPxyQ_40_2"/>
      <w:bookmarkStart w:id="992" w:name="Tc_UzGWO7csw0KCvGaYtRUcLw_40_0"/>
      <w:bookmarkStart w:id="993" w:name="Tc_4zhEZMCC0UyVQWtagPHoGQ_39_6"/>
      <w:bookmarkStart w:id="994" w:name="Tc_9aDXY-zjbECkJPBtYiDWNA_39_5"/>
      <w:bookmarkStart w:id="995" w:name="Tc_KjKNvb9pEUWe6MhsRSRlag_39_2"/>
      <w:bookmarkStart w:id="996" w:name="Tc_1jx8_YeERkuQEuDaVMnbUA_39_0"/>
      <w:bookmarkStart w:id="997" w:name="Tc_7dEv_O53WkaxwgZ7QFdb1w_38_0"/>
      <w:bookmarkStart w:id="998" w:name="Tc_LCyz1n-23EmSNWP-pDvVxA_36_5"/>
      <w:bookmarkStart w:id="999" w:name="Tc_8nagF5ZiuUSD_Yg0bjYBMg_36_2"/>
      <w:bookmarkStart w:id="1000" w:name="Tc__6Re1n5GwkSW7KnDjBfleg_36_0"/>
      <w:bookmarkStart w:id="1001" w:name="Tc_27czLGpikkmELvRGzMTEKg_35_0"/>
      <w:bookmarkStart w:id="1002" w:name="Tc_DpJY4VNdq0u9K3FmKvGDCg_34_0"/>
      <w:bookmarkStart w:id="1003" w:name="Tc_eklUjMLqGk-y8kjzF4FrzA_33_0"/>
      <w:bookmarkStart w:id="1004" w:name="Tc_X9ruaAZe7EWQlFl_dEXlFQ_32_6"/>
      <w:bookmarkStart w:id="1005" w:name="Tc_iU6lW1ADNUSuhQbJDyxKXg_32_5"/>
      <w:bookmarkStart w:id="1006" w:name="Tc_X-6orQvt7UmjoO9ajAl4lw_32_2"/>
      <w:bookmarkStart w:id="1007" w:name="Tc_RC_bLEQPvkeCpscif7e1jw_32_0"/>
      <w:bookmarkStart w:id="1008" w:name="Tc_AumXqpyr7UGqvgavOWEKyQ_31_6"/>
      <w:bookmarkStart w:id="1009" w:name="Tc_d2udsbTxtEO_NZDnTysV4g_31_0"/>
      <w:bookmarkStart w:id="1010" w:name="Tc_KRbbQSN-nkeXQjEGa1jILQ_30_6"/>
      <w:bookmarkStart w:id="1011" w:name="Tc_sY8OhHtEmESc2JPEfG5IaA_30_0"/>
      <w:bookmarkStart w:id="1012" w:name="Tc_8AqQl-ey40egdK1RqgiGgQ_29_6"/>
      <w:bookmarkStart w:id="1013" w:name="Tc_kxB0dZMiT068qUxisDmLhw_29_0"/>
      <w:bookmarkStart w:id="1014" w:name="Tc_gTYShpNw_k6BKthCK5iG4g_28_6"/>
      <w:bookmarkStart w:id="1015" w:name="Tc_mllL0QOgf0W69S3nTnItBQ_28_0"/>
      <w:bookmarkStart w:id="1016" w:name="Tc_a3vsk4EaakmAhXAr50dd0A_27_6"/>
      <w:bookmarkStart w:id="1017" w:name="Tc_pFRDWmbsnECzv4bHhiH94g_27_0"/>
      <w:bookmarkStart w:id="1018" w:name="Tc_fADclGezRkGi63cWUZ8fKQ_26_7"/>
      <w:bookmarkStart w:id="1019" w:name="Tc_UE5Q2Ja1pUWHi8ZTtDkvjg_26_4"/>
      <w:bookmarkStart w:id="1020" w:name="Tc_0A3uVh17Ykat6r0RtGSFSw_26_0"/>
      <w:bookmarkStart w:id="1021" w:name="Tc_eWD5m7ek8kiVb9O5hpU3TQ_25_0"/>
      <w:bookmarkStart w:id="1022" w:name="Tc_fARk_1swJ0O03zumM5a7qQ_24_5"/>
      <w:bookmarkStart w:id="1023" w:name="Tc_SKurfjeFYk6DfnozMWG_Fw_24_2"/>
      <w:bookmarkStart w:id="1024" w:name="Tc_xN5EzE2ZF0SdrASmTEMcQQ_24_0"/>
      <w:bookmarkStart w:id="1025" w:name="Tc_OpYPsyDc3UGJCKnO_aymZQ_23_0"/>
      <w:bookmarkStart w:id="1026" w:name="Tc_8tHoKbN2KkmcF5p-hIT1mg_22_0"/>
      <w:bookmarkStart w:id="1027" w:name="Tc_HjdrAjJVDE2iQjF3yNc7YA_21_5"/>
      <w:bookmarkStart w:id="1028" w:name="Tc_Jf-GexOP3UuHFLy2bp_tqw_21_2"/>
      <w:bookmarkStart w:id="1029" w:name="Tc_rZQ0ENqW70Cy1I58_PzbiA_21_0"/>
      <w:bookmarkStart w:id="1030" w:name="Tc_GYkI1Zmby0amI-NJ4uhKxw_20_0"/>
      <w:bookmarkStart w:id="1031" w:name="Tc_f-R07QQ8sEStiU7E36Jy2g_19_0"/>
      <w:bookmarkStart w:id="1032" w:name="Tc_GWo8vm68Lk-BG5J_ibAA2w_18_0"/>
      <w:bookmarkStart w:id="1033" w:name="Tc_w_jPv1JTIU6HkQoKF1pWUw_17_0"/>
      <w:bookmarkStart w:id="1034" w:name="Tc_35aTwH5J60CHUXl7wH7ujg_16_0"/>
      <w:bookmarkStart w:id="1035" w:name="Tc_gmHMEouTQkeSGrVfiFD_oA_15_0"/>
      <w:bookmarkStart w:id="1036" w:name="Tc_Nci1stNvcE6rBbgPMSJI3Q_14_0"/>
      <w:bookmarkStart w:id="1037" w:name="Tc_eFxD1I7uCkePKWNu2FqEcA_13_6"/>
      <w:bookmarkStart w:id="1038" w:name="Tc_HTdI-JnWtkeFeOg_Ye0O9w_13_0"/>
      <w:bookmarkStart w:id="1039" w:name="Tc_uRbFuokjy0-oj5iEj6n5Zw_12_6"/>
      <w:bookmarkStart w:id="1040" w:name="Tc_1wXZz3Wqe0iBYtfG3ZS8jA_12_0"/>
      <w:bookmarkStart w:id="1041" w:name="Tc_mtNF_5qYh0aLFOsY9uSSCA_11_6"/>
      <w:bookmarkStart w:id="1042" w:name="Tc_XYBKW827OEq1ujfQ20Kkvg_11_0"/>
      <w:bookmarkStart w:id="1043" w:name="Tc_fm46QAk5Y06Z7yFfSvh9Dw_10_6"/>
      <w:bookmarkStart w:id="1044" w:name="Tc_0Ywnq5oEkUCF5bByRb4-Gg_10_0"/>
      <w:bookmarkStart w:id="1045" w:name="Tc_uEnAJS8mDk2wryiAH2K0WA_9_6"/>
      <w:bookmarkStart w:id="1046" w:name="Tc_06OZVysRmUWkey-VJnOahA_9_0"/>
      <w:bookmarkStart w:id="1047" w:name="Tc_jxyTURkXZEKYD9d5ND0ftg_8_0"/>
      <w:bookmarkStart w:id="1048" w:name="Tc_RIR4NPUzO0ChVhxVzFK8Lw_7_0"/>
      <w:bookmarkStart w:id="1049" w:name="Tc_A_b_Riy0_E-xzvI7ufi7Uw_6_0"/>
      <w:bookmarkStart w:id="1050" w:name="Tc_ANqJW5OgzkaXK2M37WjU2Q_5_0"/>
      <w:bookmarkStart w:id="1051" w:name="Tc_3jD-K4Thqk6pC0mDcAkFew_4_5"/>
      <w:bookmarkStart w:id="1052" w:name="Tc_-jw5pQuVvke5lkBgO2e3kQ_4_2"/>
      <w:bookmarkStart w:id="1053" w:name="Tc_I-8oxbpmokqLr5h9Py3cHQ_4_0"/>
      <w:bookmarkStart w:id="1054" w:name="Tc_7vLUpRO3a0OqVEx-nVliRA_3_0"/>
      <w:bookmarkStart w:id="1055" w:name="Tc_1ILV9A4vuEiljodu8gcGCw_2_5"/>
      <w:bookmarkStart w:id="1056" w:name="Tc_roJ7nVF4rEWDy3VTbQ6KFg_2_2"/>
      <w:bookmarkStart w:id="1057" w:name="Tc_rc4nGdob6ECdtIkaaWPzkg_1_2"/>
      <w:bookmarkStart w:id="1058" w:name="_eb7a6b72_b167_4818_8f59_0882a1a8abae"/>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tbl>
      <w:tblPr>
        <w:tblW w:w="8486" w:type="dxa"/>
        <w:jc w:val="left"/>
        <w:tblInd w:w="0" w:type="dxa"/>
        <w:tblCellMar>
          <w:top w:w="0" w:type="dxa"/>
          <w:left w:w="0" w:type="dxa"/>
          <w:bottom w:w="0" w:type="dxa"/>
          <w:right w:w="0" w:type="dxa"/>
        </w:tblCellMar>
      </w:tblPr>
      <w:tblGrid>
        <w:gridCol w:w="5371"/>
        <w:gridCol w:w="326"/>
        <w:gridCol w:w="248"/>
        <w:gridCol w:w="878"/>
        <w:gridCol w:w="326"/>
        <w:gridCol w:w="276"/>
        <w:gridCol w:w="850"/>
        <w:gridCol w:w="211"/>
      </w:tblGrid>
      <w:tr>
        <w:trPr/>
        <w:tc>
          <w:tcPr>
            <w:tcW w:w="5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410585" cy="175260"/>
                      <wp:effectExtent l="0" t="0" r="0" b="0"/>
                      <wp:wrapNone/>
                      <wp:docPr id="123" name="Frame123"/>
                      <a:graphic xmlns:a="http://schemas.openxmlformats.org/drawingml/2006/main">
                        <a:graphicData uri="http://schemas.microsoft.com/office/word/2010/wordprocessingShape">
                          <wps:wsp>
                            <wps:cNvSpPr txBox="1"/>
                            <wps:spPr>
                              <a:xfrm>
                                <a:off x="0" y="0"/>
                                <a:ext cx="3410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7480" cy="175260"/>
                      <wp:effectExtent l="0" t="0" r="0" b="0"/>
                      <wp:wrapNone/>
                      <wp:docPr id="125" name="Frame125"/>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57530" cy="175260"/>
                      <wp:effectExtent l="0" t="0" r="0" b="0"/>
                      <wp:wrapNone/>
                      <wp:docPr id="126" name="Frame126"/>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5260" cy="175260"/>
                      <wp:effectExtent l="0" t="0" r="0" b="0"/>
                      <wp:wrapNone/>
                      <wp:docPr id="128" name="Frame128"/>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9750" cy="175260"/>
                      <wp:effectExtent l="0" t="0" r="0" b="0"/>
                      <wp:wrapNone/>
                      <wp:docPr id="129" name="Frame129"/>
                      <a:graphic xmlns:a="http://schemas.openxmlformats.org/drawingml/2006/main">
                        <a:graphicData uri="http://schemas.microsoft.com/office/word/2010/wordprocessingShape">
                          <wps:wsp>
                            <wps:cNvSpPr txBox="1"/>
                            <wps:spPr>
                              <a:xfrm>
                                <a:off x="0" y="0"/>
                                <a:ext cx="539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57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11" w:type="dxa"/>
            <w:tcBorders/>
            <w:shd w:fill="auto" w:val="clear"/>
            <w:vAlign w:val="center"/>
          </w:tcPr>
          <w:p>
            <w:pPr>
              <w:pStyle w:val="TableContents"/>
              <w:spacing w:before="0" w:after="1"/>
              <w:ind w:left="0" w:right="0" w:hanging="0"/>
              <w:jc w:val="center"/>
              <w:rPr/>
            </w:pPr>
            <w:r>
              <w:rPr/>
              <w:t> </w:t>
            </w:r>
          </w:p>
        </w:tc>
      </w:tr>
      <w:tr>
        <w:trPr/>
        <w:tc>
          <w:tcPr>
            <w:tcW w:w="5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2020</w:t>
            </w:r>
          </w:p>
        </w:tc>
        <w:tc>
          <w:tcPr>
            <w:tcW w:w="211" w:type="dxa"/>
            <w:tcBorders/>
            <w:shd w:fill="auto" w:val="clear"/>
            <w:vAlign w:val="center"/>
          </w:tcPr>
          <w:p>
            <w:pPr>
              <w:pStyle w:val="TableContents"/>
              <w:spacing w:before="0" w:after="1"/>
              <w:ind w:left="0" w:right="0" w:hanging="0"/>
              <w:jc w:val="center"/>
              <w:rPr/>
            </w:pPr>
            <w:r>
              <w:rPr/>
              <w:t> </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  </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(31,371)</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(7,608)</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  </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 based compensation</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9,533</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1,271</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ROU asset and liability</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Fair valuation gain on embedded derivatives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(5,994)</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Unrealized foreign exchange gain on convertible loan notes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Non-cash interest expense on convertible loan notes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813</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Deferred tax benefit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on conversion of convertible loan notes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13,789</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492</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(7,176)</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138</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Research and development incentives receivable</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(1,843)</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1,427</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(1,547)</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(1,472)</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766</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525</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(22,593)</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(5,271)</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pPr>
            <w:r>
              <w:rPr/>
              <w:t>  </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(594)</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(594)</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  </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Issue of shares and exercise of stock options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12"/>
              </w:rPr>
            </w:pPr>
            <w:r>
              <w:rPr>
                <w:rFonts w:ascii="Times New Roman;Times;serif" w:hAnsi="Times New Roman;Times;serif"/>
                <w:sz w:val="12"/>
              </w:rPr>
              <w:t>1</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211" w:type="dxa"/>
            <w:tcBorders/>
            <w:shd w:fill="auto" w:val="clear"/>
            <w:vAlign w:val="center"/>
          </w:tcPr>
          <w:p>
            <w:pPr>
              <w:pStyle w:val="TableContents"/>
              <w:spacing w:lineRule="auto" w:line="240" w:before="0" w:after="1"/>
              <w:ind w:left="0" w:right="0" w:hanging="0"/>
              <w:rPr>
                <w:rFonts w:ascii="Times New Roman;Times;serif" w:hAnsi="Times New Roman;Times;serif"/>
                <w:sz w:val="12"/>
              </w:rPr>
            </w:pPr>
            <w:r>
              <w:rPr>
                <w:rFonts w:ascii="Times New Roman;Times;serif" w:hAnsi="Times New Roman;Times;serif"/>
                <w:sz w:val="12"/>
              </w:rPr>
              <w:t>1</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Initial public offering costs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(778)</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Transaction costs for Series B shares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(3,402)</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issue of Series B shares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125,239</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issue of shares to noncontrolling interest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296</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issuance of ordinary shares, net of underwriters fees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102,765</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5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224,120</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EFFECT OF EXCHANGE RATES ON CASH AND CASH EQUIVALENTS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(580)</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(817)</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increase (decrease) in cash and cash equivalents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200,353</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(6,156)</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and cash equivalents, beginning of the period</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43,266</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11,432</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and cash equivalents, end of the period</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243,619</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5,276</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Supplemental cash flow disclosures: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paid for interest</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1,844</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paid for income taxes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Non-Cash investing activities </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850"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Capital expenditures included in accounts payable</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1,498</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Non-Cash financing activities </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850"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Issue of ordinary shares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12"/>
              </w:rPr>
            </w:pPr>
            <w:r>
              <w:rPr>
                <w:rFonts w:ascii="Times New Roman;Times;serif" w:hAnsi="Times New Roman;Times;serif"/>
                <w:sz w:val="12"/>
              </w:rPr>
              <w:t>1</w:t>
            </w:r>
          </w:p>
        </w:tc>
        <w:tc>
          <w:tcPr>
            <w:tcW w:w="276"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Issue of deferred A shares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Issue of deferred B shares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r>
      <w:tr>
        <w:trPr/>
        <w:tc>
          <w:tcPr>
            <w:tcW w:w="53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Issue of deferred C shares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12"/>
              </w:rPr>
            </w:pPr>
            <w:r>
              <w:rPr>
                <w:rFonts w:ascii="Times New Roman;Times;serif" w:hAnsi="Times New Roman;Times;serif"/>
                <w:sz w:val="12"/>
              </w:rPr>
              <w:t>1</w:t>
            </w:r>
          </w:p>
        </w:tc>
        <w:tc>
          <w:tcPr>
            <w:tcW w:w="276" w:type="dxa"/>
            <w:tcBorders/>
            <w:shd w:fill="CCEEFF" w:val="clear"/>
            <w:vAlign w:val="center"/>
          </w:tcPr>
          <w:p>
            <w:pPr>
              <w:pStyle w:val="TableContents"/>
              <w:spacing w:before="0" w:after="1"/>
              <w:ind w:left="0" w:right="0" w:hanging="0"/>
              <w:rPr/>
            </w:pPr>
            <w:r>
              <w:rPr/>
              <w:t>​</w:t>
            </w:r>
          </w:p>
        </w:tc>
        <w:tc>
          <w:tcPr>
            <w:tcW w:w="850"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r>
      <w:tr>
        <w:trPr/>
        <w:tc>
          <w:tcPr>
            <w:tcW w:w="53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Issue of Series B shares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53,721</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50"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lineRule="auto" w:line="240" w:before="0" w:after="24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Indicates amounts less than thousand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1059" w:name="_Hlk78944657"/>
      <w:bookmarkEnd w:id="1059"/>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1060" w:name="a1NatureofBusinessandBasisofPresentation"/>
      <w:bookmarkEnd w:id="1060"/>
      <w:r>
        <w:rPr>
          <w:rFonts w:ascii="Times New Roman;Times;serif" w:hAnsi="Times New Roman;Times;serif"/>
          <w:b/>
          <w:sz w:val="20"/>
        </w:rPr>
        <w:t>1.    Nature of Business and Basis of Presentation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Vaccitech plc (Vaccitech) is a public limited company incorporated pursuant to the laws of England and Wales in March 2021. Vaccitech is engaged in the discovery and development of novel immunotherapeutics and vaccines for the treatment and prevention of infectious disease and cancer. Vaccitech is headquartered in Oxford, United Kingdom. Vaccitech and its five direct and indirect subsidiaries, Vaccitech (UK) Limited, Vaccitech Australia Pty Limited, Vaccitech Oncology Limited (“VOLT”), Vaccitech USA Inc. and Vaccitech Italia S.R.L, are collectively referred to as the “Company”.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 The group reorganization under common control constitutes a change in reporting entity and has been given retrospective effect reflecting the net assets of Vaccitech (UK) Limited (formerly Vaccitech Limited) and its subsidiaries and Vaccitech plc at their historical carrying amounts. As a result of the reorganization these unaudited condensed consolidated financial statements have been presented for all periods as if Vaccitech plc was the holding company of the group.</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operates in an environment of rapid technological change and substantial competition from pharmaceutical and biotechnology companies. The Company is subject to risks common to companies in the biopharmaceutical industry in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wholly owned subsidiary. All intercompany accounts and transactions have been eliminated in consolidation.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 the year ended December 31, 2020.</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May 4, 2021, the Company effected a 309-for-1 stock split of ordinary shares. Each resultant ordinary share from the stock split was redesignated as one ordinary share and one deferred C share. Accordingly, all ordinary share and per share amounts for all periods presented in the accompanying unaudited condensed consolidated financial statements and notes thereto have been retroactively adjusted, where applicable, to reflect the stock split.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condensed consolidated balance sheet and statement of changes in redeemable convertible preferred shares and shareholders’ equity include the correction of an error related to the Company’s consolidated financial statements for the period ended December 31, 2019. The error related to the omission of share-based compensation expense totaling $2,129 thousand in the period ended December 31, 2019. The correction of this error has been recorded as an adjustment to previously reported additional paid-in-capital and accumulated deficit as of January 1, 2020 and consequently as of December 31, 2020. There is no impact on net loss or cash flows, and no material impact on financial position for the periods presented.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Unaudited Condensed Financial Information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accompanying Condensed Consolidated Balance Sheet as of June 30, 2021, the Condensed Consolidated Statements of Operations and Comprehensive Loss and Condensed Consolidated Statements of Changes in Redeemable Convertible Preferred Shares and Shareholders’ Equity (Deficit) for the three months and six months ended June 30, 2021 and 2020 and the Condensed Consolidated Statements of Cash Flows for the six months ended June 30, 2021 and 2020 are unaudited. These unaudited condensed consolidated financial statements have been prepared on the same basis as the audited annual consolidated financial statements. In our opinion, the unaudited condensed consolidated financial statements include all adjustments of a normal recurring nature necessary for the fair presentation of our financial position as of June 30, 2021, our results of operations for the three months and six ended June 30, 2021 and 2020, and our cash flows for the six months ended June 30, 2021 and 2020. The results of operations for the three and six months ended June 30, 2021 are not necessarily indicative of the results to be expected for the year ending December 31, 2021, or any other interim periods.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accounting policies of the Company are set forth in Note 2 to the consolidated financial statements as of and for the year ended December 31, 2020 except as discussed below related to newly adopted accounting pronouncements.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amounts of assets and liabilities and the disclosure of contingent assets and liabilities at the date of the unaudited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We have experienced and expect to continue to experience disruptions as a result of the COVID-19 pandemic that could severely impact the Company’s clinical and pre-clinical development timelines for the Company’s clinical and pre-clinical programs. Estimates and assumptions about future events and their effects cannot be determined with certainty and therefore require the exercise of judgment. As of the date of issuance of these unaudited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adopted ASU No. 2018-15, Intangibles-Goodwill and Other-Internal-Use Software (Subtopic 350-40): Customer’s Accounting for Implementation Costs Incurred in a Cloud Computing Arrangement That Is a Service Contract (“ASU 2018-15”) on January 1, 2021. The new standard did not have an impact on the Company’s financial position and results of operations.</w:t>
      </w:r>
    </w:p>
    <w:p>
      <w:pPr>
        <w:pStyle w:val="TextBody"/>
        <w:spacing w:before="0" w:after="240"/>
        <w:ind w:left="0" w:right="0" w:hanging="0"/>
        <w:rPr>
          <w:rFonts w:ascii="Times New Roman;Times;serif" w:hAnsi="Times New Roman;Times;serif"/>
          <w:b/>
          <w:sz w:val="20"/>
        </w:rPr>
      </w:pPr>
      <w:bookmarkStart w:id="1061" w:name="Tc_vU3T4bfi6kunLEI0VlbWNg_4_2"/>
      <w:bookmarkStart w:id="1062" w:name="Tc_x0RaJpyia0KMogOThSQtBA_4_0"/>
      <w:bookmarkStart w:id="1063" w:name="Tc_ggqu6VFwf0eLN3buUYOYiw_3_0"/>
      <w:bookmarkStart w:id="1064" w:name="Tc_VUfwJPnCo0Of0V4Yb49khg_2_4"/>
      <w:bookmarkStart w:id="1065" w:name="Tc_XyG-rnEBpUeUjMRN3467_w_2_2"/>
      <w:bookmarkStart w:id="1066" w:name="Tc_WyW-g6PKzUm8nfX3yBEeow_1_2"/>
      <w:bookmarkStart w:id="1067" w:name="Tc_iGdNH9j5_06Hw9yjAJFiWg_9_11"/>
      <w:bookmarkStart w:id="1068" w:name="Tc_XUi07vSqwkaIgCpU5_yllw_9_8"/>
      <w:bookmarkStart w:id="1069" w:name="Tc_PSyCAqyr3keiaAmAIL5bkw_9_5"/>
      <w:bookmarkStart w:id="1070" w:name="Tc_2sMDo-EMCkKtExmqAmu9vQ_9_2"/>
      <w:bookmarkStart w:id="1071" w:name="Tc_gb4Wwao_tESrgnmEOAHTxA_9_0"/>
      <w:bookmarkStart w:id="1072" w:name="Tc_-poV6pqnW0CbVdz8T6DLDw_8_0"/>
      <w:bookmarkStart w:id="1073" w:name="Tc_tmHt65bJV065ZbxEnFrRsA_7_0"/>
      <w:bookmarkStart w:id="1074" w:name="Tc_pBq2OQwvq0KEDuyB0IrGgw_6_11"/>
      <w:bookmarkStart w:id="1075" w:name="Tc_B4OtOs3ZaEqCF232EpoZKQ_6_8"/>
      <w:bookmarkStart w:id="1076" w:name="Tc_Cb0YkOsn3Ua83YXIdQLxcw_6_5"/>
      <w:bookmarkStart w:id="1077" w:name="Tc_f-c8c0WWFkS6wjiCSuNLkg_6_2"/>
      <w:bookmarkStart w:id="1078" w:name="Tc_8VsAo6qf-UqdmDHlqTj1VA_6_0"/>
      <w:bookmarkStart w:id="1079" w:name="Tc_0SMq3Npg2EaWbUpSppByUg_5_0"/>
      <w:bookmarkStart w:id="1080" w:name="Tc_DYjGB3GG5kWDbPJaUmMuyA_4_11"/>
      <w:bookmarkStart w:id="1081" w:name="Tc_0Vmsr2Wm2EyJ7ocAoCb03Q_4_8"/>
      <w:bookmarkStart w:id="1082" w:name="Tc_QX0rSrJnxEmE1HLmONf30A_4_5"/>
      <w:bookmarkStart w:id="1083" w:name="Tc_Oy3HqzjyekOREnCGNqnYcg_4_2"/>
      <w:bookmarkStart w:id="1084" w:name="Tc_brTgZ8dOrUW3HbCo_zJLRA_4_0"/>
      <w:bookmarkStart w:id="1085" w:name="Tc_pFA48b9kaEG4wOIZgps1nA_3_0"/>
      <w:bookmarkStart w:id="1086" w:name="Tc_6nTOwNYFqUuaeei8skgIjg_2_11"/>
      <w:bookmarkStart w:id="1087" w:name="Tc_s1ST-WBGe0etzu4XJeHz7w_2_8"/>
      <w:bookmarkStart w:id="1088" w:name="Tc_Z4aJ41srRkef6MZs24-6KQ_2_5"/>
      <w:bookmarkStart w:id="1089" w:name="Tc_8eoR80QcAUWIc86SeUlucw_2_2"/>
      <w:bookmarkStart w:id="1090" w:name="Tc_ein5V8NiLU2x4urQXBa_QA_1_8"/>
      <w:bookmarkStart w:id="1091" w:name="Tc_5Cskuur16EK6ZfeEBm6mig_1_2"/>
      <w:bookmarkStart w:id="1092" w:name="_059ece51_85e3_48b9_82d5_cfcb81a7a0cd"/>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b/>
          <w:sz w:val="20"/>
        </w:rPr>
        <w:t>3.    Net Loss Per Share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Because the Company has reported a net loss attributable to ordinary shareholders for the period presented, basic and diluted net loss per share attributable to ordinary shareholders are the same for the period presented. All stock options have been excluded from the computation of diluted weighted-average shares outstanding because such securities would have an antidilutive impact.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for the three months and six months ended June 30, 2021 and 2020 (in thousands, except number of shares):</w:t>
      </w:r>
    </w:p>
    <w:p>
      <w:pPr>
        <w:pStyle w:val="TextBody"/>
        <w:spacing w:before="0" w:after="240"/>
        <w:ind w:left="360" w:right="0" w:hanging="0"/>
        <w:rPr/>
      </w:pPr>
      <w:r>
        <w:rPr/>
        <w:t>​</w:t>
      </w:r>
    </w:p>
    <w:tbl>
      <w:tblPr>
        <w:tblW w:w="10205" w:type="dxa"/>
        <w:jc w:val="left"/>
        <w:tblInd w:w="0" w:type="dxa"/>
        <w:tblCellMar>
          <w:top w:w="0" w:type="dxa"/>
          <w:left w:w="0" w:type="dxa"/>
          <w:bottom w:w="0" w:type="dxa"/>
          <w:right w:w="0" w:type="dxa"/>
        </w:tblCellMar>
      </w:tblPr>
      <w:tblGrid>
        <w:gridCol w:w="4078"/>
        <w:gridCol w:w="326"/>
        <w:gridCol w:w="211"/>
        <w:gridCol w:w="1036"/>
        <w:gridCol w:w="326"/>
        <w:gridCol w:w="211"/>
        <w:gridCol w:w="931"/>
        <w:gridCol w:w="326"/>
        <w:gridCol w:w="211"/>
        <w:gridCol w:w="1036"/>
        <w:gridCol w:w="326"/>
        <w:gridCol w:w="211"/>
        <w:gridCol w:w="976"/>
      </w:tblGrid>
      <w:tr>
        <w:trPr/>
        <w:tc>
          <w:tcPr>
            <w:tcW w:w="40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589530" cy="175260"/>
                      <wp:effectExtent l="0" t="0" r="0" b="0"/>
                      <wp:wrapNone/>
                      <wp:docPr id="131" name="Frame131"/>
                      <a:graphic xmlns:a="http://schemas.openxmlformats.org/drawingml/2006/main">
                        <a:graphicData uri="http://schemas.microsoft.com/office/word/2010/wordprocessingShape">
                          <wps:wsp>
                            <wps:cNvSpPr txBox="1"/>
                            <wps:spPr>
                              <a:xfrm>
                                <a:off x="0" y="0"/>
                                <a:ext cx="2589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4" name="Frame13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91185" cy="175260"/>
                      <wp:effectExtent l="0" t="0" r="0" b="0"/>
                      <wp:wrapNone/>
                      <wp:docPr id="137" name="Frame13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40" name="Frame14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19760" cy="175260"/>
                      <wp:effectExtent l="0" t="0" r="0" b="0"/>
                      <wp:wrapNone/>
                      <wp:docPr id="143" name="Frame143"/>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7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shd w:fill="auto" w:val="clear"/>
            <w:vAlign w:val="center"/>
          </w:tcPr>
          <w:p>
            <w:pPr>
              <w:pStyle w:val="TableContents"/>
              <w:spacing w:before="0" w:after="1"/>
              <w:ind w:left="0" w:right="0" w:hanging="0"/>
              <w:jc w:val="center"/>
              <w:rPr/>
            </w:pPr>
            <w:r>
              <w:rPr/>
              <w:t> </w:t>
            </w:r>
          </w:p>
        </w:tc>
        <w:tc>
          <w:tcPr>
            <w:tcW w:w="276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07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40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pPr>
            <w:r>
              <w:rPr/>
              <w:t>  </w:t>
            </w:r>
          </w:p>
        </w:tc>
      </w:tr>
      <w:tr>
        <w:trPr/>
        <w:tc>
          <w:tcPr>
            <w:tcW w:w="407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(15,985)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(7,608)</w:t>
            </w:r>
          </w:p>
        </w:tc>
      </w:tr>
      <w:tr>
        <w:trPr/>
        <w:tc>
          <w:tcPr>
            <w:tcW w:w="40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noncontrolling interest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407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Vaccitech shareholders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(15,927)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(31,195)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(7,409)</w:t>
            </w:r>
          </w:p>
        </w:tc>
      </w:tr>
      <w:tr>
        <w:trPr/>
        <w:tc>
          <w:tcPr>
            <w:tcW w:w="40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pPr>
            <w:r>
              <w:rPr/>
              <w:t>  </w:t>
            </w:r>
          </w:p>
        </w:tc>
      </w:tr>
      <w:tr>
        <w:trPr/>
        <w:tc>
          <w:tcPr>
            <w:tcW w:w="407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Weighted-average ordinary shares outstanding, basic and diluted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24,897,665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7,904,838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16,523,961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7,860,760</w:t>
            </w:r>
          </w:p>
        </w:tc>
      </w:tr>
      <w:tr>
        <w:trPr/>
        <w:tc>
          <w:tcPr>
            <w:tcW w:w="40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per share attributable to ordinary shareholders, basic and diluted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r>
    </w:tbl>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weighted-average ordinary shares outstanding includes 514,923 shares issuable on vesting of the restricted stock units with a performance condition linked to the IPO resolution date (see note 11).</w:t>
      </w:r>
    </w:p>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Potential ordinary shares issuable for stock options that are excluded from the computation of diluted weighted-average shares outstanding because including them would have had an anti-dilutive effect are as follows:</w:t>
      </w:r>
    </w:p>
    <w:p>
      <w:pPr>
        <w:pStyle w:val="TextBody"/>
        <w:spacing w:before="0" w:after="240"/>
        <w:ind w:left="360" w:right="0" w:hanging="0"/>
        <w:rPr/>
      </w:pPr>
      <w:r>
        <w:rPr/>
        <w:t>​</w:t>
      </w:r>
    </w:p>
    <w:tbl>
      <w:tblPr>
        <w:tblW w:w="3940" w:type="dxa"/>
        <w:jc w:val="left"/>
        <w:tblInd w:w="0" w:type="dxa"/>
        <w:tblCellMar>
          <w:top w:w="0" w:type="dxa"/>
          <w:left w:w="0" w:type="dxa"/>
          <w:bottom w:w="0" w:type="dxa"/>
          <w:right w:w="0" w:type="dxa"/>
        </w:tblCellMar>
      </w:tblPr>
      <w:tblGrid>
        <w:gridCol w:w="1321"/>
        <w:gridCol w:w="326"/>
        <w:gridCol w:w="931"/>
        <w:gridCol w:w="326"/>
        <w:gridCol w:w="1036"/>
      </w:tblGrid>
      <w:tr>
        <w:trPr/>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38835" cy="175260"/>
                      <wp:effectExtent l="0" t="0" r="0" b="0"/>
                      <wp:wrapNone/>
                      <wp:docPr id="144" name="Frame144"/>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1185" cy="175260"/>
                      <wp:effectExtent l="0" t="0" r="0" b="0"/>
                      <wp:wrapNone/>
                      <wp:docPr id="146" name="Frame14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7860" cy="175260"/>
                      <wp:effectExtent l="0" t="0" r="0" b="0"/>
                      <wp:wrapNone/>
                      <wp:docPr id="148" name="Frame14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3,408,663</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1,244,961</w:t>
            </w:r>
          </w:p>
        </w:tc>
      </w:tr>
      <w:tr>
        <w:trPr/>
        <w:tc>
          <w:tcPr>
            <w:tcW w:w="1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 shares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6,818,085</w:t>
            </w:r>
          </w:p>
        </w:tc>
      </w:tr>
    </w:tbl>
    <w:p>
      <w:pPr>
        <w:pStyle w:val="TextBody"/>
        <w:spacing w:before="0" w:after="240"/>
        <w:ind w:left="360" w:right="0" w:hanging="0"/>
        <w:rPr/>
      </w:pPr>
      <w:r>
        <w:rPr/>
        <w:t>​</w:t>
      </w:r>
    </w:p>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20"/>
        </w:rPr>
      </w:pPr>
      <w:bookmarkStart w:id="1093" w:name="Tc_wzaG31xksUeNqjD-CTVpDg_6_5"/>
      <w:bookmarkStart w:id="1094" w:name="Tc_ppQSTzPw8E-3Ypi50QJrUA_6_2"/>
      <w:bookmarkStart w:id="1095" w:name="Tc_WitMrjb0FEK9ts5C3Y-fqQ_6_0"/>
      <w:bookmarkStart w:id="1096" w:name="Tc_SBrGQfHP70i8X7dCi6cEWQ_5_0"/>
      <w:bookmarkStart w:id="1097" w:name="Tc_fEwCpkeH1ke7Azedq3hiDg_4_6"/>
      <w:bookmarkStart w:id="1098" w:name="Tc_mHw6xVAnY0COWPmt9YRJFw_4_0"/>
      <w:bookmarkStart w:id="1099" w:name="Tc_SW6CmFfpokeW7-usikBFZw_3_0"/>
      <w:bookmarkStart w:id="1100" w:name="Tc_BFXYhNTx0E2yQQiyJI9x3g_2_5"/>
      <w:bookmarkStart w:id="1101" w:name="Tc_6cmtqAaSZ0u-uKwcUxereg_2_2"/>
      <w:bookmarkStart w:id="1102" w:name="Tc_laUuiXFok0SZKvIXP70ccA_2_0"/>
      <w:bookmarkStart w:id="1103" w:name="Tc_0y15aJz5bkGrm5I6S1quvw_1_5"/>
      <w:bookmarkStart w:id="1104" w:name="Tc_5qEJwjQ_XUWQ36UhlKjDtw_1_2"/>
      <w:bookmarkEnd w:id="1093"/>
      <w:bookmarkEnd w:id="1094"/>
      <w:bookmarkEnd w:id="1095"/>
      <w:bookmarkEnd w:id="1096"/>
      <w:bookmarkEnd w:id="1097"/>
      <w:bookmarkEnd w:id="1098"/>
      <w:bookmarkEnd w:id="1099"/>
      <w:bookmarkEnd w:id="1100"/>
      <w:bookmarkEnd w:id="1101"/>
      <w:bookmarkEnd w:id="1102"/>
      <w:bookmarkEnd w:id="1103"/>
      <w:bookmarkEnd w:id="1104"/>
      <w:r>
        <w:rPr>
          <w:rFonts w:ascii="Times New Roman;Times;serif" w:hAnsi="Times New Roman;Times;serif"/>
          <w:b/>
          <w:sz w:val="20"/>
        </w:rPr>
        <w:t>4.    Prepaid and other current assets (in thousands)</w:t>
      </w:r>
    </w:p>
    <w:p>
      <w:pPr>
        <w:pStyle w:val="TextBody"/>
        <w:spacing w:before="0" w:after="240"/>
        <w:ind w:left="0" w:right="0" w:hanging="0"/>
        <w:rPr/>
      </w:pPr>
      <w:r>
        <w:rPr/>
        <w:t>​</w:t>
      </w:r>
    </w:p>
    <w:tbl>
      <w:tblPr>
        <w:tblW w:w="6145" w:type="dxa"/>
        <w:jc w:val="left"/>
        <w:tblInd w:w="0" w:type="dxa"/>
        <w:tblCellMar>
          <w:top w:w="0" w:type="dxa"/>
          <w:left w:w="0" w:type="dxa"/>
          <w:bottom w:w="0" w:type="dxa"/>
          <w:right w:w="0" w:type="dxa"/>
        </w:tblCellMar>
      </w:tblPr>
      <w:tblGrid>
        <w:gridCol w:w="2821"/>
        <w:gridCol w:w="326"/>
        <w:gridCol w:w="303"/>
        <w:gridCol w:w="823"/>
        <w:gridCol w:w="326"/>
        <w:gridCol w:w="367"/>
        <w:gridCol w:w="1179"/>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91335" cy="175260"/>
                      <wp:effectExtent l="0" t="0" r="0" b="0"/>
                      <wp:wrapNone/>
                      <wp:docPr id="149" name="Frame149"/>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2405" cy="175260"/>
                      <wp:effectExtent l="0" t="0" r="0" b="0"/>
                      <wp:wrapNone/>
                      <wp:docPr id="151" name="Frame151"/>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2605" cy="175260"/>
                      <wp:effectExtent l="0" t="0" r="0" b="0"/>
                      <wp:wrapNone/>
                      <wp:docPr id="152" name="Frame152"/>
                      <a:graphic xmlns:a="http://schemas.openxmlformats.org/drawingml/2006/main">
                        <a:graphicData uri="http://schemas.microsoft.com/office/word/2010/wordprocessingShape">
                          <wps:wsp>
                            <wps:cNvSpPr txBox="1"/>
                            <wps:spPr>
                              <a:xfrm>
                                <a:off x="0" y="0"/>
                                <a:ext cx="522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33045" cy="175260"/>
                      <wp:effectExtent l="0" t="0" r="0" b="0"/>
                      <wp:wrapNone/>
                      <wp:docPr id="154" name="Frame154"/>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48665" cy="175260"/>
                      <wp:effectExtent l="0" t="0" r="0" b="0"/>
                      <wp:wrapNone/>
                      <wp:docPr id="155" name="Frame155"/>
                      <a:graphic xmlns:a="http://schemas.openxmlformats.org/drawingml/2006/main">
                        <a:graphicData uri="http://schemas.microsoft.com/office/word/2010/wordprocessingShape">
                          <wps:wsp>
                            <wps:cNvSpPr txBox="1"/>
                            <wps:spPr>
                              <a:xfrm>
                                <a:off x="0" y="0"/>
                                <a:ext cx="748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326" w:type="dxa"/>
            <w:tcBorders/>
            <w:shd w:fill="auto" w:val="clear"/>
            <w:vAlign w:val="center"/>
          </w:tcPr>
          <w:p>
            <w:pPr>
              <w:pStyle w:val="TableContents"/>
              <w:spacing w:before="0" w:after="1"/>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Prepayments and accrued income</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7,506</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Value Added Tax receivable </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 </w:t>
            </w:r>
          </w:p>
        </w:tc>
        <w:tc>
          <w:tcPr>
            <w:tcW w:w="8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26"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 </w:t>
            </w:r>
          </w:p>
        </w:tc>
        <w:tc>
          <w:tcPr>
            <w:tcW w:w="11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tax receivable</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w:t>
            </w:r>
          </w:p>
        </w:tc>
        <w:tc>
          <w:tcPr>
            <w:tcW w:w="8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w:t>
            </w:r>
          </w:p>
        </w:tc>
        <w:tc>
          <w:tcPr>
            <w:tcW w:w="1179" w:type="dxa"/>
            <w:tcBorders/>
            <w:shd w:fill="CCEEFF" w:val="clear"/>
            <w:vAlign w:val="center"/>
          </w:tcPr>
          <w:p>
            <w:pPr>
              <w:pStyle w:val="TableContents"/>
              <w:spacing w:before="0" w:after="1"/>
              <w:ind w:left="0" w:right="0" w:hanging="0"/>
              <w:jc w:val="right"/>
              <w:rPr/>
            </w:pPr>
            <w:r>
              <w:rPr/>
              <w:t>—</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30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w:t>
            </w:r>
          </w:p>
        </w:tc>
        <w:tc>
          <w:tcPr>
            <w:tcW w:w="30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8,514</w:t>
            </w:r>
          </w:p>
        </w:tc>
        <w:tc>
          <w:tcPr>
            <w:tcW w:w="326" w:type="dxa"/>
            <w:tcBorders/>
            <w:shd w:fill="CCEEFF" w:val="clear"/>
            <w:vAlign w:val="center"/>
          </w:tcPr>
          <w:p>
            <w:pPr>
              <w:pStyle w:val="TableContents"/>
              <w:spacing w:before="0" w:after="1"/>
              <w:ind w:left="0" w:right="0" w:hanging="0"/>
              <w:rPr/>
            </w:pPr>
            <w:r>
              <w:rPr/>
              <w:t>​</w:t>
            </w:r>
          </w:p>
        </w:tc>
        <w:tc>
          <w:tcPr>
            <w:tcW w:w="36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1,409</w:t>
            </w:r>
          </w:p>
        </w:tc>
      </w:tr>
    </w:tbl>
    <w:p>
      <w:pPr>
        <w:pStyle w:val="TextBody"/>
        <w:spacing w:before="0" w:after="240"/>
        <w:ind w:left="360" w:right="0" w:hanging="0"/>
        <w:rPr/>
      </w:pPr>
      <w:r>
        <w:rPr/>
        <w:t>​</w:t>
      </w:r>
    </w:p>
    <w:p>
      <w:pPr>
        <w:pStyle w:val="TextBody"/>
        <w:spacing w:before="0" w:after="240"/>
        <w:ind w:left="360" w:right="0" w:hanging="0"/>
        <w:rPr/>
      </w:pPr>
      <w:r>
        <w:rPr/>
        <w:t>​</w:t>
      </w:r>
    </w:p>
    <w:p>
      <w:pPr>
        <w:pStyle w:val="TextBody"/>
        <w:spacing w:before="0" w:after="240"/>
        <w:ind w:left="0" w:right="0" w:hanging="0"/>
        <w:rPr>
          <w:rFonts w:ascii="Times New Roman;Times;serif" w:hAnsi="Times New Roman;Times;serif"/>
          <w:b/>
          <w:sz w:val="20"/>
        </w:rPr>
      </w:pPr>
      <w:bookmarkStart w:id="1105" w:name="Tc_RRLRe4ZuokS47KJBSi_Vvg_8_5"/>
      <w:bookmarkStart w:id="1106" w:name="Tc_NXlVTNanUkW8rEwBYe6IOQ_8_2"/>
      <w:bookmarkStart w:id="1107" w:name="Tc_KWu9GdeJq02idCNdCUtVDQ_8_0"/>
      <w:bookmarkStart w:id="1108" w:name="Tc_U3Yovbo6hk6beObI-aPfWA_7_0"/>
      <w:bookmarkStart w:id="1109" w:name="Tc_bua3LRK64ESW4wWqRcAa-w_6_0"/>
      <w:bookmarkStart w:id="1110" w:name="Tc_VVIk1li0ZEWBiI7nUpMXzA_5_0"/>
      <w:bookmarkStart w:id="1111" w:name="Tc_vcThJ6pz0ESBh5TOB0IrHA_4_0"/>
      <w:bookmarkStart w:id="1112" w:name="Tc_cZa3HLpoHUOG0RAr-trL0Q_3_0"/>
      <w:bookmarkStart w:id="1113" w:name="Tc_M5g4_v9_S0WCRlsHQA_20Q_2_5"/>
      <w:bookmarkStart w:id="1114" w:name="Tc_C8JdFLk1mE6EHYJumW1NxQ_2_2"/>
      <w:bookmarkStart w:id="1115" w:name="Tc_63KOKAC7v0exWxjsGjw0Jw_2_0"/>
      <w:bookmarkStart w:id="1116" w:name="Tc_U4VNLti5h06e2hKCYnEIhQ_1_5"/>
      <w:bookmarkStart w:id="1117" w:name="Tc_8EV-eizwNUGPA7RzIjYN1Q_1_2"/>
      <w:bookmarkStart w:id="1118" w:name="_65ec38a1_9d7e_434e_9112_26f5126e61ea"/>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Times New Roman;Times;serif" w:hAnsi="Times New Roman;Times;serif"/>
          <w:b/>
          <w:sz w:val="20"/>
        </w:rPr>
        <w:t>5.    Accrued Expenses and Other Current Liabilities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Accrued expenses and other current liabilities consist of the following (in thousands):</w:t>
      </w:r>
    </w:p>
    <w:p>
      <w:pPr>
        <w:pStyle w:val="TextBody"/>
        <w:spacing w:before="0" w:after="240"/>
        <w:ind w:left="0" w:right="0" w:hanging="0"/>
        <w:rPr/>
      </w:pPr>
      <w:r>
        <w:rPr/>
        <w:t>​</w:t>
      </w:r>
    </w:p>
    <w:tbl>
      <w:tblPr>
        <w:tblW w:w="7134" w:type="dxa"/>
        <w:jc w:val="left"/>
        <w:tblInd w:w="0" w:type="dxa"/>
        <w:tblCellMar>
          <w:top w:w="0" w:type="dxa"/>
          <w:left w:w="0" w:type="dxa"/>
          <w:bottom w:w="0" w:type="dxa"/>
          <w:right w:w="0" w:type="dxa"/>
        </w:tblCellMar>
      </w:tblPr>
      <w:tblGrid>
        <w:gridCol w:w="3811"/>
        <w:gridCol w:w="326"/>
        <w:gridCol w:w="303"/>
        <w:gridCol w:w="822"/>
        <w:gridCol w:w="326"/>
        <w:gridCol w:w="367"/>
        <w:gridCol w:w="1179"/>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419985" cy="175260"/>
                      <wp:effectExtent l="0" t="0" r="0" b="0"/>
                      <wp:wrapNone/>
                      <wp:docPr id="156" name="Frame156"/>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92405" cy="175260"/>
                      <wp:effectExtent l="0" t="0" r="0" b="0"/>
                      <wp:wrapNone/>
                      <wp:docPr id="158" name="Frame158"/>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21970" cy="175260"/>
                      <wp:effectExtent l="0" t="0" r="0" b="0"/>
                      <wp:wrapNone/>
                      <wp:docPr id="159" name="Frame159"/>
                      <a:graphic xmlns:a="http://schemas.openxmlformats.org/drawingml/2006/main">
                        <a:graphicData uri="http://schemas.microsoft.com/office/word/2010/wordprocessingShape">
                          <wps:wsp>
                            <wps:cNvSpPr txBox="1"/>
                            <wps:spPr>
                              <a:xfrm>
                                <a:off x="0" y="0"/>
                                <a:ext cx="521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33045" cy="175260"/>
                      <wp:effectExtent l="0" t="0" r="0" b="0"/>
                      <wp:wrapNone/>
                      <wp:docPr id="161" name="Frame161"/>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48665" cy="175260"/>
                      <wp:effectExtent l="0" t="0" r="0" b="0"/>
                      <wp:wrapNone/>
                      <wp:docPr id="162" name="Frame162"/>
                      <a:graphic xmlns:a="http://schemas.openxmlformats.org/drawingml/2006/main">
                        <a:graphicData uri="http://schemas.microsoft.com/office/word/2010/wordprocessingShape">
                          <wps:wsp>
                            <wps:cNvSpPr txBox="1"/>
                            <wps:spPr>
                              <a:xfrm>
                                <a:off x="0" y="0"/>
                                <a:ext cx="748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326" w:type="dxa"/>
            <w:tcBorders/>
            <w:shd w:fill="auto" w:val="clear"/>
            <w:vAlign w:val="center"/>
          </w:tcPr>
          <w:p>
            <w:pPr>
              <w:pStyle w:val="TableContents"/>
              <w:spacing w:before="0" w:after="1"/>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manufacturing and clinical expenses</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board of director compensation</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 </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 </w:t>
            </w:r>
          </w:p>
        </w:tc>
        <w:tc>
          <w:tcPr>
            <w:tcW w:w="11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bonus</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 </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 </w:t>
            </w:r>
          </w:p>
        </w:tc>
        <w:tc>
          <w:tcPr>
            <w:tcW w:w="11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payroll and employee benefits</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 </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326"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 </w:t>
            </w:r>
          </w:p>
        </w:tc>
        <w:tc>
          <w:tcPr>
            <w:tcW w:w="11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 </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 </w:t>
            </w:r>
          </w:p>
        </w:tc>
        <w:tc>
          <w:tcPr>
            <w:tcW w:w="11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other</w:t>
            </w:r>
          </w:p>
        </w:tc>
        <w:tc>
          <w:tcPr>
            <w:tcW w:w="326" w:type="dxa"/>
            <w:tcBorders/>
            <w:shd w:fill="auto" w:val="clear"/>
            <w:vAlign w:val="center"/>
          </w:tcPr>
          <w:p>
            <w:pPr>
              <w:pStyle w:val="TableContents"/>
              <w:spacing w:before="0" w:after="1"/>
              <w:ind w:left="0" w:right="0" w:hanging="0"/>
              <w:rPr/>
            </w:pPr>
            <w:r>
              <w:rPr/>
              <w:t>​</w:t>
            </w:r>
          </w:p>
        </w:tc>
        <w:tc>
          <w:tcPr>
            <w:tcW w:w="30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1"/>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30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3,441</w:t>
            </w:r>
          </w:p>
        </w:tc>
        <w:tc>
          <w:tcPr>
            <w:tcW w:w="326" w:type="dxa"/>
            <w:tcBorders/>
            <w:shd w:fill="CCEEFF" w:val="clear"/>
            <w:vAlign w:val="center"/>
          </w:tcPr>
          <w:p>
            <w:pPr>
              <w:pStyle w:val="TableContents"/>
              <w:spacing w:before="0" w:after="1"/>
              <w:ind w:left="0" w:right="0" w:hanging="0"/>
              <w:rPr/>
            </w:pPr>
            <w:r>
              <w:rPr/>
              <w:t>​</w:t>
            </w:r>
          </w:p>
        </w:tc>
        <w:tc>
          <w:tcPr>
            <w:tcW w:w="36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2,537</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6.    Ordinary Shares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May 4, 2021, the Company closed its initial public offering (“IPO”) of 6,500,000 ADS representing 6,500,000 ordinary shares having a nominal value of £0.000025 per share, at a public offering price of $17.00 per share, for aggregate net proceeds of $102,765 thousand after deducting underwriting commissions of $7,735 thousand and incurred offering cost of $2,394 thousand.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All ordinary shares rank pari passu as a single class. The following is a summary of the rights and privileges of the holders of ordinary shares as of June 30, 2021:</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Dividends: holders of the ordinary shares are entitled to dividend, as may be recommended from time to time by the Board and declared by the ordinary shareholders out of legally available funds.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Voting Rights: each holder of ordinary shares is entitled to one vote for each share on all matters to be voted on by ordinary shareholders.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Preemption rights: 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7.    Series A and Series B shares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March 15, 2021, the Company issued 28,957 Series B preferred shares (“Series B Shares”) amounting to $125,239 thousand and incurred transaction cost of $3,402 thousand.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March 31, 2021, Vaccitech Plc subdivided each of the Series A shares and Series B shares (including the Series B shares issued on conversion of the convertible loan notes) into one share of the same class and one deferred A share with a nominal value of £1.00 per share.</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 xml:space="preserve">On May 4, 2021 prior to the closing of the Company’s initial public offering and pursuant to the terms of its articles of association, all of the Series A Shares and Series B Shares were converted into 19,603,887 ordinary shares, 570,987 deferred B shares and 19,603,887 deferred C shares. </w:t>
      </w:r>
    </w:p>
    <w:p>
      <w:pPr>
        <w:pStyle w:val="TextBody"/>
        <w:spacing w:before="0" w:after="240"/>
        <w:ind w:left="36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8.   Convertible loan notes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recognized interest expense of $2,650 thousand and a change in fair value of $5,994 thousand in relation to the conversion and redemption features embedded in the convertible loan notes in the condensed consolidated statements of operations and comprehensive loss for the period ended June 30, 2021.</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conversion was accounted for as an extinguishment of the convertible loan notes. As a result, the 12,421 Series B preferred shares issued on conversion was recognized at the settlement-date fair value of the Series B shares ($53,721 thousands) and a loss of $13,789 thousand for the six month period was recognized in earnings for the difference between (1) the fair value of those shares and (2) the sum of the carrying amounts of the convertible loan notes ($25,557 thousand) and the bifurcated conversion and redemption feature liability ($14,375 thousand).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9.    Deferred Shares</w:t>
      </w:r>
    </w:p>
    <w:p>
      <w:pPr>
        <w:pStyle w:val="TextBody"/>
        <w:spacing w:before="0" w:after="240"/>
        <w:ind w:left="360" w:right="0" w:hanging="0"/>
        <w:rPr>
          <w:rFonts w:ascii="Times New Roman;Times;serif" w:hAnsi="Times New Roman;Times;serif"/>
          <w:sz w:val="18"/>
        </w:rPr>
      </w:pPr>
      <w:r>
        <w:rPr>
          <w:rFonts w:ascii="Times New Roman;Times;serif" w:hAnsi="Times New Roman;Times;serif"/>
          <w:sz w:val="18"/>
        </w:rPr>
        <w:t xml:space="preserve">All deferred shares rank pari passu as a single class. The deferred </w:t>
      </w:r>
      <w:r>
        <w:rPr>
          <w:rFonts w:ascii="Times New Roman;Times;serif" w:hAnsi="Times New Roman;Times;serif"/>
          <w:sz w:val="20"/>
        </w:rPr>
        <w:t>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£1,000</w:t>
      </w:r>
      <w:r>
        <w:rPr>
          <w:rFonts w:ascii="Times New Roman;Times;serif" w:hAnsi="Times New Roman;Times;serif"/>
          <w:sz w:val="18"/>
        </w:rPr>
        <w:t xml:space="preserve"> </w:t>
      </w:r>
      <w:r>
        <w:rPr>
          <w:rFonts w:ascii="Times New Roman;Times;serif" w:hAnsi="Times New Roman;Times;serif"/>
          <w:sz w:val="20"/>
        </w:rPr>
        <w:t>thousand ($1,373</w:t>
      </w:r>
      <w:r>
        <w:rPr>
          <w:rFonts w:ascii="Times New Roman;Times;serif" w:hAnsi="Times New Roman;Times;serif"/>
          <w:sz w:val="18"/>
        </w:rPr>
        <w:t xml:space="preserve"> </w:t>
      </w:r>
      <w:r>
        <w:rPr>
          <w:rFonts w:ascii="Times New Roman;Times;serif" w:hAnsi="Times New Roman;Times;serif"/>
          <w:sz w:val="20"/>
        </w:rPr>
        <w:t>thousand) in respect of each ordinary share held by them respectively. The deferred shares shall confer on the holders thereof no further right to participate in the assets of the Company.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10.    Fair value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Company’s financial instruments consist of cash and cash equivalents, accounts receivable, accounts payable, accrued expenses, and other liabilities. As of June 30, 2021, and December 31, 2020, the carrying amount of cash and cash equivalents, accounts receivable, accounts payable, accrued expenses, and other liabilities approximated their respective fair value due to the short-term nature and maturity of these instruments.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360" w:right="0" w:hanging="0"/>
        <w:rPr>
          <w:rFonts w:ascii="Times New Roman;Times;serif" w:hAnsi="Times New Roman;Times;serif"/>
          <w:sz w:val="20"/>
        </w:rPr>
      </w:pPr>
      <w:bookmarkStart w:id="1119" w:name="Tc_1P57fvmBmE2q9uCZ1J3yCA_7_6"/>
      <w:bookmarkStart w:id="1120" w:name="Tc_dnw5JH5e3U6xqKvM7vPvwA_7_5"/>
      <w:bookmarkStart w:id="1121" w:name="Tc_t2Mdh5oQg0-odyGIy_zUWQ_7_2"/>
      <w:bookmarkStart w:id="1122" w:name="Tc_IXv6man0iUi29EPSBULsbg_7_0"/>
      <w:bookmarkStart w:id="1123" w:name="Tc_C6QVElzuVE-u301IBmdN5g_6_6"/>
      <w:bookmarkStart w:id="1124" w:name="Tc_01Ig6Xi-ik2TX7nh3HxSxA_6_0"/>
      <w:bookmarkStart w:id="1125" w:name="Tc_EVStq_bqJ0iAQe_e0Eybsg_5_6"/>
      <w:bookmarkStart w:id="1126" w:name="Tc_BEc5xRxS3EGyVmpn6F-N7w_5_0"/>
      <w:bookmarkStart w:id="1127" w:name="Tc_Ns-jCbkLk0-HalQ3hEEh6g_4_6"/>
      <w:bookmarkStart w:id="1128" w:name="Tc_IMN1z__XlEOgVHPm3AjbxQ_4_0"/>
      <w:bookmarkStart w:id="1129" w:name="Tc_Oz7Bo0BGJ0yYLr3Lfrk1Sg_3_6"/>
      <w:bookmarkStart w:id="1130" w:name="Tc_oZETgbv9GUea3dP-4w2MjQ_3_5"/>
      <w:bookmarkStart w:id="1131" w:name="Tc_3PQ6c2P3R0-NVCuO-9Qpog_3_2"/>
      <w:bookmarkStart w:id="1132" w:name="Tc_Y0QeulUNjEeh17uNlfhOsQ_3_0"/>
      <w:bookmarkStart w:id="1133" w:name="Tc_Yyqst6nWuUKtcn69s5pWXg_2_5"/>
      <w:bookmarkStart w:id="1134" w:name="Tc_Zhg1H795vkS58CcVABM1TQ_2_2"/>
      <w:bookmarkStart w:id="1135" w:name="Tc_-menLt9N00e7KkvcNqcrpg_1_2"/>
      <w:bookmarkStart w:id="1136" w:name="_9e1d87ef_a877_43d6_8be6_eb98ca4b32e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r>
        <w:rPr>
          <w:rFonts w:ascii="Times New Roman;Times;serif" w:hAnsi="Times New Roman;Times;serif"/>
          <w:sz w:val="20"/>
        </w:rPr>
        <w:t>As of December 31, 2020, the Company had an embedded derivative liability of $20,109 thousand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 The changes in the fair value of the embedded derivatives was as follows (in thousands):</w:t>
      </w:r>
    </w:p>
    <w:p>
      <w:pPr>
        <w:pStyle w:val="TextBody"/>
        <w:spacing w:before="0" w:after="240"/>
        <w:ind w:left="360" w:right="0" w:hanging="0"/>
        <w:rPr/>
      </w:pPr>
      <w:r>
        <w:rPr/>
        <w:t>​</w:t>
      </w:r>
    </w:p>
    <w:tbl>
      <w:tblPr>
        <w:tblW w:w="5982" w:type="dxa"/>
        <w:jc w:val="left"/>
        <w:tblInd w:w="0" w:type="dxa"/>
        <w:tblCellMar>
          <w:top w:w="0" w:type="dxa"/>
          <w:left w:w="0" w:type="dxa"/>
          <w:bottom w:w="0" w:type="dxa"/>
          <w:right w:w="0" w:type="dxa"/>
        </w:tblCellMar>
      </w:tblPr>
      <w:tblGrid>
        <w:gridCol w:w="3586"/>
        <w:gridCol w:w="326"/>
        <w:gridCol w:w="222"/>
        <w:gridCol w:w="803"/>
        <w:gridCol w:w="344"/>
        <w:gridCol w:w="222"/>
        <w:gridCol w:w="479"/>
      </w:tblGrid>
      <w:tr>
        <w:trPr/>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77110" cy="175260"/>
                      <wp:effectExtent l="0" t="0" r="0" b="0"/>
                      <wp:wrapNone/>
                      <wp:docPr id="163" name="Frame163"/>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0970" cy="175260"/>
                      <wp:effectExtent l="0" t="0" r="0" b="0"/>
                      <wp:wrapNone/>
                      <wp:docPr id="165" name="Frame165"/>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09905" cy="175260"/>
                      <wp:effectExtent l="0" t="0" r="0" b="0"/>
                      <wp:wrapNone/>
                      <wp:docPr id="166" name="Frame166"/>
                      <a:graphic xmlns:a="http://schemas.openxmlformats.org/drawingml/2006/main">
                        <a:graphicData uri="http://schemas.microsoft.com/office/word/2010/wordprocessingShape">
                          <wps:wsp>
                            <wps:cNvSpPr txBox="1"/>
                            <wps:spPr>
                              <a:xfrm>
                                <a:off x="0" y="0"/>
                                <a:ext cx="509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8440" cy="175260"/>
                      <wp:effectExtent l="0" t="0" r="0" b="0"/>
                      <wp:wrapNone/>
                      <wp:docPr id="167" name="Frame167"/>
                      <a:graphic xmlns:a="http://schemas.openxmlformats.org/drawingml/2006/main">
                        <a:graphicData uri="http://schemas.microsoft.com/office/word/2010/wordprocessingShape">
                          <wps:wsp>
                            <wps:cNvSpPr txBox="1"/>
                            <wps:spPr>
                              <a:xfrm>
                                <a:off x="0" y="0"/>
                                <a:ext cx="218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0970" cy="175260"/>
                      <wp:effectExtent l="0" t="0" r="0" b="0"/>
                      <wp:wrapNone/>
                      <wp:docPr id="168" name="Frame168"/>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04165" cy="175260"/>
                      <wp:effectExtent l="0" t="0" r="0" b="0"/>
                      <wp:wrapNone/>
                      <wp:docPr id="169" name="Frame169"/>
                      <a:graphic xmlns:a="http://schemas.openxmlformats.org/drawingml/2006/main">
                        <a:graphicData uri="http://schemas.microsoft.com/office/word/2010/wordprocessingShape">
                          <wps:wsp>
                            <wps:cNvSpPr txBox="1"/>
                            <wps:spPr>
                              <a:xfrm>
                                <a:off x="0" y="0"/>
                                <a:ext cx="304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7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5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4" w:type="dxa"/>
            <w:tcBorders/>
            <w:shd w:fill="auto" w:val="clear"/>
            <w:vAlign w:val="center"/>
          </w:tcPr>
          <w:p>
            <w:pPr>
              <w:pStyle w:val="TableContents"/>
              <w:spacing w:before="0" w:after="1"/>
              <w:ind w:left="0" w:right="0" w:hanging="0"/>
              <w:rPr/>
            </w:pPr>
            <w:r>
              <w:rPr/>
              <w:t>    </w:t>
            </w:r>
          </w:p>
        </w:tc>
        <w:tc>
          <w:tcPr>
            <w:tcW w:w="7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58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20,109</w:t>
            </w:r>
          </w:p>
        </w:tc>
        <w:tc>
          <w:tcPr>
            <w:tcW w:w="344"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spacing w:before="0" w:after="1"/>
              <w:ind w:left="0" w:right="0" w:hanging="0"/>
              <w:jc w:val="right"/>
              <w:rPr/>
            </w:pPr>
            <w:r>
              <w:rPr/>
              <w:t>—</w:t>
            </w:r>
          </w:p>
        </w:tc>
      </w:tr>
      <w:tr>
        <w:trPr/>
        <w:tc>
          <w:tcPr>
            <w:tcW w:w="358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Change in fair value recognized in net loss</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8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(5,994)</w:t>
            </w:r>
          </w:p>
        </w:tc>
        <w:tc>
          <w:tcPr>
            <w:tcW w:w="344"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479" w:type="dxa"/>
            <w:tcBorders/>
            <w:shd w:fill="auto" w:val="clear"/>
            <w:vAlign w:val="center"/>
          </w:tcPr>
          <w:p>
            <w:pPr>
              <w:pStyle w:val="TableContents"/>
              <w:spacing w:before="0" w:after="1"/>
              <w:ind w:left="0" w:right="0" w:hanging="0"/>
              <w:jc w:val="right"/>
              <w:rPr/>
            </w:pPr>
            <w:r>
              <w:rPr/>
              <w:t>—</w:t>
            </w:r>
          </w:p>
        </w:tc>
      </w:tr>
      <w:tr>
        <w:trPr/>
        <w:tc>
          <w:tcPr>
            <w:tcW w:w="358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Settlement via conversion</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(14,375)</w:t>
            </w:r>
          </w:p>
        </w:tc>
        <w:tc>
          <w:tcPr>
            <w:tcW w:w="344"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479" w:type="dxa"/>
            <w:tcBorders/>
            <w:shd w:fill="CCEEFF" w:val="clear"/>
            <w:vAlign w:val="center"/>
          </w:tcPr>
          <w:p>
            <w:pPr>
              <w:pStyle w:val="TableContents"/>
              <w:spacing w:before="0" w:after="1"/>
              <w:ind w:left="0" w:right="0" w:hanging="0"/>
              <w:jc w:val="right"/>
              <w:rPr/>
            </w:pPr>
            <w:r>
              <w:rPr/>
              <w:t>—</w:t>
            </w:r>
          </w:p>
        </w:tc>
      </w:tr>
      <w:tr>
        <w:trPr/>
        <w:tc>
          <w:tcPr>
            <w:tcW w:w="358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Foreign exchange translation</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44"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7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58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44"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360" w:right="0" w:hanging="0"/>
        <w:rPr/>
      </w:pPr>
      <w:r>
        <w:rPr/>
        <w:t>​</w:t>
      </w:r>
    </w:p>
    <w:p>
      <w:pPr>
        <w:pStyle w:val="TextBody"/>
        <w:spacing w:before="0" w:after="240"/>
        <w:ind w:left="360" w:right="0" w:hanging="0"/>
        <w:rPr/>
      </w:pPr>
      <w:r>
        <w:rPr/>
        <w:t>​</w:t>
      </w:r>
    </w:p>
    <w:p>
      <w:pPr>
        <w:pStyle w:val="TextBody"/>
        <w:spacing w:before="0" w:after="240"/>
        <w:ind w:left="0" w:right="0" w:hanging="0"/>
        <w:rPr>
          <w:rFonts w:ascii="Times New Roman;Times;serif" w:hAnsi="Times New Roman;Times;serif"/>
          <w:b/>
          <w:sz w:val="20"/>
        </w:rPr>
      </w:pPr>
      <w:bookmarkStart w:id="1137" w:name="Tc_Rt_lb1Px7UiLI-PLargmZA_6_5"/>
      <w:bookmarkStart w:id="1138" w:name="Tc_yXK5ZqGsDESsv7AtiOxVHg_6_4"/>
      <w:bookmarkStart w:id="1139" w:name="Tc_AZL-apbNake7bDCTPu8Slw_6_3"/>
      <w:bookmarkStart w:id="1140" w:name="Tc_D3ASVpRBPkKHemP7Txc9iQ_6_2"/>
      <w:bookmarkStart w:id="1141" w:name="Tc_RaBTTpYLJE6s6-EhXqKbng_6_0"/>
      <w:bookmarkStart w:id="1142" w:name="Tc_qscmJLdagEqHV0O7s_EE1w_5_5"/>
      <w:bookmarkStart w:id="1143" w:name="Tc_j7fRaSHU3kW2UzMt07NSQw_5_3"/>
      <w:bookmarkStart w:id="1144" w:name="Tc_9Hrmpyue-E--DZQkPC4u2Q_5_0"/>
      <w:bookmarkStart w:id="1145" w:name="Tc_wPJF4yhT6Eu5SiELcWunfg_4_0"/>
      <w:bookmarkStart w:id="1146" w:name="Tc_boqxj5DEYkK-dqkiD-9B6Q_3_5"/>
      <w:bookmarkStart w:id="1147" w:name="Tc_iebUD6KQF0G0clpZ4flStg_3_3"/>
      <w:bookmarkStart w:id="1148" w:name="Tc_UE6XQoGY006yhuyZUuFQjQ_3_0"/>
      <w:bookmarkStart w:id="1149" w:name="Tc_RMiz4CMhNk64n4173-dpqQ_2_4"/>
      <w:bookmarkStart w:id="1150" w:name="Tc_o0WAlCGdzE-CZsr7sEMKzA_2_2"/>
      <w:bookmarkStart w:id="1151" w:name="Tc_rf15jRf5L0yIUYKSNZrLfA_1_2"/>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r>
        <w:rPr>
          <w:rFonts w:ascii="Times New Roman;Times;serif" w:hAnsi="Times New Roman;Times;serif"/>
          <w:b/>
          <w:sz w:val="20"/>
        </w:rPr>
        <w:t>11.   Share-Based Compensation</w:t>
      </w:r>
    </w:p>
    <w:p>
      <w:pPr>
        <w:pStyle w:val="TextBody"/>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On April 8, 2021, the Board of the Company adopted the Vaccitech plc Share Award Plan 2021 (“the Plan”) and the Vaccitech plc Non-Employee Sub-Plan which is a sub-plan of the Plan. Under the terms of the plan, the Board is permitted to grant awards to employees as restricted share units, options, share appreciation rights, restricted shares. The aggregate number of shares initially available for issuance under the Plan and the Vaccitech plc Non-Employee Sub-Plan cannot exceed 3,675,680 ordinary shares (the “Initial Limit”). Beginning calendar year 2022, the total number of ordinary shares available for issuance under the Plan shall be increased on January 1 of each year in an amount equal to the lesser of (i) 4% of the Company’s issued and outstanding ordinary shares (which 4% limit shall be measured as of January 1 of such year) and (ii) such number of ordinary shares as determined by the Board in its discretion (the “Annual Increase”). The awards generally vest based on the grantee’s continued service with the Company during a specified period following grant as determined by the Board and generally expire ten years from the grant date. Option awards generally vest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but vesting conditions can vary at the discretion of the Company’s Board. As of June 30, 2021, 2,162,114 ordinary shares are available for future grants.</w:t>
      </w:r>
    </w:p>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On April 30, 2021, the Company granted 1,513,566 options under the Plan to employees and directors with a grant date fair value $11.33 per option and a weighted average exercise price of $17.00 per option.</w:t>
      </w:r>
    </w:p>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For the six months ended June 30, 2021, the Company granted 1,878,186 options with a weighted average grant date fair value of $ 10.91 per option and a weighted average exercise price of $13.70 of which 364,620 options were issued under the Enterprise Management Incentive Share Option Scheme which has been discontinued on adoption of the Plan. For the six months ended June 30, 2020, the Company granted 302,820 options to employees and directors under the Enterprise Management Incentive Share Option Scheme with a weighted average grant date fair value of $4.98 and a weighted average exercise price of $0.00036 per share.</w:t>
      </w:r>
    </w:p>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fair value of each stock option issued to employees was estimated at the date of grant using Black-Scholes with the following weighted-average assumptions:</w:t>
      </w:r>
    </w:p>
    <w:p>
      <w:pPr>
        <w:pStyle w:val="TextBody"/>
        <w:spacing w:before="0" w:after="240"/>
        <w:ind w:left="360" w:right="0" w:hanging="0"/>
        <w:rPr/>
      </w:pPr>
      <w:r>
        <w:rPr/>
        <w:t>​</w:t>
      </w:r>
    </w:p>
    <w:tbl>
      <w:tblPr>
        <w:tblW w:w="4852" w:type="dxa"/>
        <w:jc w:val="left"/>
        <w:tblInd w:w="0" w:type="dxa"/>
        <w:tblCellMar>
          <w:top w:w="0" w:type="dxa"/>
          <w:left w:w="0" w:type="dxa"/>
          <w:bottom w:w="0" w:type="dxa"/>
          <w:right w:w="0" w:type="dxa"/>
        </w:tblCellMar>
      </w:tblPr>
      <w:tblGrid>
        <w:gridCol w:w="2131"/>
        <w:gridCol w:w="326"/>
        <w:gridCol w:w="769"/>
        <w:gridCol w:w="485"/>
        <w:gridCol w:w="770"/>
        <w:gridCol w:w="371"/>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53185" cy="175260"/>
                      <wp:effectExtent l="0" t="0" r="0" b="0"/>
                      <wp:wrapNone/>
                      <wp:docPr id="170" name="Frame170"/>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88315" cy="175260"/>
                      <wp:effectExtent l="0" t="0" r="0" b="0"/>
                      <wp:wrapNone/>
                      <wp:docPr id="172" name="Frame172"/>
                      <a:graphic xmlns:a="http://schemas.openxmlformats.org/drawingml/2006/main">
                        <a:graphicData uri="http://schemas.microsoft.com/office/word/2010/wordprocessingShape">
                          <wps:wsp>
                            <wps:cNvSpPr txBox="1"/>
                            <wps:spPr>
                              <a:xfrm>
                                <a:off x="0" y="0"/>
                                <a:ext cx="4883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07975" cy="175260"/>
                      <wp:effectExtent l="0" t="0" r="0" b="0"/>
                      <wp:wrapNone/>
                      <wp:docPr id="173" name="Frame173"/>
                      <a:graphic xmlns:a="http://schemas.openxmlformats.org/drawingml/2006/main">
                        <a:graphicData uri="http://schemas.microsoft.com/office/word/2010/wordprocessingShape">
                          <wps:wsp>
                            <wps:cNvSpPr txBox="1"/>
                            <wps:spPr>
                              <a:xfrm>
                                <a:off x="0" y="0"/>
                                <a:ext cx="307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88950" cy="175260"/>
                      <wp:effectExtent l="0" t="0" r="0" b="0"/>
                      <wp:wrapNone/>
                      <wp:docPr id="174" name="Frame174"/>
                      <a:graphic xmlns:a="http://schemas.openxmlformats.org/drawingml/2006/main">
                        <a:graphicData uri="http://schemas.microsoft.com/office/word/2010/wordprocessingShape">
                          <wps:wsp>
                            <wps:cNvSpPr txBox="1"/>
                            <wps:spPr>
                              <a:xfrm>
                                <a:off x="0" y="0"/>
                                <a:ext cx="488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35585" cy="175260"/>
                      <wp:effectExtent l="0" t="0" r="0" b="0"/>
                      <wp:wrapNone/>
                      <wp:docPr id="175" name="Frame175"/>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02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71" w:type="dxa"/>
            <w:tcBorders/>
            <w:shd w:fill="auto" w:val="clear"/>
            <w:vAlign w:val="center"/>
          </w:tcPr>
          <w:p>
            <w:pPr>
              <w:pStyle w:val="TableContents"/>
              <w:spacing w:before="0" w:after="1"/>
              <w:ind w:left="0" w:right="0" w:hanging="0"/>
              <w:rPr/>
            </w:pPr>
            <w:r>
              <w:rPr/>
              <w:t>    </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6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85" w:type="dxa"/>
            <w:tcBorders/>
            <w:shd w:fill="auto" w:val="clear"/>
            <w:vAlign w:val="center"/>
          </w:tcPr>
          <w:p>
            <w:pPr>
              <w:pStyle w:val="TableContents"/>
              <w:spacing w:before="0" w:after="1"/>
              <w:ind w:left="0" w:right="0" w:hanging="0"/>
              <w:rPr/>
            </w:pPr>
            <w:r>
              <w:rPr/>
              <w:t>    </w:t>
            </w:r>
          </w:p>
        </w:tc>
        <w:tc>
          <w:tcPr>
            <w:tcW w:w="77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71" w:type="dxa"/>
            <w:tcBorders/>
            <w:shd w:fill="auto" w:val="clear"/>
            <w:vAlign w:val="center"/>
          </w:tcPr>
          <w:p>
            <w:pPr>
              <w:pStyle w:val="TableContents"/>
              <w:spacing w:before="0" w:after="1"/>
              <w:ind w:left="0" w:right="0" w:hanging="0"/>
              <w:jc w:val="center"/>
              <w:rPr/>
            </w:pPr>
            <w:r>
              <w:rPr/>
              <w:t>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1"/>
              <w:ind w:left="0" w:right="0" w:hanging="0"/>
              <w:rPr/>
            </w:pPr>
            <w:r>
              <w:rPr/>
              <w:t> </w:t>
            </w:r>
          </w:p>
        </w:tc>
        <w:tc>
          <w:tcPr>
            <w:tcW w:w="7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4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c>
          <w:tcPr>
            <w:tcW w:w="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auto" w:val="clear"/>
            <w:vAlign w:val="center"/>
          </w:tcPr>
          <w:p>
            <w:pPr>
              <w:pStyle w:val="TableContents"/>
              <w:spacing w:before="0" w:after="1"/>
              <w:ind w:left="0" w:right="0" w:hanging="0"/>
              <w:rPr/>
            </w:pPr>
            <w:r>
              <w:rPr/>
              <w:t> </w:t>
            </w:r>
          </w:p>
        </w:tc>
        <w:tc>
          <w:tcPr>
            <w:tcW w:w="7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485" w:type="dxa"/>
            <w:tcBorders/>
            <w:shd w:fill="auto" w:val="clear"/>
            <w:vAlign w:val="center"/>
          </w:tcPr>
          <w:p>
            <w:pPr>
              <w:pStyle w:val="TableContents"/>
              <w:spacing w:before="0" w:after="1"/>
              <w:ind w:left="0" w:right="0" w:hanging="0"/>
              <w:rPr/>
            </w:pPr>
            <w:r>
              <w:rPr/>
              <w:t> </w:t>
            </w:r>
          </w:p>
        </w:tc>
        <w:tc>
          <w:tcPr>
            <w:tcW w:w="7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71"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rPr/>
            </w:pPr>
            <w:r>
              <w:rPr/>
              <w:t> </w:t>
            </w:r>
          </w:p>
        </w:tc>
        <w:tc>
          <w:tcPr>
            <w:tcW w:w="7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1"/>
              <w:ind w:left="0" w:right="0" w:hanging="0"/>
              <w:rPr/>
            </w:pPr>
            <w:r>
              <w:rPr/>
              <w:t> </w:t>
            </w:r>
          </w:p>
        </w:tc>
        <w:tc>
          <w:tcPr>
            <w:tcW w:w="769" w:type="dxa"/>
            <w:tcBorders/>
            <w:shd w:fill="auto" w:val="clear"/>
            <w:vAlign w:val="center"/>
          </w:tcPr>
          <w:p>
            <w:pPr>
              <w:pStyle w:val="TableContents"/>
              <w:spacing w:before="0" w:after="1"/>
              <w:ind w:left="0" w:right="0" w:hanging="0"/>
              <w:jc w:val="right"/>
              <w:rPr/>
            </w:pPr>
            <w:r>
              <w:rPr/>
              <w:t>—</w:t>
            </w:r>
          </w:p>
        </w:tc>
        <w:tc>
          <w:tcPr>
            <w:tcW w:w="4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70"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360" w:right="0" w:hanging="0"/>
        <w:rPr>
          <w:rFonts w:ascii="Times New Roman;Times;serif" w:hAnsi="Times New Roman;Times;serif"/>
          <w:sz w:val="20"/>
        </w:rPr>
      </w:pPr>
      <w:bookmarkStart w:id="1152" w:name="Tc_OnXHqvnQ_kW5OhoBTlahMA_5_11"/>
      <w:bookmarkStart w:id="1153" w:name="Tc_wNly1ZS2Zk6wpsx4AqWbJg_5_8"/>
      <w:bookmarkStart w:id="1154" w:name="Tc_vHgAssmHuU2s_NBLMPSLOA_5_5"/>
      <w:bookmarkStart w:id="1155" w:name="Tc_HXIc1ilnoUqRSSH7E4Y46w_5_2"/>
      <w:bookmarkStart w:id="1156" w:name="Tc_Bq59-HpvsUOblT3h3dPwDQ_5_0"/>
      <w:bookmarkStart w:id="1157" w:name="Tc_TdCodOgcVUWyMIPk0AXswA_4_0"/>
      <w:bookmarkStart w:id="1158" w:name="Tc_TibcRgjBWUWSm7uPM59b0A_3_11"/>
      <w:bookmarkStart w:id="1159" w:name="Tc_exjCFhzDZkmd7Pt3-blDUw_3_8"/>
      <w:bookmarkStart w:id="1160" w:name="Tc_1BeZL0muT0WORGlUu0W6lQ_3_5"/>
      <w:bookmarkStart w:id="1161" w:name="Tc_XvppuwohdEmd-YAcEwsYEg_3_2"/>
      <w:bookmarkStart w:id="1162" w:name="Tc_V2kz4W_veUuNxTFypYnf_g_3_0"/>
      <w:bookmarkStart w:id="1163" w:name="Tc_7ya2imaHgUm0faQmOPpsyg_2_11"/>
      <w:bookmarkStart w:id="1164" w:name="Tc_PcrZcTgv9E-Ejlyvi3IdCg_2_8"/>
      <w:bookmarkStart w:id="1165" w:name="Tc_BPlA8yZ1O0WUmPkKrWtVag_2_5"/>
      <w:bookmarkStart w:id="1166" w:name="Tc__Q_IqFiAyECf1s7RRfUZrQ_2_2"/>
      <w:bookmarkStart w:id="1167" w:name="Tc_LJMRNDbVCUWSxEIIfXI8uQ_1_8"/>
      <w:bookmarkStart w:id="1168" w:name="Tc_mZEBJUFwo0eoA9FeUy2dpQ_1_2"/>
      <w:bookmarkStart w:id="1169" w:name="_c19a4c2e_25f3_4bac_b5b4_9a944788d467"/>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sz w:val="20"/>
        </w:rPr>
        <w:t xml:space="preserve">On April 22, 2021, the exercise price of 267,903 options was changed from $0.0004 (£0.0003) to $4.84 (£3.49) in order to enable employees to benefit from tax advantages under the Enterprise Management Incentive Scheme. This modification did not result in an incremental compensation cost and the Company continues to recognize compensation cost on these options equal to the grant date fair value of the original award. </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At June 30, 2021 3,408,663 options with a weighted average exercise price of $7.84 were outstanding of which 703,495 with a weighted average exercise price of $0.35 were exercisable. At June 30, 2021, there was $19,825 thousand unrecognized compensation cost related to stock options, which is expected to be recognized over a weighted average period of 2.66 years.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three months and six months ended June 30, 2021, 514,923 restricted stock units with a performance condition linked to the IPO resolution date vested on occurrence of the IPO resulting in $5,760 thousand recognized as compensation cost</w:t>
      </w:r>
      <w:r>
        <w:rPr>
          <w:rFonts w:ascii="Times New Roman;Times;serif" w:hAnsi="Times New Roman;Times;serif"/>
          <w:color w:val="3D5588"/>
          <w:sz w:val="22"/>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Share based compensation expense is classified in the unaudited condensed consolidated statement of operations and comprehensive loss as follows (in thousands):</w:t>
      </w:r>
    </w:p>
    <w:p>
      <w:pPr>
        <w:pStyle w:val="TextBody"/>
        <w:spacing w:before="0" w:after="240"/>
        <w:ind w:left="360" w:right="0" w:hanging="0"/>
        <w:rPr/>
      </w:pPr>
      <w:r>
        <w:rPr/>
        <w:t>​</w:t>
      </w:r>
    </w:p>
    <w:tbl>
      <w:tblPr>
        <w:tblW w:w="7249" w:type="dxa"/>
        <w:jc w:val="left"/>
        <w:tblInd w:w="0" w:type="dxa"/>
        <w:tblCellMar>
          <w:top w:w="0" w:type="dxa"/>
          <w:left w:w="0" w:type="dxa"/>
          <w:bottom w:w="0" w:type="dxa"/>
          <w:right w:w="0" w:type="dxa"/>
        </w:tblCellMar>
      </w:tblPr>
      <w:tblGrid>
        <w:gridCol w:w="2311"/>
        <w:gridCol w:w="326"/>
        <w:gridCol w:w="268"/>
        <w:gridCol w:w="728"/>
        <w:gridCol w:w="415"/>
        <w:gridCol w:w="268"/>
        <w:gridCol w:w="539"/>
        <w:gridCol w:w="326"/>
        <w:gridCol w:w="218"/>
        <w:gridCol w:w="591"/>
        <w:gridCol w:w="338"/>
        <w:gridCol w:w="218"/>
        <w:gridCol w:w="703"/>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67485" cy="175260"/>
                      <wp:effectExtent l="0" t="0" r="0" b="0"/>
                      <wp:wrapNone/>
                      <wp:docPr id="176" name="Frame176"/>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0180" cy="175260"/>
                      <wp:effectExtent l="0" t="0" r="0" b="0"/>
                      <wp:wrapNone/>
                      <wp:docPr id="178" name="Frame178"/>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62280" cy="175260"/>
                      <wp:effectExtent l="0" t="0" r="0" b="0"/>
                      <wp:wrapNone/>
                      <wp:docPr id="179" name="Frame179"/>
                      <a:graphic xmlns:a="http://schemas.openxmlformats.org/drawingml/2006/main">
                        <a:graphicData uri="http://schemas.microsoft.com/office/word/2010/wordprocessingShape">
                          <wps:wsp>
                            <wps:cNvSpPr txBox="1"/>
                            <wps:spPr>
                              <a:xfrm>
                                <a:off x="0" y="0"/>
                                <a:ext cx="4622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3525" cy="175260"/>
                      <wp:effectExtent l="0" t="0" r="0" b="0"/>
                      <wp:wrapNone/>
                      <wp:docPr id="180" name="Frame180"/>
                      <a:graphic xmlns:a="http://schemas.openxmlformats.org/drawingml/2006/main">
                        <a:graphicData uri="http://schemas.microsoft.com/office/word/2010/wordprocessingShape">
                          <wps:wsp>
                            <wps:cNvSpPr txBox="1"/>
                            <wps:spPr>
                              <a:xfrm>
                                <a:off x="0" y="0"/>
                                <a:ext cx="2635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0180" cy="175260"/>
                      <wp:effectExtent l="0" t="0" r="0" b="0"/>
                      <wp:wrapNone/>
                      <wp:docPr id="181" name="Frame181"/>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42265" cy="175260"/>
                      <wp:effectExtent l="0" t="0" r="0" b="0"/>
                      <wp:wrapNone/>
                      <wp:docPr id="182" name="Frame182"/>
                      <a:graphic xmlns:a="http://schemas.openxmlformats.org/drawingml/2006/main">
                        <a:graphicData uri="http://schemas.microsoft.com/office/word/2010/wordprocessingShape">
                          <wps:wsp>
                            <wps:cNvSpPr txBox="1"/>
                            <wps:spPr>
                              <a:xfrm>
                                <a:off x="0" y="0"/>
                                <a:ext cx="342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8430" cy="175260"/>
                      <wp:effectExtent l="0" t="0" r="0" b="0"/>
                      <wp:wrapNone/>
                      <wp:docPr id="184" name="Frame184"/>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75285" cy="175260"/>
                      <wp:effectExtent l="0" t="0" r="0" b="0"/>
                      <wp:wrapNone/>
                      <wp:docPr id="185" name="Frame185"/>
                      <a:graphic xmlns:a="http://schemas.openxmlformats.org/drawingml/2006/main">
                        <a:graphicData uri="http://schemas.microsoft.com/office/word/2010/wordprocessingShape">
                          <wps:wsp>
                            <wps:cNvSpPr txBox="1"/>
                            <wps:spPr>
                              <a:xfrm>
                                <a:off x="0" y="0"/>
                                <a:ext cx="375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4630" cy="175260"/>
                      <wp:effectExtent l="0" t="0" r="0" b="0"/>
                      <wp:wrapNone/>
                      <wp:docPr id="186" name="Frame186"/>
                      <a:graphic xmlns:a="http://schemas.openxmlformats.org/drawingml/2006/main">
                        <a:graphicData uri="http://schemas.microsoft.com/office/word/2010/wordprocessingShape">
                          <wps:wsp>
                            <wps:cNvSpPr txBox="1"/>
                            <wps:spPr>
                              <a:xfrm>
                                <a:off x="0" y="0"/>
                                <a:ext cx="214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8430" cy="175260"/>
                      <wp:effectExtent l="0" t="0" r="0" b="0"/>
                      <wp:wrapNone/>
                      <wp:docPr id="187" name="Frame187"/>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46405" cy="175260"/>
                      <wp:effectExtent l="0" t="0" r="0" b="0"/>
                      <wp:wrapNone/>
                      <wp:docPr id="188" name="Frame188"/>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1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shd w:fill="auto" w:val="clear"/>
            <w:vAlign w:val="center"/>
          </w:tcPr>
          <w:p>
            <w:pPr>
              <w:pStyle w:val="TableContents"/>
              <w:spacing w:before="0" w:after="1"/>
              <w:ind w:left="0" w:right="0" w:hanging="0"/>
              <w:jc w:val="center"/>
              <w:rPr/>
            </w:pPr>
            <w:r>
              <w:rPr/>
              <w:t>​</w:t>
            </w:r>
          </w:p>
        </w:tc>
        <w:tc>
          <w:tcPr>
            <w:tcW w:w="206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15" w:type="dxa"/>
            <w:tcBorders/>
            <w:shd w:fill="auto" w:val="clear"/>
            <w:vAlign w:val="center"/>
          </w:tcPr>
          <w:p>
            <w:pPr>
              <w:pStyle w:val="TableContents"/>
              <w:spacing w:before="0" w:after="1"/>
              <w:ind w:left="0" w:right="0" w:hanging="0"/>
              <w:rPr/>
            </w:pPr>
            <w:r>
              <w:rPr/>
              <w:t>    </w:t>
            </w:r>
          </w:p>
        </w:tc>
        <w:tc>
          <w:tcPr>
            <w:tcW w:w="8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8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8" w:type="dxa"/>
            <w:tcBorders/>
            <w:shd w:fill="auto" w:val="clear"/>
            <w:vAlign w:val="center"/>
          </w:tcPr>
          <w:p>
            <w:pPr>
              <w:pStyle w:val="TableContents"/>
              <w:spacing w:before="0" w:after="1"/>
              <w:ind w:left="0" w:right="0" w:hanging="0"/>
              <w:rPr/>
            </w:pPr>
            <w:r>
              <w:rPr/>
              <w:t>    </w:t>
            </w:r>
          </w:p>
        </w:tc>
        <w:tc>
          <w:tcPr>
            <w:tcW w:w="9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415"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spacing w:before="0" w:after="1"/>
              <w:ind w:left="0" w:right="0" w:hanging="0"/>
              <w:jc w:val="right"/>
              <w:rPr/>
            </w:pPr>
            <w:r>
              <w:rPr/>
              <w:t>​</w:t>
            </w:r>
          </w:p>
        </w:tc>
        <w:tc>
          <w:tcPr>
            <w:tcW w:w="2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38"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8,094</w:t>
            </w:r>
          </w:p>
        </w:tc>
        <w:tc>
          <w:tcPr>
            <w:tcW w:w="415" w:type="dxa"/>
            <w:tcBorders/>
            <w:shd w:fill="auto" w:val="clear"/>
            <w:vAlign w:val="center"/>
          </w:tcPr>
          <w:p>
            <w:pPr>
              <w:pStyle w:val="TableContents"/>
              <w:spacing w:before="0" w:after="1"/>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auto" w:val="clear"/>
            <w:vAlign w:val="center"/>
          </w:tcPr>
          <w:p>
            <w:pPr>
              <w:pStyle w:val="TableContents"/>
              <w:spacing w:before="0" w:after="1"/>
              <w:ind w:left="0" w:right="0" w:hanging="0"/>
              <w:jc w:val="right"/>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8,572</w:t>
            </w:r>
          </w:p>
        </w:tc>
        <w:tc>
          <w:tcPr>
            <w:tcW w:w="338"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c>
          <w:tcPr>
            <w:tcW w:w="415" w:type="dxa"/>
            <w:tcBorders/>
            <w:shd w:fill="CCEEFF" w:val="clear"/>
            <w:vAlign w:val="center"/>
          </w:tcPr>
          <w:p>
            <w:pPr>
              <w:pStyle w:val="TableContents"/>
              <w:spacing w:before="0" w:after="1"/>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shd w:fill="CCEEFF" w:val="clear"/>
            <w:vAlign w:val="center"/>
          </w:tcPr>
          <w:p>
            <w:pPr>
              <w:pStyle w:val="TableContents"/>
              <w:spacing w:before="0" w:after="1"/>
              <w:ind w:left="0" w:right="0" w:hanging="0"/>
              <w:jc w:val="right"/>
              <w:rPr/>
            </w:pPr>
            <w:r>
              <w:rPr/>
              <w:t>​</w:t>
            </w:r>
          </w:p>
        </w:tc>
        <w:tc>
          <w:tcPr>
            <w:tcW w:w="21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9,533</w:t>
            </w:r>
          </w:p>
        </w:tc>
        <w:tc>
          <w:tcPr>
            <w:tcW w:w="338" w:type="dxa"/>
            <w:tcBorders/>
            <w:shd w:fill="CCEEFF" w:val="clear"/>
            <w:vAlign w:val="center"/>
          </w:tcPr>
          <w:p>
            <w:pPr>
              <w:pStyle w:val="TableContents"/>
              <w:spacing w:before="0" w:after="1"/>
              <w:ind w:left="0" w:right="0" w:hanging="0"/>
              <w:rPr/>
            </w:pPr>
            <w:r>
              <w:rPr/>
              <w:t>​</w:t>
            </w:r>
          </w:p>
        </w:tc>
        <w:tc>
          <w:tcPr>
            <w:tcW w:w="21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1,271</w:t>
            </w:r>
          </w:p>
        </w:tc>
      </w:tr>
    </w:tbl>
    <w:p>
      <w:pPr>
        <w:pStyle w:val="TextBody"/>
        <w:spacing w:before="0" w:after="240"/>
        <w:ind w:left="360" w:right="0" w:hanging="0"/>
        <w:rPr/>
      </w:pPr>
      <w:r>
        <w:rPr/>
        <w:t>​</w:t>
      </w:r>
    </w:p>
    <w:p>
      <w:pPr>
        <w:pStyle w:val="TextBody"/>
        <w:spacing w:before="0" w:after="240"/>
        <w:ind w:left="360" w:right="0" w:hanging="0"/>
        <w:rPr/>
      </w:pPr>
      <w:r>
        <w:rPr/>
        <w:t>​</w:t>
      </w:r>
    </w:p>
    <w:p>
      <w:pPr>
        <w:pStyle w:val="TextBody"/>
        <w:spacing w:before="0" w:after="240"/>
        <w:ind w:left="0" w:right="0" w:hanging="0"/>
        <w:jc w:val="left"/>
        <w:rPr>
          <w:rFonts w:ascii="Times New Roman;Times;serif" w:hAnsi="Times New Roman;Times;serif"/>
          <w:b/>
          <w:sz w:val="20"/>
        </w:rPr>
      </w:pPr>
      <w:bookmarkStart w:id="1170" w:name="Tc_o2HeBNaVDUul3JmNb3lkGQ_5_2"/>
      <w:bookmarkStart w:id="1171" w:name="Tc_jh3pjeFiRUu0DJmqWiQ4JQ_5_0"/>
      <w:bookmarkStart w:id="1172" w:name="Tc_ejT1sTVmQ0OAAXgFfy9cxA_4_0"/>
      <w:bookmarkStart w:id="1173" w:name="Tc_p95zmh82o0-40KuPfZXtaw_3_0"/>
      <w:bookmarkStart w:id="1174" w:name="Tc_kkIhXOxekky2kPIgJXhXPA_2_2"/>
      <w:bookmarkStart w:id="1175" w:name="Tc_mdFwgOpFqkKCTy69tUBMhA_2_0"/>
      <w:bookmarkStart w:id="1176" w:name="Tc_rSM-_sXvD0Cf7xM5ky3pTQ_1_2"/>
      <w:bookmarkEnd w:id="1170"/>
      <w:bookmarkEnd w:id="1171"/>
      <w:bookmarkEnd w:id="1172"/>
      <w:bookmarkEnd w:id="1173"/>
      <w:bookmarkEnd w:id="1174"/>
      <w:bookmarkEnd w:id="1175"/>
      <w:bookmarkEnd w:id="1176"/>
      <w:r>
        <w:rPr>
          <w:rFonts w:ascii="Times New Roman;Times;serif" w:hAnsi="Times New Roman;Times;serif"/>
          <w:b/>
          <w:i w:val="false"/>
          <w:caps w:val="false"/>
          <w:smallCaps w:val="false"/>
          <w:sz w:val="20"/>
        </w:rPr>
        <w:t>12.</w:t>
      </w:r>
      <w:r>
        <w:rPr>
          <w:rFonts w:ascii="Times New Roman;Times;serif" w:hAnsi="Times New Roman;Times;serif"/>
          <w:b/>
          <w:sz w:val="20"/>
        </w:rPr>
        <w:t>Contract Assets and Liabilities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discloses Accounts receivable separately in the Condensed Consolidated Balance Sheet at the net amount expected to be collected. Contract assets primarily relate to the Company’s conditional right to consideration for work completed but not billed at the reporting date. As of June 30, 2021, the Company did not have any contract assets.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Contract liabilities primarily relate to payments received from customers in advance of performance under the contract and are disclosed as deferred revenue separately in the Condensed Consolidated Balance Sheet. The Company’s contract liabilities arise when payment is received upfront for various multi-period extended license and service arrangements.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Changes in the contract liabilities during the period are as follows:</w:t>
      </w:r>
    </w:p>
    <w:p>
      <w:pPr>
        <w:pStyle w:val="TextBody"/>
        <w:spacing w:before="0" w:after="240"/>
        <w:ind w:left="0" w:right="0" w:hanging="0"/>
        <w:rPr/>
      </w:pPr>
      <w:r>
        <w:rPr/>
        <w:t>​</w:t>
      </w:r>
    </w:p>
    <w:tbl>
      <w:tblPr>
        <w:tblW w:w="6178" w:type="dxa"/>
        <w:jc w:val="left"/>
        <w:tblInd w:w="0" w:type="dxa"/>
        <w:tblCellMar>
          <w:top w:w="0" w:type="dxa"/>
          <w:left w:w="0" w:type="dxa"/>
          <w:bottom w:w="0" w:type="dxa"/>
          <w:right w:w="0" w:type="dxa"/>
        </w:tblCellMar>
      </w:tblPr>
      <w:tblGrid>
        <w:gridCol w:w="4681"/>
        <w:gridCol w:w="326"/>
        <w:gridCol w:w="335"/>
        <w:gridCol w:w="836"/>
      </w:tblGrid>
      <w:tr>
        <w:trPr/>
        <w:tc>
          <w:tcPr>
            <w:tcW w:w="4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972435" cy="175260"/>
                      <wp:effectExtent l="0" t="0" r="0" b="0"/>
                      <wp:wrapNone/>
                      <wp:docPr id="189" name="Frame189"/>
                      <a:graphic xmlns:a="http://schemas.openxmlformats.org/drawingml/2006/main">
                        <a:graphicData uri="http://schemas.microsoft.com/office/word/2010/wordprocessingShape">
                          <wps:wsp>
                            <wps:cNvSpPr txBox="1"/>
                            <wps:spPr>
                              <a:xfrm>
                                <a:off x="0" y="0"/>
                                <a:ext cx="2972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2725" cy="175260"/>
                      <wp:effectExtent l="0" t="0" r="0" b="0"/>
                      <wp:wrapNone/>
                      <wp:docPr id="191" name="Frame191"/>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30860" cy="175260"/>
                      <wp:effectExtent l="0" t="0" r="0" b="0"/>
                      <wp:wrapNone/>
                      <wp:docPr id="192" name="Frame192"/>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6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r>
      <w:tr>
        <w:trPr/>
        <w:tc>
          <w:tcPr>
            <w:tcW w:w="46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46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recognized related to contract liability balance</w:t>
            </w:r>
          </w:p>
        </w:tc>
        <w:tc>
          <w:tcPr>
            <w:tcW w:w="326" w:type="dxa"/>
            <w:tcBorders/>
            <w:shd w:fill="auto" w:val="clear"/>
            <w:vAlign w:val="center"/>
          </w:tcPr>
          <w:p>
            <w:pPr>
              <w:pStyle w:val="TableContents"/>
              <w:spacing w:before="0" w:after="1"/>
              <w:ind w:left="0" w:right="0" w:hanging="0"/>
              <w:rPr/>
            </w:pPr>
            <w:r>
              <w:rPr/>
              <w:t>​</w:t>
            </w:r>
          </w:p>
        </w:tc>
        <w:tc>
          <w:tcPr>
            <w:tcW w:w="335"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6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translation</w:t>
            </w:r>
          </w:p>
        </w:tc>
        <w:tc>
          <w:tcPr>
            <w:tcW w:w="326" w:type="dxa"/>
            <w:tcBorders/>
            <w:shd w:fill="CCEEFF" w:val="clear"/>
            <w:vAlign w:val="center"/>
          </w:tcPr>
          <w:p>
            <w:pPr>
              <w:pStyle w:val="TableContents"/>
              <w:spacing w:before="0" w:after="1"/>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6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June 30, 2021</w:t>
            </w:r>
          </w:p>
        </w:tc>
        <w:tc>
          <w:tcPr>
            <w:tcW w:w="326" w:type="dxa"/>
            <w:tcBorders/>
            <w:shd w:fill="auto" w:val="clear"/>
            <w:vAlign w:val="center"/>
          </w:tcPr>
          <w:p>
            <w:pPr>
              <w:pStyle w:val="TableContents"/>
              <w:spacing w:before="0" w:after="1"/>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217</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1177" w:name="Tc_JyiAb3sggEudQij3CK0AeQ_3_5"/>
      <w:bookmarkStart w:id="1178" w:name="Tc_pt9QP9aLM0ynQJRNQux46A_3_2"/>
      <w:bookmarkStart w:id="1179" w:name="Tc_kro3NMykHEuhBdAgHfWQhA_3_0"/>
      <w:bookmarkStart w:id="1180" w:name="Tc_Aki2hb_BkUyBSkMM_AdMgA_2_5"/>
      <w:bookmarkStart w:id="1181" w:name="Tc_SVnt0ri3Q0aGehCV-RpD1g_2_2"/>
      <w:bookmarkStart w:id="1182" w:name="Tc_bFTg8Gul6ESETi0lVcdHEA_1_2"/>
      <w:bookmarkStart w:id="1183" w:name="Tc_69vGzTRNXU-BPnhEtnTnpw_5_0"/>
      <w:bookmarkStart w:id="1184" w:name="Tc_xBcPoZDkv0SY7T9FGCmGGw_4_0"/>
      <w:bookmarkStart w:id="1185" w:name="Tc_7KQbR-fR8km3D5Zw4cWlGw_3_5"/>
      <w:bookmarkStart w:id="1186" w:name="Tc_x3gV1ZqAr0msdDjGXeFYZA_3_2"/>
      <w:bookmarkStart w:id="1187" w:name="Tc_nMpFEVPAiUGIB0lhMAp1Ew_3_0"/>
      <w:bookmarkStart w:id="1188" w:name="Tc_bNJ3fAEgG0CRsiuxaL9udw_2_5"/>
      <w:bookmarkStart w:id="1189" w:name="Tc_SDNzvKYuMkmXdm8uSrB05A_2_2"/>
      <w:bookmarkStart w:id="1190" w:name="Tc_-SsvHPFsM0-qqIwamM5Z-A_1_5"/>
      <w:bookmarkStart w:id="1191" w:name="Tc_tyo3Iuu4KE-a4UxM7Ac3Og_1_2"/>
      <w:bookmarkStart w:id="1192" w:name="_bd5dd2b4_f24f_4779_b59a_43fb5344ce55"/>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r>
        <w:rPr>
          <w:rFonts w:ascii="Times New Roman;Times;serif" w:hAnsi="Times New Roman;Times;serif"/>
          <w:b/>
          <w:sz w:val="20"/>
        </w:rPr>
        <w:t>13.   Commitments and Contingencies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In-License Agreements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periods ended June 30, 2021 and June 30, 2020.</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leases an office and laboratory space from a related party in Oxford, England under an operating lease with a contractual term expiring in 2028. The lease does not contain renewal terms. Variable payments include amounts due to the lessor for additional services and cost reimbursements.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Company recorded a right-of-use asset and a lease liability on the effective date of the lease term. The Company’s right-of-use asset and lease liability are as follows (in thousands):</w:t>
      </w:r>
    </w:p>
    <w:p>
      <w:pPr>
        <w:pStyle w:val="TextBody"/>
        <w:spacing w:before="0" w:after="240"/>
        <w:ind w:left="331" w:right="0" w:hanging="0"/>
        <w:rPr/>
      </w:pPr>
      <w:r>
        <w:rPr/>
        <w:t>​</w:t>
      </w:r>
    </w:p>
    <w:tbl>
      <w:tblPr>
        <w:tblW w:w="4840" w:type="dxa"/>
        <w:jc w:val="left"/>
        <w:tblInd w:w="0" w:type="dxa"/>
        <w:tblCellMar>
          <w:top w:w="0" w:type="dxa"/>
          <w:left w:w="0" w:type="dxa"/>
          <w:bottom w:w="0" w:type="dxa"/>
          <w:right w:w="0" w:type="dxa"/>
        </w:tblCellMar>
      </w:tblPr>
      <w:tblGrid>
        <w:gridCol w:w="2266"/>
        <w:gridCol w:w="326"/>
        <w:gridCol w:w="211"/>
        <w:gridCol w:w="571"/>
        <w:gridCol w:w="326"/>
        <w:gridCol w:w="270"/>
        <w:gridCol w:w="870"/>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438910" cy="175260"/>
                      <wp:effectExtent l="0" t="0" r="0" b="0"/>
                      <wp:wrapNone/>
                      <wp:docPr id="193" name="Frame193"/>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62585" cy="175260"/>
                      <wp:effectExtent l="0" t="0" r="0" b="0"/>
                      <wp:wrapNone/>
                      <wp:docPr id="196" name="Frame19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71450" cy="175260"/>
                      <wp:effectExtent l="0" t="0" r="0" b="0"/>
                      <wp:wrapNone/>
                      <wp:docPr id="198" name="Frame198"/>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52450" cy="175260"/>
                      <wp:effectExtent l="0" t="0" r="0" b="0"/>
                      <wp:wrapNone/>
                      <wp:docPr id="199" name="Frame199"/>
                      <a:graphic xmlns:a="http://schemas.openxmlformats.org/drawingml/2006/main">
                        <a:graphicData uri="http://schemas.microsoft.com/office/word/2010/wordprocessingShape">
                          <wps:wsp>
                            <wps:cNvSpPr txBox="1"/>
                            <wps:spPr>
                              <a:xfrm>
                                <a:off x="0" y="0"/>
                                <a:ext cx="552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2,040</w:t>
            </w:r>
          </w:p>
        </w:tc>
        <w:tc>
          <w:tcPr>
            <w:tcW w:w="326" w:type="dxa"/>
            <w:tcBorders/>
            <w:shd w:fill="CCEEFF" w:val="clear"/>
            <w:vAlign w:val="center"/>
          </w:tcPr>
          <w:p>
            <w:pPr>
              <w:pStyle w:val="TableContents"/>
              <w:spacing w:before="0" w:after="1"/>
              <w:ind w:left="0" w:right="0" w:hanging="0"/>
              <w:jc w:val="center"/>
              <w:rPr/>
            </w:pPr>
            <w:r>
              <w:rPr/>
              <w:t>​</w:t>
            </w:r>
          </w:p>
        </w:tc>
        <w:tc>
          <w:tcPr>
            <w:tcW w:w="27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liability, current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auto" w:val="clear"/>
            <w:vAlign w:val="center"/>
          </w:tcPr>
          <w:p>
            <w:pPr>
              <w:pStyle w:val="TableContents"/>
              <w:spacing w:before="0" w:after="1"/>
              <w:ind w:left="0" w:right="0" w:hanging="0"/>
              <w:rPr/>
            </w:pPr>
            <w:r>
              <w:rPr/>
              <w:t> </w:t>
            </w:r>
          </w:p>
        </w:tc>
        <w:tc>
          <w:tcPr>
            <w:tcW w:w="270" w:type="dxa"/>
            <w:tcBorders/>
            <w:shd w:fill="auto" w:val="clear"/>
            <w:vAlign w:val="center"/>
          </w:tcPr>
          <w:p>
            <w:pPr>
              <w:pStyle w:val="TableContents"/>
              <w:spacing w:before="0" w:after="1"/>
              <w:ind w:left="0" w:right="0" w:hanging="0"/>
              <w:jc w:val="right"/>
              <w:rPr/>
            </w:pPr>
            <w:r>
              <w:rPr/>
              <w:t>​</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liability, noncurrent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1,384</w:t>
            </w:r>
          </w:p>
        </w:tc>
        <w:tc>
          <w:tcPr>
            <w:tcW w:w="326" w:type="dxa"/>
            <w:tcBorders/>
            <w:shd w:fill="CCEEFF" w:val="clear"/>
            <w:vAlign w:val="center"/>
          </w:tcPr>
          <w:p>
            <w:pPr>
              <w:pStyle w:val="TableContents"/>
              <w:spacing w:before="0" w:after="1"/>
              <w:ind w:left="0" w:right="0" w:hanging="0"/>
              <w:rPr/>
            </w:pPr>
            <w:r>
              <w:rPr/>
              <w:t> </w:t>
            </w:r>
          </w:p>
        </w:tc>
        <w:tc>
          <w:tcPr>
            <w:tcW w:w="270" w:type="dxa"/>
            <w:tcBorders/>
            <w:shd w:fill="CCEEFF" w:val="clear"/>
            <w:vAlign w:val="center"/>
          </w:tcPr>
          <w:p>
            <w:pPr>
              <w:pStyle w:val="TableContents"/>
              <w:spacing w:before="0" w:after="1"/>
              <w:ind w:left="0" w:right="0" w:hanging="0"/>
              <w:jc w:val="right"/>
              <w:rPr/>
            </w:pPr>
            <w:r>
              <w:rPr/>
              <w:t>​</w:t>
            </w:r>
          </w:p>
        </w:tc>
        <w:tc>
          <w:tcPr>
            <w:tcW w:w="870"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1,472</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information</w:t>
      </w:r>
    </w:p>
    <w:p>
      <w:pPr>
        <w:pStyle w:val="TextBody"/>
        <w:spacing w:before="0" w:after="0"/>
        <w:ind w:left="0" w:right="0" w:hanging="0"/>
        <w:rPr/>
      </w:pPr>
      <w:r>
        <w:rPr/>
        <w:t>​</w:t>
      </w:r>
    </w:p>
    <w:tbl>
      <w:tblPr>
        <w:tblW w:w="8200" w:type="dxa"/>
        <w:jc w:val="left"/>
        <w:tblInd w:w="0" w:type="dxa"/>
        <w:tblCellMar>
          <w:top w:w="0" w:type="dxa"/>
          <w:left w:w="0" w:type="dxa"/>
          <w:bottom w:w="0" w:type="dxa"/>
          <w:right w:w="0" w:type="dxa"/>
        </w:tblCellMar>
      </w:tblPr>
      <w:tblGrid>
        <w:gridCol w:w="5806"/>
        <w:gridCol w:w="326"/>
        <w:gridCol w:w="257"/>
        <w:gridCol w:w="514"/>
        <w:gridCol w:w="398"/>
        <w:gridCol w:w="257"/>
        <w:gridCol w:w="642"/>
      </w:tblGrid>
      <w:tr>
        <w:trPr/>
        <w:tc>
          <w:tcPr>
            <w:tcW w:w="5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686810" cy="175260"/>
                      <wp:effectExtent l="0" t="0" r="0" b="0"/>
                      <wp:wrapNone/>
                      <wp:docPr id="200" name="Frame200"/>
                      <a:graphic xmlns:a="http://schemas.openxmlformats.org/drawingml/2006/main">
                        <a:graphicData uri="http://schemas.microsoft.com/office/word/2010/wordprocessingShape">
                          <wps:wsp>
                            <wps:cNvSpPr txBox="1"/>
                            <wps:spPr>
                              <a:xfrm>
                                <a:off x="0" y="0"/>
                                <a:ext cx="3686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3195" cy="175260"/>
                      <wp:effectExtent l="0" t="0" r="0" b="0"/>
                      <wp:wrapNone/>
                      <wp:docPr id="202" name="Frame202"/>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26390" cy="175260"/>
                      <wp:effectExtent l="0" t="0" r="0" b="0"/>
                      <wp:wrapNone/>
                      <wp:docPr id="203" name="Frame203"/>
                      <a:graphic xmlns:a="http://schemas.openxmlformats.org/drawingml/2006/main">
                        <a:graphicData uri="http://schemas.microsoft.com/office/word/2010/wordprocessingShape">
                          <wps:wsp>
                            <wps:cNvSpPr txBox="1"/>
                            <wps:spPr>
                              <a:xfrm>
                                <a:off x="0" y="0"/>
                                <a:ext cx="326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52730" cy="175260"/>
                      <wp:effectExtent l="0" t="0" r="0" b="0"/>
                      <wp:wrapNone/>
                      <wp:docPr id="204" name="Frame204"/>
                      <a:graphic xmlns:a="http://schemas.openxmlformats.org/drawingml/2006/main">
                        <a:graphicData uri="http://schemas.microsoft.com/office/word/2010/wordprocessingShape">
                          <wps:wsp>
                            <wps:cNvSpPr txBox="1"/>
                            <wps:spPr>
                              <a:xfrm>
                                <a:off x="0" y="0"/>
                                <a:ext cx="2527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3195" cy="175260"/>
                      <wp:effectExtent l="0" t="0" r="0" b="0"/>
                      <wp:wrapNone/>
                      <wp:docPr id="205" name="Frame205"/>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7670" cy="175260"/>
                      <wp:effectExtent l="0" t="0" r="0" b="0"/>
                      <wp:wrapNone/>
                      <wp:docPr id="206" name="Frame206"/>
                      <a:graphic xmlns:a="http://schemas.openxmlformats.org/drawingml/2006/main">
                        <a:graphicData uri="http://schemas.microsoft.com/office/word/2010/wordprocessingShape">
                          <wps:wsp>
                            <wps:cNvSpPr txBox="1"/>
                            <wps:spPr>
                              <a:xfrm>
                                <a:off x="0" y="0"/>
                                <a:ext cx="407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8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6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58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8" w:type="dxa"/>
            <w:tcBorders/>
            <w:shd w:fill="auto" w:val="clear"/>
            <w:vAlign w:val="center"/>
          </w:tcPr>
          <w:p>
            <w:pPr>
              <w:pStyle w:val="TableContents"/>
              <w:spacing w:before="0" w:after="1"/>
              <w:ind w:left="0" w:right="0" w:hanging="0"/>
              <w:rPr/>
            </w:pPr>
            <w:r>
              <w:rPr/>
              <w:t>    </w:t>
            </w:r>
          </w:p>
        </w:tc>
        <w:tc>
          <w:tcPr>
            <w:tcW w:w="89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58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98"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148</w:t>
            </w:r>
          </w:p>
        </w:tc>
      </w:tr>
    </w:tbl>
    <w:p>
      <w:pPr>
        <w:pStyle w:val="TextBody"/>
        <w:spacing w:before="0" w:after="240"/>
        <w:ind w:left="331"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six months ended June 30, 2021, the Company recorded $189 thousand (six months ended June 30, 2020: $168 thousand) in operating lease costs (including short-term lease expense and variable lease costs).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360" w:right="0" w:hanging="0"/>
        <w:rPr>
          <w:rFonts w:ascii="Times New Roman;Times;serif" w:hAnsi="Times New Roman;Times;serif"/>
          <w:sz w:val="20"/>
        </w:rPr>
      </w:pPr>
      <w:bookmarkStart w:id="1193" w:name="Tc_kNLyUCEIqkePGDf9ppm-QQ_9_2"/>
      <w:bookmarkStart w:id="1194" w:name="Tc_0Kb6EelZAEuvTIMOJVZVNA_9_0"/>
      <w:bookmarkStart w:id="1195" w:name="Tc_Q8hhYiFqd0qrHooaoI6bqQ_8_0"/>
      <w:bookmarkStart w:id="1196" w:name="Tc_uEk_AU212USnEzG3easkGQ_7_2"/>
      <w:bookmarkStart w:id="1197" w:name="Tc_PajVISUFvUWtZxRn-H5n2Q_7_0"/>
      <w:bookmarkStart w:id="1198" w:name="Tc_jUMcBOAZuEyHoz1-r0Hzgw_6_0"/>
      <w:bookmarkStart w:id="1199" w:name="Tc_vk8vIlbJj02qc0Ba2wWzAQ_5_0"/>
      <w:bookmarkStart w:id="1200" w:name="Tc_aJsxuNAUDkyjrcwSEF0SsA_4_0"/>
      <w:bookmarkStart w:id="1201" w:name="Tc_cipdIlRjMUOl5XOzeXoj1g_3_0"/>
      <w:bookmarkStart w:id="1202" w:name="Tc_ZrpvKHAri0WZ9ko9Xjq76A_2_0"/>
      <w:bookmarkStart w:id="1203" w:name="Tc_g4Ux8wmcZUungvd-wtNJyA_1_2"/>
      <w:bookmarkStart w:id="1204" w:name="Tc_Js8r8CZ-pkK-nBl3TBDPbA_1_0"/>
      <w:bookmarkStart w:id="1205" w:name="_d98bce02_ccd7_4f23_a730_0cccc748b72d"/>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sz w:val="20"/>
        </w:rPr>
        <w:t>Future annual minimum lease payments under operating leases as of June 30, 2021 were as follows (in thousands):</w:t>
      </w:r>
    </w:p>
    <w:p>
      <w:pPr>
        <w:pStyle w:val="TextBody"/>
        <w:spacing w:before="0" w:after="240"/>
        <w:ind w:left="0" w:right="0" w:hanging="0"/>
        <w:rPr/>
      </w:pPr>
      <w:r>
        <w:rPr/>
        <w:t>​</w:t>
      </w:r>
    </w:p>
    <w:tbl>
      <w:tblPr>
        <w:tblW w:w="3869" w:type="dxa"/>
        <w:jc w:val="left"/>
        <w:tblInd w:w="0" w:type="dxa"/>
        <w:tblCellMar>
          <w:top w:w="0" w:type="dxa"/>
          <w:left w:w="0" w:type="dxa"/>
          <w:bottom w:w="0" w:type="dxa"/>
          <w:right w:w="0" w:type="dxa"/>
        </w:tblCellMar>
      </w:tblPr>
      <w:tblGrid>
        <w:gridCol w:w="2656"/>
        <w:gridCol w:w="326"/>
        <w:gridCol w:w="211"/>
        <w:gridCol w:w="676"/>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86560" cy="175260"/>
                      <wp:effectExtent l="0" t="0" r="0" b="0"/>
                      <wp:wrapNone/>
                      <wp:docPr id="207" name="Frame207"/>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10" name="Frame21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2021</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1,586</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contingencies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Related Party Transactions</w:t>
      </w:r>
    </w:p>
    <w:p>
      <w:pPr>
        <w:pStyle w:val="TextBody"/>
        <w:spacing w:before="0" w:after="240"/>
        <w:ind w:left="334" w:right="0" w:hanging="0"/>
        <w:rPr>
          <w:rFonts w:ascii="Times New Roman;Times;serif" w:hAnsi="Times New Roman;Times;serif"/>
          <w:sz w:val="20"/>
        </w:rPr>
      </w:pPr>
      <w:r>
        <w:rPr>
          <w:rFonts w:ascii="Times New Roman;Times;serif" w:hAnsi="Times New Roman;Times;serif"/>
          <w:sz w:val="20"/>
        </w:rPr>
        <w:t>During the three months and six months ended June 30, 2021, the Company paid $86 thousand and $126 thousand respectively (three months and six months ended June 30, 2020: $120 thousand and $170 thousand respectively) to its shareholder, Oxford Sciences Innovation Plc, mostly related to the lease of a laboratory and office space in Oxford. At June 30, 2021, the Company owed $0 (December 31, 2020: $0) to Oxford Sciences Innovation Plc.</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three months and six months ended June 30, 2021, the Company incurred expenses of $0 and $19 thousand respectively (three months and six months ended June 30, 2020: $100 thousand and $100 thousand respectively) to its shareholder, the University of Oxford, related to clinical study costs. At June 30, 2021, the Company owed $0 (December 31, 2020: $300 thousand) to University of Oxford.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three months and six months ended June 30, 2021, the Company incurred expenses of $24 and $141 thousand respectively (three months and six months ended June 30, 2020: $64 thousand and $134 thousand respectively) for services from Oxford University Innovation Limited which is a wholly owned subsidiary of the Company’s shareholder, the University of Oxford. At June 30, 2021, the Company owed $21 thousand (December 31, 2020: $25 thousand) to Oxford University Innovation Limited.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three months and six months ended June 30, 2021, the Company incurred expenses of $16 thousand and $49 thousand respectively (three months and six months ended June 30, 2020: $0 thousand and $6 thousand respectively) to its shareholder, the Oxford University Hospitals, related to clinical study costs. At June 30, 2021, the Company owed $0 thousand (December 31, 2020: $0 thousand) to Oxford University Hospitals.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six months ended June 30, 2021, the Company issued 263,886 shares with a nominal value of £0.000025 per share at a price of £ 0.00032 per share to William Enright, Chief Executive officer and director in relation to vested RSUs. During the six months ended June 30, 2020, the Company issued 479,568 shares with a nominal value of £0.000025 per share at a price of £ 0.00032 per share to William Enright, Chief Executive officer and director.</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six months ended June 30, 2021, the interest on convertible loans issued to Oxford Sciences Innovation PLC and the University of Oxford, shareholders of the Company was $429 thousand (June 30, 2020: $0). At June 30, 2021 these convertible loan notes including the embedded derivative was $0 (December 31, 2020: $7,356 thousand).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March 15, 2021 Oxford Sciences Innovation PLC subscribed to 3,468 Series B Shares in an amount of $14,999 thousand. The Company also recognized a loss of $2,125 thousand on the conversion of the convertible loan notes into 2,008 Series B Shares. On May 4, 2021 prior to the closing of the Company’s initial public offering and pursuant to the terms of its articles of association, the Series B Shares were converted into 1,692,084 ordinary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15.  Subsequent Events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July 6, 2021 the Company entered into a clinical trial collaboration agreement with Arbutus Biopharma to evaluate an innovative therapeutic combination for the treatment of subjects with chronic hepatitis B virus infection. The Phase 2a clinical trial is expected to begin in the first half of 2022 and will be managed by Arbutus Biopharma. Under the agreement, the parties retain full rights to their respective product candidates and will split all costs associated with the clinical trial. Pursuant to the agreement, the parties intend to undertake a larger Phase 2b clinical trial depending on the results of the initial Phase 2a clinical trial.</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06" w:name="Item2ManagementsDiscussionandAnalysisofF"/>
      <w:bookmarkStart w:id="1207" w:name="_32e366b4_12fd_4cc6_acc2_b29306765d86"/>
      <w:bookmarkEnd w:id="1206"/>
      <w:bookmarkEnd w:id="1207"/>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consolidated financial statements and the related notes appearing elsewhere in this Quarterly Report on Form 10-Q and our audited financial statements and related notes for the year ended December 31, 2020 included in our final prospectus for our initial public offering filed pursuant to Rule 424(b) under the Securities Act of 1933, as amended, with the Securities and Exchange Commission, on April 30, 2021.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final prospectus for our initial public offering filed pursuant to Rule 424(b), as supplemented by our subsequent filings with the SEC.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a clinical-stage biopharmaceutical company engaged in the discovery and development of novel immunotherapeutics and vaccines for the treatment and prevention of infectious diseases and cancer. We use our proprietary platform to develop product candidates that stimulate powerful, targeted immune responses against pathogens and tumor cells. We design our product candidates to stimulate immune responses that are robust, highly specific, and are differentiated by the magnitude of the T cell populations induced, which exhibit critical functionality and durability. We are focused on applying our platform capabilities and the expertise of our team to address significant unmet medical needs in two settings—the therapeutic setting, for the treatment of chronic infectious diseases and cancer, and the prophylactic setting, for the prevention of infectious diseases, based on our platform’s ability to respond rapidly to epidemic and pandemic threats.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Our current prophylactic programs include VTP-400 for the prevention of herpes zoster, or shingles, VTP-500 for the prevention of Middle East respiratory syndrome, or MERS, and VTP-950, our next-generation product candidate for the prevention of COVID-19 infection. In addition, we co-invented a COVID-19 vaccine candidate with the University of Oxford, which we assigned to Oxford University Innovation, or OUI, to facilitate the license of those rights by OUI to AstraZeneca UK Limited, or AstraZeneca. The product candidate, which we refer to as AZD1222, is now authorized for use under the name Vaxzevria in a number of countries. As of August 12, 2021, AstraZeneca has announced that AZD1222 has been granted emergency use authorization in the United Kingdom, India and Japan, among other countries. AstraZeneca has exclusive worldwide rights to develop and commercialize AZD1222.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May 4, 2021, we completed our initial public offering, or IPO, pursuant to which we issued and sold 6,500,000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 $2.4 million upfront payment from OUI in July 2020 in connection with the Amendment, Assignment and Revenue Share Agreement, or the OUI License Agreement Amendment, related to the licensing of the COVID-19 vaccine candidate now known as AZD1222, or Vaxzevria. We do not expect to generate revenue from any of our own product candidates until we obtain regulatory authorization for one or more of such product candidates, if at all, and commercialize our products, or we enter into out-licensing agreements with third parties. We may receive some revenue pursuant to the OUI License Agreement Amendment with OUI with respect to the AstraZeneca COVID-19 vaccine candidate AZD1222 in certain circumstances if it receives marketing approval from regulatory authorities and is sold commercially. Substantially all of our net losses have resulted from costs incurred in connection with our research and development activities and from general and administrative costs associated with our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incurred net losses each year since inception. For the three and six months ended June 30, 2021, we incurred net losses of $16.0 million and $31.4 million, respectively. For the three and six months ended June 30, 2020, we incurred net losses of $3.7 million and $7.6 million, respectively. As of June 30, 2021, we had an accumulated deficit of $88.9 million and we do not expect positive cash flows from operations in the foreseeable future. We expect to continue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tbl>
      <w:tblPr>
        <w:tblW w:w="5586" w:type="dxa"/>
        <w:jc w:val="left"/>
        <w:tblInd w:w="0" w:type="dxa"/>
        <w:tblCellMar>
          <w:top w:w="28" w:type="dxa"/>
          <w:left w:w="28" w:type="dxa"/>
          <w:bottom w:w="28" w:type="dxa"/>
          <w:right w:w="28" w:type="dxa"/>
        </w:tblCellMar>
      </w:tblPr>
      <w:tblGrid>
        <w:gridCol w:w="124"/>
        <w:gridCol w:w="256"/>
        <w:gridCol w:w="5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0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preclinical studies and clinical trials;</w:t>
            </w:r>
          </w:p>
        </w:tc>
      </w:tr>
    </w:tbl>
    <w:tbl>
      <w:tblPr>
        <w:tblW w:w="9501" w:type="dxa"/>
        <w:jc w:val="left"/>
        <w:tblInd w:w="0" w:type="dxa"/>
        <w:tblCellMar>
          <w:top w:w="28" w:type="dxa"/>
          <w:left w:w="28" w:type="dxa"/>
          <w:bottom w:w="28" w:type="dxa"/>
          <w:right w:w="28" w:type="dxa"/>
        </w:tblCellMar>
      </w:tblPr>
      <w:tblGrid>
        <w:gridCol w:w="124"/>
        <w:gridCol w:w="256"/>
        <w:gridCol w:w="9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2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our financial and other resources to complete the necessary preclinical studies and clinical trials;</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3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investigational new drug applications, or INDs, for our planned clinical trials or future clinical trials;</w:t>
            </w:r>
          </w:p>
        </w:tc>
      </w:tr>
    </w:tbl>
    <w:tbl>
      <w:tblPr>
        <w:tblW w:w="4986" w:type="dxa"/>
        <w:jc w:val="left"/>
        <w:tblInd w:w="0" w:type="dxa"/>
        <w:tblCellMar>
          <w:top w:w="28" w:type="dxa"/>
          <w:left w:w="28" w:type="dxa"/>
          <w:bottom w:w="28" w:type="dxa"/>
          <w:right w:w="28" w:type="dxa"/>
        </w:tblCellMar>
      </w:tblPr>
      <w:tblGrid>
        <w:gridCol w:w="124"/>
        <w:gridCol w:w="256"/>
        <w:gridCol w:w="4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0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and completion of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our clinical program supporting approvable and commercially acceptable risk/benefit profiles for our product candidates in the intended populations;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and maintenance of necessary regulatory and marketing approvals from applicable regulatory authorities, in the light of the commercial environment then existent;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scale-up of our manufacturing processes and formulation of our product candidates for later stages of development and commercial production;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either our own manufacturing capabilities or satisfactory agreements with third-party manufacturers for clinical supply for later stages of development and commercial manufacturing;</w:t>
            </w:r>
          </w:p>
        </w:tc>
      </w:tr>
    </w:tbl>
    <w:tbl>
      <w:tblPr>
        <w:tblW w:w="8421" w:type="dxa"/>
        <w:jc w:val="left"/>
        <w:tblInd w:w="0" w:type="dxa"/>
        <w:tblCellMar>
          <w:top w:w="28" w:type="dxa"/>
          <w:left w:w="28" w:type="dxa"/>
          <w:bottom w:w="28" w:type="dxa"/>
          <w:right w:w="28" w:type="dxa"/>
        </w:tblCellMar>
      </w:tblPr>
      <w:tblGrid>
        <w:gridCol w:w="124"/>
        <w:gridCol w:w="256"/>
        <w:gridCol w:w="8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4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collaborations where appropriate to further the development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intellectual property and trade secret protection or regulatory exclusivity for our product candidates as well as qualifying for, maintaining, enforcing and defending such intellectual property rights and claims;</w:t>
            </w:r>
          </w:p>
        </w:tc>
      </w:tr>
    </w:tbl>
    <w:tbl>
      <w:tblPr>
        <w:tblW w:w="10071" w:type="dxa"/>
        <w:jc w:val="left"/>
        <w:tblInd w:w="0" w:type="dxa"/>
        <w:tblCellMar>
          <w:top w:w="28" w:type="dxa"/>
          <w:left w:w="28" w:type="dxa"/>
          <w:bottom w:w="28" w:type="dxa"/>
          <w:right w:w="28" w:type="dxa"/>
        </w:tblCellMar>
      </w:tblPr>
      <w:tblGrid>
        <w:gridCol w:w="124"/>
        <w:gridCol w:w="256"/>
        <w:gridCol w:w="9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9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launching or assisting with the launch of commercial sales of our product candidates following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each product’s benefits and uses by patients, the medical community and third-party payors following approval;</w:t>
            </w:r>
          </w:p>
        </w:tc>
      </w:tr>
    </w:tbl>
    <w:tbl>
      <w:tblPr>
        <w:tblW w:w="9261" w:type="dxa"/>
        <w:jc w:val="left"/>
        <w:tblInd w:w="0" w:type="dxa"/>
        <w:tblCellMar>
          <w:top w:w="28" w:type="dxa"/>
          <w:left w:w="28" w:type="dxa"/>
          <w:bottom w:w="28" w:type="dxa"/>
          <w:right w:w="28" w:type="dxa"/>
        </w:tblCellMar>
      </w:tblPr>
      <w:tblGrid>
        <w:gridCol w:w="124"/>
        <w:gridCol w:w="256"/>
        <w:gridCol w:w="8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8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events experienced with our product candidates in development;</w:t>
            </w:r>
          </w:p>
        </w:tc>
      </w:tr>
    </w:tbl>
    <w:tbl>
      <w:tblPr>
        <w:tblW w:w="9696" w:type="dxa"/>
        <w:jc w:val="left"/>
        <w:tblInd w:w="0" w:type="dxa"/>
        <w:tblCellMar>
          <w:top w:w="28" w:type="dxa"/>
          <w:left w:w="28" w:type="dxa"/>
          <w:bottom w:w="28" w:type="dxa"/>
          <w:right w:w="28" w:type="dxa"/>
        </w:tblCellMar>
      </w:tblPr>
      <w:tblGrid>
        <w:gridCol w:w="124"/>
        <w:gridCol w:w="256"/>
        <w:gridCol w:w="9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1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continued acceptable safety profile of the product candidates following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healthcare coverage and adequate reimbursement from third-party payors if necessary or desirable; and</w:t>
            </w:r>
          </w:p>
        </w:tc>
      </w:tr>
    </w:tbl>
    <w:tbl>
      <w:tblPr>
        <w:tblW w:w="4011" w:type="dxa"/>
        <w:jc w:val="left"/>
        <w:tblInd w:w="0" w:type="dxa"/>
        <w:tblCellMar>
          <w:top w:w="28" w:type="dxa"/>
          <w:left w:w="28" w:type="dxa"/>
          <w:bottom w:w="28" w:type="dxa"/>
          <w:right w:w="28" w:type="dxa"/>
        </w:tblCellMar>
      </w:tblPr>
      <w:tblGrid>
        <w:gridCol w:w="124"/>
        <w:gridCol w:w="256"/>
        <w:gridCol w:w="3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3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competing with other therapies.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Including the net proceeds from our IPO, we expect that our cash balance as of June 30, 2021 will enable us to fund our operating expenses and capital requirements into 2024.</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July 6, 2021 we announced that we entered into a clinical trial collaboration agreement with Arbutus Biopharma Corporation (“Arbutus”) to evaluate an innovative therapeutic combination for the treatment of subjects with chronic hepatitis B virus (HBV) infection (CHB) who are already receiving standard-of-care nucleos(t)ide reverse transcriptase inhibitor (NrtI) therapy. The multi-center, Phase 2a clinical trial will evaluate the safety, pharmacokinetics, immunogenicity, and antiviral activity of Arbutus’s proprietary GalNAc delivered RNAi therapeutic, AB-729, followed by our proprietary immunotherapeutic, VTP-300, in NrtI-suppressed subjects with CHB. The Phase 2a clinical trial is expected to initiate in the first half of 2022 and will be managed by Arbutus, subject to oversight by a joint development committee composed of representatives from both companies. The parties retain full rights to their respective product candidates and will split all costs associated with the clinical trial. Pursuant to the agreement, the parties intend to undertake a larger Phase 2b clinical trial depending on the results of the initial Phase 2a clinical trial.</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Despite challenges related to COVID-19 pandemic, the lead-in phase of HPV001, a Phase 1/2 clinical trial of VTP-200, is now fully enrolled with 12 participants screened and 9 dosed across multiple clinical trial sites in Belgium and the United Kingdom. The main phase has been opened to dosing as of July 22, 2021 and we are working to open all remaining clinical trial sites.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Impact of the COVID-19 Pandemic</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spread of COVID-19, which we refer to as the COVID-19 pandemic, and the policies and regulations implemented by governments in response to the COVID-19 pandemic have had a significant impact, both directly and indirectly, on the global economy and our business and operations, including in particular the interruption of our clinical trial activities and potential interruption to our supply chain. Namely, the initiation of our Phase 1/2a clinical trial for VTP-200 and our Phase 1 clinical trial for VTP-500, which are being conducted at the University of Oxford sites, were delayed and paused, respectively due to COVID-19. For our Phase 1/2a clinical trial for VTP-200, participant recruitment is delayed by approximately 3 months. Sites are affected in both the UK and Belgium. In the UK, the availability of resources to support set up of trials not related to COVID-19 has been low but recently has showed some signs of easing. Other pandemic related issues affecting recruitment include the mass vaccination programs and the adverse publicity early in the second quarter of 2021 specifically around Vaxzevria. The VTP-200 protocol had to be amended so that participants who have previously received Vaxzevria (or any other adenovirus-based vaccine) wait for a minimum of 3 months between their last adenovirus vaccine and injection with our immunotherapeutic product to prevent prior vector immunity affecting the study.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our Phase 1 (HBV001) clinical trial for VTP-300, recruitment of patients with Chronic Hepatitis B (CHB) in the UK has been challenging, due to COVID-19 lockdowns. Recruitment is estimated to be completed by the end of the third quarter of 2021 and results of the study are expected to be available in the fourth quarter of 2021. For our Phase 1b/2a (HBV002) clinical trial for VTP-300, CHB patient recruitment continues with delays in Taiwan due to a recent COVID-19 lockdown in the country. Patient recruitment has also been delayed in South Korea due to the roll out of Vaxzevria vaccine. Patient recruitment is estimated to be completed toward the end of the third quarter or the beginning of the fourth quarter of 2021 and with interim data from all patients expected toward the beginning of the first quarter of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If the disruption due to the COVID-19 pandemic continues, our planned future preclinical and clinical development for our other product candidates could also be delayed due to government orders and site policies as a result of the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mandated that our non-laboratory based employees, such as clinical, manufacturing, finance, administrative, quality, regulatory and program managers continue their work outside of our offices and limited the number of staff in any given research and development laboratory at any time. Our increased reliance on personnel working from home may negatively impact productivity, increase the potential risks of data privacy or security breaches, or disrupt, delay, or otherwise adversely impact our business.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still assessing our business plans and the impact the COVID-19 pandemic may have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the COVID-19 pandemic, including downturns in business sentiment generally or in our sector in particular.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Components of Our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date, we have not generated any revenue from product sales and do not expect to do so in the near future, if at all. Our revenue to date has been derived from a research grant from BARDA, a research, collaboration and license agreement with Enara Bio and the OUI License Agreement Amendment with OUI relating to AZD1222.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have recognized $2.4 million as revenue during the year ended December 31, 2020.</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determined that we have no further performance obligations under the terms of the OUI License Agreement Amendment, which comprised the transfer of intellectual property rights only. Accordingly, we plan to recognize these and any future amounts as revenue when received.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operating expenses since inception have consisted of research and development costs and general administrative costs.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and VTP-300, and readying VTP-600 and VTP-850 for clinical trials. Research and development activities account for the major portion of our operating expenses. Research and development costs are expensed as incurred. These costs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share-based compensation, for personnel engaged in research and development functions;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the development of our programs including preclinical studies and clinical trials of our product candidates, under agreements with third parties, such as consultants, contractors, academic institutions and CROs;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drug products for use in preclinical development and clinical trials, including under agreements with third parties, such as CMOs, consultants and contractors;</w:t>
            </w:r>
          </w:p>
        </w:tc>
      </w:tr>
    </w:tbl>
    <w:tbl>
      <w:tblPr>
        <w:tblW w:w="1881" w:type="dxa"/>
        <w:jc w:val="left"/>
        <w:tblInd w:w="0" w:type="dxa"/>
        <w:tblCellMar>
          <w:top w:w="28" w:type="dxa"/>
          <w:left w:w="28" w:type="dxa"/>
          <w:bottom w:w="28" w:type="dxa"/>
          <w:right w:w="28" w:type="dxa"/>
        </w:tblCellMar>
      </w:tblPr>
      <w:tblGrid>
        <w:gridCol w:w="124"/>
        <w:gridCol w:w="256"/>
        <w:gridCol w:w="1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50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costs;</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3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facility costs, equipment depreciation and other expenses, which include direct and allocated expenses;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costs incurred in connection with filing and prosecuting patent applications as well as third-party license fees.</w:t>
            </w:r>
          </w:p>
        </w:tc>
      </w:tr>
    </w:tbl>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general and administrative expenses consist primarily of personnel costs in our executive, finance, business development and other administrative functions. Other general and administrative expenses include consulting fees and professional service fees for auditing, tax and legal services, rent expenses related to our offices, depreciation and other central non-research costs. We expect our general and administrative expenses to continue to increase in the future as we expand our operating activities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Income (Expense)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 in Fair Value of Derivatives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recognized a change in fair value in relation to the conversion and redemption features embedded in the convertible loan notes in the condensed consolidated statements of operations and comprehensive loss for the six months ended June 30,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Loss on Extinguishment of Convertible Loan Notes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March 15, 2021, we issued 28,957 Series B preferred shares, or Series B Shares, amounting to $125,239 thousand.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conversion was accounted for as an extinguishment of the convertible loan notes. As a result, the 12,421 Series B preferred shares issued on conversion was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Expense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Incentives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Research and development incentives contain payments we received from the United Kingdom and Australian governments related to corporation tax relief on research and development projects incentive programs in the United Kingdom and Australia. We account for such relief received as other income.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accruals for external manufacturing of clinical trial material as well as clinical study conduct, fair value of assets and liabilities,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While our significant accounting policies are more fully described in Note 2 to our annual consolidated financial statements for the year ended December 31, 2020 included in our prospectus on Form S-1 dated April 30, 2021, we believe that revenue recognition, accrued research and development expenses, stock based compensation and fair value are most critical to the process of making significant judgments and estimates in the preparation of our financial statements and understanding and evaluating our reported financial results.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Comparison of the Three Months Ended June 30, 2021 and June 30, 2020</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sets forth the significant components of our results of operations (in thousands):</w:t>
      </w:r>
    </w:p>
    <w:tbl>
      <w:tblPr>
        <w:tblW w:w="7730" w:type="dxa"/>
        <w:jc w:val="left"/>
        <w:tblInd w:w="0" w:type="dxa"/>
        <w:tblCellMar>
          <w:top w:w="0" w:type="dxa"/>
          <w:left w:w="0" w:type="dxa"/>
          <w:bottom w:w="0" w:type="dxa"/>
          <w:right w:w="0" w:type="dxa"/>
        </w:tblCellMar>
      </w:tblPr>
      <w:tblGrid>
        <w:gridCol w:w="3541"/>
        <w:gridCol w:w="326"/>
        <w:gridCol w:w="264"/>
        <w:gridCol w:w="921"/>
        <w:gridCol w:w="326"/>
        <w:gridCol w:w="295"/>
        <w:gridCol w:w="890"/>
        <w:gridCol w:w="326"/>
        <w:gridCol w:w="841"/>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48535" cy="175260"/>
                      <wp:effectExtent l="0" t="0" r="0" b="0"/>
                      <wp:wrapNone/>
                      <wp:docPr id="211" name="Frame211"/>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7640" cy="175260"/>
                      <wp:effectExtent l="0" t="0" r="0" b="0"/>
                      <wp:wrapNone/>
                      <wp:docPr id="213" name="Frame213"/>
                      <a:graphic xmlns:a="http://schemas.openxmlformats.org/drawingml/2006/main">
                        <a:graphicData uri="http://schemas.microsoft.com/office/word/2010/wordprocessingShape">
                          <wps:wsp>
                            <wps:cNvSpPr txBox="1"/>
                            <wps:spPr>
                              <a:xfrm>
                                <a:off x="0" y="0"/>
                                <a:ext cx="167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84835" cy="175260"/>
                      <wp:effectExtent l="0" t="0" r="0" b="0"/>
                      <wp:wrapNone/>
                      <wp:docPr id="214" name="Frame214"/>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7325" cy="175260"/>
                      <wp:effectExtent l="0" t="0" r="0" b="0"/>
                      <wp:wrapNone/>
                      <wp:docPr id="216" name="Frame216"/>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65150" cy="175260"/>
                      <wp:effectExtent l="0" t="0" r="0" b="0"/>
                      <wp:wrapNone/>
                      <wp:docPr id="217" name="Frame217"/>
                      <a:graphic xmlns:a="http://schemas.openxmlformats.org/drawingml/2006/main">
                        <a:graphicData uri="http://schemas.microsoft.com/office/word/2010/wordprocessingShape">
                          <wps:wsp>
                            <wps:cNvSpPr txBox="1"/>
                            <wps:spPr>
                              <a:xfrm>
                                <a:off x="0" y="0"/>
                                <a:ext cx="565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34035" cy="175260"/>
                      <wp:effectExtent l="0" t="0" r="0" b="0"/>
                      <wp:wrapNone/>
                      <wp:docPr id="219" name="Frame21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 xml:space="preserve">months </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months </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from Licenses, Grants &amp; Services</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&amp; development</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4,509</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12,371</w:t>
            </w:r>
          </w:p>
        </w:tc>
        <w:tc>
          <w:tcPr>
            <w:tcW w:w="326" w:type="dxa"/>
            <w:tcBorders/>
            <w:shd w:fill="auto" w:val="clear"/>
            <w:vAlign w:val="center"/>
          </w:tcPr>
          <w:p>
            <w:pPr>
              <w:pStyle w:val="TableContents"/>
              <w:spacing w:before="0" w:after="0"/>
              <w:ind w:left="0" w:right="0" w:hanging="0"/>
              <w:rPr/>
            </w:pPr>
            <w:r>
              <w:rPr/>
              <w:t>​</w:t>
            </w:r>
          </w:p>
        </w:tc>
        <w:tc>
          <w:tcPr>
            <w:tcW w:w="29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12,033</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16,880</w:t>
            </w:r>
          </w:p>
        </w:tc>
        <w:tc>
          <w:tcPr>
            <w:tcW w:w="326" w:type="dxa"/>
            <w:tcBorders/>
            <w:shd w:fill="CCEEFF" w:val="clear"/>
            <w:vAlign w:val="center"/>
          </w:tcPr>
          <w:p>
            <w:pPr>
              <w:pStyle w:val="TableContents"/>
              <w:spacing w:before="0" w:after="0"/>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11,451</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(16,845)</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 </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(4,336)</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(12,509)</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incentives</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 </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income</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 </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(expense)/benefit</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(15,985)</w:t>
            </w:r>
          </w:p>
        </w:tc>
        <w:tc>
          <w:tcPr>
            <w:tcW w:w="326" w:type="dxa"/>
            <w:tcBorders/>
            <w:shd w:fill="auto" w:val="clear"/>
            <w:vAlign w:val="center"/>
          </w:tcPr>
          <w:p>
            <w:pPr>
              <w:pStyle w:val="TableContents"/>
              <w:spacing w:before="0" w:after="0"/>
              <w:ind w:left="0" w:right="0" w:hanging="0"/>
              <w:rPr/>
            </w:pPr>
            <w:r>
              <w:rPr/>
              <w:t>​</w:t>
            </w:r>
          </w:p>
        </w:tc>
        <w:tc>
          <w:tcPr>
            <w:tcW w:w="2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(12,328)</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three months ended June 30, 2021, our revenue consisted of service revenue from a research, collaboration and license agreement with Enara Bio. For the three months ended June 30, 2020, our revenue primarily consisted of $0.3 million of reimbursement of research and development expenses from BARDA and $0.1 million of service revenue from a research, collaboration and license agreement with Enara Bio.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summarizes our research and development expenses for the three months ended June 30, 2021 and June 30, 2020:</w:t>
      </w:r>
    </w:p>
    <w:tbl>
      <w:tblPr>
        <w:tblW w:w="8780" w:type="dxa"/>
        <w:jc w:val="left"/>
        <w:tblInd w:w="0" w:type="dxa"/>
        <w:tblCellMar>
          <w:top w:w="0" w:type="dxa"/>
          <w:left w:w="0" w:type="dxa"/>
          <w:bottom w:w="0" w:type="dxa"/>
          <w:right w:w="0" w:type="dxa"/>
        </w:tblCellMar>
      </w:tblPr>
      <w:tblGrid>
        <w:gridCol w:w="4666"/>
        <w:gridCol w:w="326"/>
        <w:gridCol w:w="336"/>
        <w:gridCol w:w="909"/>
        <w:gridCol w:w="326"/>
        <w:gridCol w:w="320"/>
        <w:gridCol w:w="865"/>
        <w:gridCol w:w="326"/>
        <w:gridCol w:w="706"/>
      </w:tblGrid>
      <w:tr>
        <w:trPr/>
        <w:tc>
          <w:tcPr>
            <w:tcW w:w="4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962910" cy="175260"/>
                      <wp:effectExtent l="0" t="0" r="0" b="0"/>
                      <wp:wrapNone/>
                      <wp:docPr id="220" name="Frame220"/>
                      <a:graphic xmlns:a="http://schemas.openxmlformats.org/drawingml/2006/main">
                        <a:graphicData uri="http://schemas.microsoft.com/office/word/2010/wordprocessingShape">
                          <wps:wsp>
                            <wps:cNvSpPr txBox="1"/>
                            <wps:spPr>
                              <a:xfrm>
                                <a:off x="0" y="0"/>
                                <a:ext cx="2962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3360" cy="175260"/>
                      <wp:effectExtent l="0" t="0" r="0" b="0"/>
                      <wp:wrapNone/>
                      <wp:docPr id="222" name="Frame222"/>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77215" cy="175260"/>
                      <wp:effectExtent l="0" t="0" r="0" b="0"/>
                      <wp:wrapNone/>
                      <wp:docPr id="223" name="Frame223"/>
                      <a:graphic xmlns:a="http://schemas.openxmlformats.org/drawingml/2006/main">
                        <a:graphicData uri="http://schemas.microsoft.com/office/word/2010/wordprocessingShape">
                          <wps:wsp>
                            <wps:cNvSpPr txBox="1"/>
                            <wps:spPr>
                              <a:xfrm>
                                <a:off x="0" y="0"/>
                                <a:ext cx="577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3200" cy="175260"/>
                      <wp:effectExtent l="0" t="0" r="0" b="0"/>
                      <wp:wrapNone/>
                      <wp:docPr id="225" name="Frame225"/>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49275" cy="175260"/>
                      <wp:effectExtent l="0" t="0" r="0" b="0"/>
                      <wp:wrapNone/>
                      <wp:docPr id="226" name="Frame226"/>
                      <a:graphic xmlns:a="http://schemas.openxmlformats.org/drawingml/2006/main">
                        <a:graphicData uri="http://schemas.microsoft.com/office/word/2010/wordprocessingShape">
                          <wps:wsp>
                            <wps:cNvSpPr txBox="1"/>
                            <wps:spPr>
                              <a:xfrm>
                                <a:off x="0" y="0"/>
                                <a:ext cx="549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48310" cy="175260"/>
                      <wp:effectExtent l="0" t="0" r="0" b="0"/>
                      <wp:wrapNone/>
                      <wp:docPr id="228" name="Frame228"/>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26" w:type="dxa"/>
            <w:tcBorders/>
            <w:shd w:fill="auto" w:val="clear"/>
            <w:vAlign w:val="center"/>
          </w:tcPr>
          <w:p>
            <w:pPr>
              <w:pStyle w:val="TableContents"/>
              <w:spacing w:before="0" w:after="0"/>
              <w:ind w:left="0" w:right="0" w:hanging="0"/>
              <w:jc w:val="center"/>
              <w:rPr/>
            </w:pPr>
            <w:r>
              <w:rPr/>
              <w:t>    </w:t>
            </w:r>
          </w:p>
        </w:tc>
        <w:tc>
          <w:tcPr>
            <w:tcW w:w="706" w:type="dxa"/>
            <w:tcBorders/>
            <w:shd w:fill="auto" w:val="clear"/>
            <w:vAlign w:val="center"/>
          </w:tcPr>
          <w:p>
            <w:pPr>
              <w:pStyle w:val="TableContents"/>
              <w:spacing w:before="0" w:after="0"/>
              <w:ind w:left="0" w:right="0" w:hanging="0"/>
              <w:jc w:val="center"/>
              <w:rPr/>
            </w:pPr>
            <w:r>
              <w:rPr/>
              <w:t>​</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pPr>
            <w:r>
              <w:rPr/>
              <w:t>​</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5"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ended June 30,</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pPr>
            <w:r>
              <w:rPr/>
              <w:t>​</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research and development expenses by program:</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jc w:val="right"/>
              <w:rPr/>
            </w:pPr>
            <w:r>
              <w:rPr/>
              <w:t>​</w:t>
            </w:r>
          </w:p>
        </w:tc>
        <w:tc>
          <w:tcPr>
            <w:tcW w:w="90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jc w:val="right"/>
              <w:rPr/>
            </w:pPr>
            <w:r>
              <w:rPr/>
              <w:t>​</w:t>
            </w:r>
          </w:p>
        </w:tc>
        <w:tc>
          <w:tcPr>
            <w:tcW w:w="86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VTP-200 HPV</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jc w:val="right"/>
              <w:rPr/>
            </w:pPr>
            <w:r>
              <w:rPr/>
              <w:t>​</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jc w:val="right"/>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VTP-300 HBV</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jc w:val="right"/>
              <w:rPr/>
            </w:pPr>
            <w:r>
              <w:rPr/>
              <w:t>​</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jc w:val="right"/>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VTP-600 NSCLC</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jc w:val="right"/>
              <w:rPr/>
            </w:pPr>
            <w:r>
              <w:rPr/>
              <w:t>​</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jc w:val="right"/>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VTP-800/850 Prostate cancer</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jc w:val="right"/>
              <w:rPr/>
            </w:pPr>
            <w:r>
              <w:rPr/>
              <w:t>​</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jc w:val="right"/>
              <w:rPr/>
            </w:pPr>
            <w:r>
              <w:rPr/>
              <w:t>​</w:t>
            </w:r>
          </w:p>
        </w:tc>
        <w:tc>
          <w:tcPr>
            <w:tcW w:w="8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and earlier stage programs</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jc w:val="right"/>
              <w:rPr/>
            </w:pPr>
            <w:r>
              <w:rPr/>
              <w:t>​</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jc w:val="right"/>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 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jc w:val="right"/>
              <w:rPr/>
            </w:pPr>
            <w:r>
              <w:rPr/>
              <w:t>​</w:t>
            </w:r>
          </w:p>
        </w:tc>
        <w:tc>
          <w:tcPr>
            <w:tcW w:w="90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jc w:val="right"/>
              <w:rPr/>
            </w:pPr>
            <w:r>
              <w:rPr/>
              <w:t>​</w:t>
            </w:r>
          </w:p>
        </w:tc>
        <w:tc>
          <w:tcPr>
            <w:tcW w:w="86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Personnel-related (including share-based compensation)</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jc w:val="right"/>
              <w:rPr/>
            </w:pPr>
            <w:r>
              <w:rPr/>
              <w:t>​</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jc w:val="right"/>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Facility related</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jc w:val="right"/>
              <w:rPr/>
            </w:pPr>
            <w:r>
              <w:rPr/>
              <w:t>​</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jc w:val="right"/>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internal costs</w:t>
            </w:r>
          </w:p>
        </w:tc>
        <w:tc>
          <w:tcPr>
            <w:tcW w:w="326" w:type="dxa"/>
            <w:tcBorders/>
            <w:shd w:fill="auto" w:val="clear"/>
            <w:vAlign w:val="center"/>
          </w:tcPr>
          <w:p>
            <w:pPr>
              <w:pStyle w:val="TableContents"/>
              <w:spacing w:before="0" w:after="0"/>
              <w:ind w:left="0" w:right="0" w:hanging="0"/>
              <w:rPr/>
            </w:pPr>
            <w:r>
              <w:rPr/>
              <w:t> </w:t>
            </w:r>
          </w:p>
        </w:tc>
        <w:tc>
          <w:tcPr>
            <w:tcW w:w="3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0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auto" w:val="clear"/>
            <w:vAlign w:val="center"/>
          </w:tcPr>
          <w:p>
            <w:pPr>
              <w:pStyle w:val="TableContents"/>
              <w:spacing w:before="0" w:after="0"/>
              <w:ind w:left="0" w:right="0" w:hanging="0"/>
              <w:rPr/>
            </w:pPr>
            <w:r>
              <w:rPr/>
              <w:t> </w:t>
            </w:r>
          </w:p>
        </w:tc>
        <w:tc>
          <w:tcPr>
            <w:tcW w:w="3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research and development expense</w:t>
            </w:r>
          </w:p>
        </w:tc>
        <w:tc>
          <w:tcPr>
            <w:tcW w:w="326" w:type="dxa"/>
            <w:tcBorders/>
            <w:shd w:fill="CCEEFF" w:val="clear"/>
            <w:vAlign w:val="center"/>
          </w:tcPr>
          <w:p>
            <w:pPr>
              <w:pStyle w:val="TableContents"/>
              <w:spacing w:before="0" w:after="0"/>
              <w:ind w:left="0" w:right="0" w:hanging="0"/>
              <w:rPr/>
            </w:pPr>
            <w:r>
              <w:rPr/>
              <w:t>​</w:t>
            </w:r>
          </w:p>
        </w:tc>
        <w:tc>
          <w:tcPr>
            <w:tcW w:w="33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4,509</w:t>
            </w:r>
          </w:p>
        </w:tc>
        <w:tc>
          <w:tcPr>
            <w:tcW w:w="326" w:type="dxa"/>
            <w:tcBorders/>
            <w:shd w:fill="CCEEFF" w:val="clear"/>
            <w:vAlign w:val="center"/>
          </w:tcPr>
          <w:p>
            <w:pPr>
              <w:pStyle w:val="TableContents"/>
              <w:spacing w:before="0" w:after="0"/>
              <w:ind w:left="0" w:right="0" w:hanging="0"/>
              <w:rPr/>
            </w:pPr>
            <w:r>
              <w:rPr/>
              <w:t>​</w:t>
            </w:r>
          </w:p>
        </w:tc>
        <w:tc>
          <w:tcPr>
            <w:tcW w:w="32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3,877</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632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research and development expenses for the three months ended June 30, 2021 and for the three months ended June 30, 2020 were $4.5 million and $3.9 million, respectively. Personnel-related expenses were $1.5 million and $0.8 million, respectively, as a result of the relative increase in our headcount across both the UK and US. Direct expenses for outside services and consultants and laboratory materials were $2.9 million for the three months ended June 30, 2021 and $2.8 million for the three months ended June 30, 2020 and mainly comprised of costs for clinical trials, manufacturing of clinical trial materials, as well as costs for external preclinical services and sample testing.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General and administrative expenses for the three months ended June 30, 2021 were $12.4 million, which were mainly attributable to personnel expenses of $8.4 million, including the share-based payment charge, and insurance costs of $1.2 million. The share-based payment charge includes a one-off expense relating to the RSUs that vested upon the successful completion of our IPO. For the three months ended June 30, 2020, general and administrative expenses were $1.0 million, including personnel expenses of $0.7 million, and professional fees and consulting fees of $0.3 million. General and administrative expenses for the two periods included foreign exchange gains and losses on our cash balances.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Incentives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three months ended June 30, 2021 and the three months ended June 30, 2020, we accrued research and development incentives of $0.9 million and $0.7 million, respectively. Such research and development incentives relate to corporation tax relief on research and development projects incentive programs in the United Kingdom and Australia. We account for such relief received as other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Comparison of the Six Months Ended June 30, 2021 and June 30, 2020</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sets forth the significant components of our results of operations (in thousands):</w:t>
      </w:r>
    </w:p>
    <w:tbl>
      <w:tblPr>
        <w:tblW w:w="9038" w:type="dxa"/>
        <w:jc w:val="left"/>
        <w:tblInd w:w="0" w:type="dxa"/>
        <w:tblCellMar>
          <w:top w:w="0" w:type="dxa"/>
          <w:left w:w="0" w:type="dxa"/>
          <w:bottom w:w="0" w:type="dxa"/>
          <w:right w:w="0" w:type="dxa"/>
        </w:tblCellMar>
      </w:tblPr>
      <w:tblGrid>
        <w:gridCol w:w="5236"/>
        <w:gridCol w:w="326"/>
        <w:gridCol w:w="211"/>
        <w:gridCol w:w="796"/>
        <w:gridCol w:w="326"/>
        <w:gridCol w:w="228"/>
        <w:gridCol w:w="748"/>
        <w:gridCol w:w="326"/>
        <w:gridCol w:w="841"/>
      </w:tblGrid>
      <w:tr>
        <w:trPr/>
        <w:tc>
          <w:tcPr>
            <w:tcW w:w="5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324860" cy="175260"/>
                      <wp:effectExtent l="0" t="0" r="0" b="0"/>
                      <wp:wrapNone/>
                      <wp:docPr id="229" name="Frame229"/>
                      <a:graphic xmlns:a="http://schemas.openxmlformats.org/drawingml/2006/main">
                        <a:graphicData uri="http://schemas.microsoft.com/office/word/2010/wordprocessingShape">
                          <wps:wsp>
                            <wps:cNvSpPr txBox="1"/>
                            <wps:spPr>
                              <a:xfrm>
                                <a:off x="0" y="0"/>
                                <a:ext cx="3324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05460" cy="175260"/>
                      <wp:effectExtent l="0" t="0" r="0" b="0"/>
                      <wp:wrapNone/>
                      <wp:docPr id="232" name="Frame23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4780" cy="175260"/>
                      <wp:effectExtent l="0" t="0" r="0" b="0"/>
                      <wp:wrapNone/>
                      <wp:docPr id="234" name="Frame234"/>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74980" cy="175260"/>
                      <wp:effectExtent l="0" t="0" r="0" b="0"/>
                      <wp:wrapNone/>
                      <wp:docPr id="235" name="Frame235"/>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34035" cy="175260"/>
                      <wp:effectExtent l="0" t="0" r="0" b="0"/>
                      <wp:wrapNone/>
                      <wp:docPr id="237" name="Frame23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c>
          <w:tcPr>
            <w:tcW w:w="326" w:type="dxa"/>
            <w:tcBorders/>
            <w:shd w:fill="auto" w:val="clear"/>
            <w:vAlign w:val="center"/>
          </w:tcPr>
          <w:p>
            <w:pPr>
              <w:pStyle w:val="TableContents"/>
              <w:spacing w:before="0" w:after="0"/>
              <w:ind w:left="0" w:right="0" w:hanging="0"/>
              <w:jc w:val="center"/>
              <w:rPr/>
            </w:pPr>
            <w:r>
              <w:rPr/>
              <w:t>​</w:t>
            </w:r>
          </w:p>
        </w:tc>
        <w:tc>
          <w:tcPr>
            <w:tcW w:w="9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w:t>
            </w:r>
          </w:p>
        </w:tc>
        <w:tc>
          <w:tcPr>
            <w:tcW w:w="326" w:type="dxa"/>
            <w:tcBorders/>
            <w:shd w:fill="auto" w:val="clear"/>
            <w:vAlign w:val="center"/>
          </w:tcPr>
          <w:p>
            <w:pPr>
              <w:pStyle w:val="TableContents"/>
              <w:spacing w:before="0" w:after="0"/>
              <w:ind w:left="0" w:right="0" w:hanging="0"/>
              <w:jc w:val="center"/>
              <w:rPr/>
            </w:pPr>
            <w:r>
              <w:rPr/>
              <w:t>​</w:t>
            </w:r>
          </w:p>
        </w:tc>
        <w:tc>
          <w:tcPr>
            <w:tcW w:w="97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ended June</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30, 2021</w:t>
            </w:r>
          </w:p>
        </w:tc>
        <w:tc>
          <w:tcPr>
            <w:tcW w:w="32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30, 2020</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Revenue from Licenses, Grants &amp; Services 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Research &amp;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8,119</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14,148</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2,082</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12,066</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23,267</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10,201</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13,066</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(23,017)</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7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(8,985)</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(14,032)</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Change in fair value of derivatives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7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Unrealized exchange gain on convertible loan notes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on extinguishment of convertible loan notes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(13,789)</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7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(13,789)</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7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incentives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(expenses)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(8,407)</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(9,783)</w:t>
            </w:r>
          </w:p>
        </w:tc>
      </w:tr>
      <w:tr>
        <w:trPr/>
        <w:tc>
          <w:tcPr>
            <w:tcW w:w="52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Tax benefit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2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(31,195)</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(7,608)</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(23,587)</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six months ended June 30, 2021, our revenue primarily consisted of $0.2 million of reimbursement of research and development expenses from BARDA and $0.04 million of service revenue from a research, collaboration and license agreement with Enara Bio. For the six months ended June 30, 2020, our revenue primarily consisted of $0.9 million of reimbursement of research and development expenses from BARDA and $0.3 million of service revenue from a research, collaboration and license agreement with Enara Bio.</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summarizes our research and development expenses for the six months ended June 30, 2021 and June 30, 2020:</w:t>
      </w:r>
    </w:p>
    <w:tbl>
      <w:tblPr>
        <w:tblW w:w="8272" w:type="dxa"/>
        <w:jc w:val="left"/>
        <w:tblInd w:w="0" w:type="dxa"/>
        <w:tblCellMar>
          <w:top w:w="0" w:type="dxa"/>
          <w:left w:w="0" w:type="dxa"/>
          <w:bottom w:w="0" w:type="dxa"/>
          <w:right w:w="0" w:type="dxa"/>
        </w:tblCellMar>
      </w:tblPr>
      <w:tblGrid>
        <w:gridCol w:w="4666"/>
        <w:gridCol w:w="326"/>
        <w:gridCol w:w="255"/>
        <w:gridCol w:w="691"/>
        <w:gridCol w:w="326"/>
        <w:gridCol w:w="263"/>
        <w:gridCol w:w="713"/>
        <w:gridCol w:w="326"/>
        <w:gridCol w:w="706"/>
      </w:tblGrid>
      <w:tr>
        <w:trPr/>
        <w:tc>
          <w:tcPr>
            <w:tcW w:w="4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962910" cy="175260"/>
                      <wp:effectExtent l="0" t="0" r="0" b="0"/>
                      <wp:wrapNone/>
                      <wp:docPr id="238" name="Frame238"/>
                      <a:graphic xmlns:a="http://schemas.openxmlformats.org/drawingml/2006/main">
                        <a:graphicData uri="http://schemas.microsoft.com/office/word/2010/wordprocessingShape">
                          <wps:wsp>
                            <wps:cNvSpPr txBox="1"/>
                            <wps:spPr>
                              <a:xfrm>
                                <a:off x="0" y="0"/>
                                <a:ext cx="2962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1925" cy="175260"/>
                      <wp:effectExtent l="0" t="0" r="0" b="0"/>
                      <wp:wrapNone/>
                      <wp:docPr id="240" name="Frame240"/>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1" name="Frame24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7005" cy="175260"/>
                      <wp:effectExtent l="0" t="0" r="0" b="0"/>
                      <wp:wrapNone/>
                      <wp:docPr id="243" name="Frame243"/>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52755" cy="175260"/>
                      <wp:effectExtent l="0" t="0" r="0" b="0"/>
                      <wp:wrapNone/>
                      <wp:docPr id="244" name="Frame244"/>
                      <a:graphic xmlns:a="http://schemas.openxmlformats.org/drawingml/2006/main">
                        <a:graphicData uri="http://schemas.microsoft.com/office/word/2010/wordprocessingShape">
                          <wps:wsp>
                            <wps:cNvSpPr txBox="1"/>
                            <wps:spPr>
                              <a:xfrm>
                                <a:off x="0" y="0"/>
                                <a:ext cx="452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48310" cy="175260"/>
                      <wp:effectExtent l="0" t="0" r="0" b="0"/>
                      <wp:wrapNone/>
                      <wp:docPr id="246" name="Frame246"/>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c>
          <w:tcPr>
            <w:tcW w:w="326" w:type="dxa"/>
            <w:tcBorders/>
            <w:shd w:fill="auto" w:val="clear"/>
            <w:vAlign w:val="center"/>
          </w:tcPr>
          <w:p>
            <w:pPr>
              <w:pStyle w:val="TableContents"/>
              <w:spacing w:before="0" w:after="0"/>
              <w:ind w:left="0" w:right="0" w:hanging="0"/>
              <w:jc w:val="center"/>
              <w:rPr/>
            </w:pPr>
            <w:r>
              <w:rPr/>
              <w:t>​</w:t>
            </w:r>
          </w:p>
        </w:tc>
        <w:tc>
          <w:tcPr>
            <w:tcW w:w="9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pPr>
            <w:r>
              <w:rPr/>
              <w:t>​</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w:t>
            </w:r>
          </w:p>
        </w:tc>
        <w:tc>
          <w:tcPr>
            <w:tcW w:w="326" w:type="dxa"/>
            <w:tcBorders/>
            <w:shd w:fill="auto" w:val="clear"/>
            <w:vAlign w:val="center"/>
          </w:tcPr>
          <w:p>
            <w:pPr>
              <w:pStyle w:val="TableContents"/>
              <w:spacing w:before="0" w:after="0"/>
              <w:ind w:left="0" w:right="0" w:hanging="0"/>
              <w:jc w:val="center"/>
              <w:rPr/>
            </w:pPr>
            <w:r>
              <w:rPr/>
              <w:t>​</w:t>
            </w:r>
          </w:p>
        </w:tc>
        <w:tc>
          <w:tcPr>
            <w:tcW w:w="97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ended June</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pPr>
            <w:r>
              <w:rPr/>
              <w:t>​</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30, 2021</w:t>
            </w:r>
          </w:p>
        </w:tc>
        <w:tc>
          <w:tcPr>
            <w:tcW w:w="32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30, 2020</w:t>
            </w:r>
          </w:p>
        </w:tc>
        <w:tc>
          <w:tcPr>
            <w:tcW w:w="326" w:type="dxa"/>
            <w:tcBorders/>
            <w:shd w:fill="auto" w:val="clear"/>
            <w:vAlign w:val="center"/>
          </w:tcPr>
          <w:p>
            <w:pPr>
              <w:pStyle w:val="TableContents"/>
              <w:spacing w:before="0" w:after="0"/>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research and development expenses by program:</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jc w:val="right"/>
              <w:rPr/>
            </w:pPr>
            <w:r>
              <w:rPr/>
              <w:t>​</w:t>
            </w:r>
          </w:p>
        </w:tc>
        <w:tc>
          <w:tcPr>
            <w:tcW w:w="713"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VTP-200 HPV</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auto" w:val="clear"/>
            <w:vAlign w:val="center"/>
          </w:tcPr>
          <w:p>
            <w:pPr>
              <w:pStyle w:val="TableContents"/>
              <w:spacing w:before="0" w:after="0"/>
              <w:ind w:left="0" w:right="0" w:hanging="0"/>
              <w:rPr/>
            </w:pPr>
            <w:r>
              <w:rPr/>
              <w:t> </w:t>
            </w:r>
          </w:p>
        </w:tc>
        <w:tc>
          <w:tcPr>
            <w:tcW w:w="263" w:type="dxa"/>
            <w:tcBorders/>
            <w:shd w:fill="auto" w:val="clear"/>
            <w:vAlign w:val="center"/>
          </w:tcPr>
          <w:p>
            <w:pPr>
              <w:pStyle w:val="TableContents"/>
              <w:spacing w:before="0" w:after="0"/>
              <w:ind w:left="0" w:right="0" w:hanging="0"/>
              <w:jc w:val="right"/>
              <w:rPr/>
            </w:pPr>
            <w:r>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VTP-300 HBV</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c>
          <w:tcPr>
            <w:tcW w:w="326"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jc w:val="right"/>
              <w:rPr/>
            </w:pPr>
            <w:r>
              <w:rPr/>
              <w:t>​</w:t>
            </w:r>
          </w:p>
        </w:tc>
        <w:tc>
          <w:tcPr>
            <w:tcW w:w="7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VTP-600 NSCLC</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auto" w:val="clear"/>
            <w:vAlign w:val="center"/>
          </w:tcPr>
          <w:p>
            <w:pPr>
              <w:pStyle w:val="TableContents"/>
              <w:spacing w:before="0" w:after="0"/>
              <w:ind w:left="0" w:right="0" w:hanging="0"/>
              <w:rPr/>
            </w:pPr>
            <w:r>
              <w:rPr/>
              <w:t> </w:t>
            </w:r>
          </w:p>
        </w:tc>
        <w:tc>
          <w:tcPr>
            <w:tcW w:w="263" w:type="dxa"/>
            <w:tcBorders/>
            <w:shd w:fill="auto" w:val="clear"/>
            <w:vAlign w:val="center"/>
          </w:tcPr>
          <w:p>
            <w:pPr>
              <w:pStyle w:val="TableContents"/>
              <w:spacing w:before="0" w:after="0"/>
              <w:ind w:left="0" w:right="0" w:hanging="0"/>
              <w:jc w:val="right"/>
              <w:rPr/>
            </w:pPr>
            <w:r>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VTP-800/850 Prostate cancer</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jc w:val="right"/>
              <w:rPr/>
            </w:pPr>
            <w:r>
              <w:rPr/>
              <w:t>​</w:t>
            </w:r>
          </w:p>
        </w:tc>
        <w:tc>
          <w:tcPr>
            <w:tcW w:w="71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and earlier stage programs</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shd w:fill="auto" w:val="clear"/>
            <w:vAlign w:val="center"/>
          </w:tcPr>
          <w:p>
            <w:pPr>
              <w:pStyle w:val="TableContents"/>
              <w:spacing w:before="0" w:after="0"/>
              <w:ind w:left="0" w:right="0" w:hanging="0"/>
              <w:rPr/>
            </w:pPr>
            <w:r>
              <w:rPr/>
              <w:t> </w:t>
            </w:r>
          </w:p>
        </w:tc>
        <w:tc>
          <w:tcPr>
            <w:tcW w:w="263" w:type="dxa"/>
            <w:tcBorders/>
            <w:shd w:fill="auto" w:val="clear"/>
            <w:vAlign w:val="center"/>
          </w:tcPr>
          <w:p>
            <w:pPr>
              <w:pStyle w:val="TableContents"/>
              <w:spacing w:before="0" w:after="0"/>
              <w:ind w:left="0" w:right="0" w:hanging="0"/>
              <w:jc w:val="right"/>
              <w:rPr/>
            </w:pPr>
            <w:r>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 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jc w:val="right"/>
              <w:rPr/>
            </w:pPr>
            <w:r>
              <w:rPr/>
              <w:t>​</w:t>
            </w:r>
          </w:p>
        </w:tc>
        <w:tc>
          <w:tcPr>
            <w:tcW w:w="713"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Personnel-related (including share-based compensation)</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2,445</w:t>
            </w:r>
          </w:p>
        </w:tc>
        <w:tc>
          <w:tcPr>
            <w:tcW w:w="326" w:type="dxa"/>
            <w:tcBorders/>
            <w:shd w:fill="auto" w:val="clear"/>
            <w:vAlign w:val="center"/>
          </w:tcPr>
          <w:p>
            <w:pPr>
              <w:pStyle w:val="TableContents"/>
              <w:spacing w:before="0" w:after="0"/>
              <w:ind w:left="0" w:right="0" w:hanging="0"/>
              <w:rPr/>
            </w:pPr>
            <w:r>
              <w:rPr/>
              <w:t> </w:t>
            </w:r>
          </w:p>
        </w:tc>
        <w:tc>
          <w:tcPr>
            <w:tcW w:w="263" w:type="dxa"/>
            <w:tcBorders/>
            <w:shd w:fill="auto" w:val="clear"/>
            <w:vAlign w:val="center"/>
          </w:tcPr>
          <w:p>
            <w:pPr>
              <w:pStyle w:val="TableContents"/>
              <w:spacing w:before="0" w:after="0"/>
              <w:ind w:left="0" w:right="0" w:hanging="0"/>
              <w:jc w:val="right"/>
              <w:rPr/>
            </w:pPr>
            <w:r>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1,649</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Facility related</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jc w:val="right"/>
              <w:rPr/>
            </w:pPr>
            <w:r>
              <w:rPr/>
              <w:t>​</w:t>
            </w:r>
          </w:p>
        </w:tc>
        <w:tc>
          <w:tcPr>
            <w:tcW w:w="7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internal costs</w:t>
            </w:r>
          </w:p>
        </w:tc>
        <w:tc>
          <w:tcPr>
            <w:tcW w:w="326" w:type="dxa"/>
            <w:tcBorders/>
            <w:shd w:fill="auto" w:val="clear"/>
            <w:vAlign w:val="center"/>
          </w:tcPr>
          <w:p>
            <w:pPr>
              <w:pStyle w:val="TableContents"/>
              <w:spacing w:before="0" w:after="0"/>
              <w:ind w:left="0" w:right="0" w:hanging="0"/>
              <w:rPr/>
            </w:pPr>
            <w:r>
              <w:rPr/>
              <w:t> </w:t>
            </w:r>
          </w:p>
        </w:tc>
        <w:tc>
          <w:tcPr>
            <w:tcW w:w="25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auto" w:val="clear"/>
            <w:vAlign w:val="center"/>
          </w:tcPr>
          <w:p>
            <w:pPr>
              <w:pStyle w:val="TableContents"/>
              <w:spacing w:before="0" w:after="0"/>
              <w:ind w:left="0" w:right="0" w:hanging="0"/>
              <w:rPr/>
            </w:pPr>
            <w:r>
              <w:rPr/>
              <w:t> </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research and development expense</w:t>
            </w:r>
          </w:p>
        </w:tc>
        <w:tc>
          <w:tcPr>
            <w:tcW w:w="326" w:type="dxa"/>
            <w:tcBorders/>
            <w:shd w:fill="CCEEFF" w:val="clear"/>
            <w:vAlign w:val="center"/>
          </w:tcPr>
          <w:p>
            <w:pPr>
              <w:pStyle w:val="TableContents"/>
              <w:spacing w:before="0" w:after="0"/>
              <w:ind w:left="0" w:right="0" w:hanging="0"/>
              <w:rPr/>
            </w:pPr>
            <w:r>
              <w:rPr/>
              <w:t>​</w:t>
            </w:r>
          </w:p>
        </w:tc>
        <w:tc>
          <w:tcPr>
            <w:tcW w:w="25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8,119</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research and development expenses for the six months ended June 30, 2021 and for the six months ended June 30, 2020 were $9.1 million and $8.1 million, respectively. Personnel-related expenses were $2.4 million and $1.6 million, respectively, as result of the relative increase in our headcount across both the UK and US. Direct expenses for outside services and consultants and laboratory materials were $6.5 million for the six months ended June 30, 2021 and $6.0 million for the six months ended June 30, 2020 and mainly comprised of costs for clinical trials, manufacturing of clinical trial materials, as well as costs for external preclinical services and sample testing.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General and administrative expenses for the six months ended June 30, 2021 were $14.1 million, which were mainly attributable to personnel expenses of $9.6 million, including the share-based payment charge, and insurance costs of $1.2 million. The share-based payment charge includes a one-off expense relating to the RSUs that vested upon the successful completion of our IPO. For the six months ended June 30, 2020, general and administrative expenses were $2.1 million, including personnel expenses of $1.5 million, and professional fees and consulting fees of $0.6 million. General and administrative expenses for the two periods included foreign exchange gains and losses on our cash balances.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 in fair value of derivatives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six months ended June 30, 2021, we recognized a change in fair value of $6.0 million in relation to the conversion and redemption features embedded in the convertible loan notes.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Loss on extinguishment of convertible loan notes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six months ended June 31, 2021, we recognized a loss of $13.8 million related to conversion of convertible loan notes into 12,421 Series B preferred shares. The loss is a difference between (1) the fair value of those shares ($53.7 million) and (2) the sum of the carrying amounts of the convertible loan notes ($25.6 million) and the bifurcated conversion and redemption feature liability ($14.4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Expense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six months ended June 30, 2021, interest expense was $2.7 million, which primarily relate to our convertible loan notes, which carry a market rate of interest. Interest expense was nil for the six months ended June 30, 2020.</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Incentives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six months ended June 30, 2021 and the six months ended June 30, 2020, we accrued research and development incentives of $1.8 million and $1.4 million, respectively. Such research and development incentives relate to corporation tax relief on research and development projects incentive programs in the United Kingdom and Australia. We account for such relief received as other income.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Sources of Liquidity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Since our inception, we have funded our operations primarily through private and public placements of our ordinary and preferred shares as well as from grants and research incentives, various agreements with public funding agencies, and most recently from an upfront payment from OUI in connection with the OUI License Agreement Amendment and the issuance of convertible loan notes. Through June 30, 2021, we had received gross proceeds of approximately $324.8 million from the issuance of our ordinary and preferred shares and convertible loan notes. As of June 30, 2021, we had cash and cash equivalents of $243.6 million. Key financing and corporate milestones include the following:</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2016, we raised gross proceeds of approximately $14.0 million from the issuance of our seed round of ordinary shares.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November 2017 and December 2018, we raised gross proceeds of $33.9 million from the issuance of our Series A Shares.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2020 and November 2020, we raised gross proceeds of $41.2 million from the issuance of convertible loan notes.</w:t>
            </w:r>
          </w:p>
        </w:tc>
      </w:tr>
    </w:tbl>
    <w:tbl>
      <w:tblPr>
        <w:tblW w:w="8432" w:type="dxa"/>
        <w:jc w:val="left"/>
        <w:tblInd w:w="0" w:type="dxa"/>
        <w:tblCellMar>
          <w:top w:w="0" w:type="dxa"/>
          <w:left w:w="0" w:type="dxa"/>
          <w:bottom w:w="0" w:type="dxa"/>
          <w:right w:w="0" w:type="dxa"/>
        </w:tblCellMar>
      </w:tblPr>
      <w:tblGrid>
        <w:gridCol w:w="271"/>
        <w:gridCol w:w="8161"/>
      </w:tblGrid>
      <w:tr>
        <w:trPr/>
        <w:tc>
          <w:tcPr>
            <w:tcW w:w="271" w:type="dxa"/>
            <w:tcBorders/>
            <w:shd w:fill="auto" w:val="clear"/>
            <w:vAlign w:val="center"/>
          </w:tcPr>
          <w:p>
            <w:pPr>
              <w:pStyle w:val="TableContents"/>
              <w:spacing w:before="0" w:after="283"/>
              <w:rPr/>
            </w:pPr>
            <w:r>
              <w:rPr/>
              <w:t>●</w:t>
            </w:r>
          </w:p>
        </w:tc>
        <w:tc>
          <w:tcPr>
            <w:tcW w:w="81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we raised gross proceeds of $125.2 million from the issuance of our Series B shares.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raised gross proceeds of $110.5 million from the initial public offering of our ordinary shares on NASDAQ.</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do not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operating losses for at least the next few years as we progress clinical development, seek regulatory approval, prepare for and, if approved, proceed to manufacture and commercialization of our most advanced product candidates. Operating profits may arrive earlier if programs are licensed or sold to third parties before final approval, but this cannot be guaranteed.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sets forth a summary of the primary sources and uses of cash (in thousands) for each period presented:</w:t>
      </w:r>
    </w:p>
    <w:tbl>
      <w:tblPr>
        <w:tblW w:w="7106" w:type="dxa"/>
        <w:jc w:val="left"/>
        <w:tblInd w:w="0" w:type="dxa"/>
        <w:tblCellMar>
          <w:top w:w="0" w:type="dxa"/>
          <w:left w:w="0" w:type="dxa"/>
          <w:bottom w:w="0" w:type="dxa"/>
          <w:right w:w="0" w:type="dxa"/>
        </w:tblCellMar>
      </w:tblPr>
      <w:tblGrid>
        <w:gridCol w:w="4456"/>
        <w:gridCol w:w="326"/>
        <w:gridCol w:w="211"/>
        <w:gridCol w:w="796"/>
        <w:gridCol w:w="326"/>
        <w:gridCol w:w="235"/>
        <w:gridCol w:w="756"/>
      </w:tblGrid>
      <w:tr>
        <w:trPr/>
        <w:tc>
          <w:tcPr>
            <w:tcW w:w="4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29560" cy="175260"/>
                      <wp:effectExtent l="0" t="0" r="0" b="0"/>
                      <wp:wrapNone/>
                      <wp:docPr id="247" name="Frame247"/>
                      <a:graphic xmlns:a="http://schemas.openxmlformats.org/drawingml/2006/main">
                        <a:graphicData uri="http://schemas.microsoft.com/office/word/2010/wordprocessingShape">
                          <wps:wsp>
                            <wps:cNvSpPr txBox="1"/>
                            <wps:spPr>
                              <a:xfrm>
                                <a:off x="0" y="0"/>
                                <a:ext cx="282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05460" cy="175260"/>
                      <wp:effectExtent l="0" t="0" r="0" b="0"/>
                      <wp:wrapNone/>
                      <wp:docPr id="250" name="Frame25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9225" cy="175260"/>
                      <wp:effectExtent l="0" t="0" r="0" b="0"/>
                      <wp:wrapNone/>
                      <wp:docPr id="252" name="Frame252"/>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80060" cy="175260"/>
                      <wp:effectExtent l="0" t="0" r="0" b="0"/>
                      <wp:wrapNone/>
                      <wp:docPr id="253" name="Frame253"/>
                      <a:graphic xmlns:a="http://schemas.openxmlformats.org/drawingml/2006/main">
                        <a:graphicData uri="http://schemas.microsoft.com/office/word/2010/wordprocessingShape">
                          <wps:wsp>
                            <wps:cNvSpPr txBox="1"/>
                            <wps:spPr>
                              <a:xfrm>
                                <a:off x="0" y="0"/>
                                <a:ext cx="480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26"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ended June</w:t>
            </w:r>
          </w:p>
        </w:tc>
        <w:tc>
          <w:tcPr>
            <w:tcW w:w="326"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w: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30, 2021</w:t>
            </w:r>
          </w:p>
        </w:tc>
        <w:tc>
          <w:tcPr>
            <w:tcW w:w="326" w:type="dxa"/>
            <w:tcBorders/>
            <w:shd w:fill="auto" w:val="clear"/>
            <w:vAlign w:val="center"/>
          </w:tcPr>
          <w:p>
            <w:pPr>
              <w:pStyle w:val="TableContents"/>
              <w:spacing w:before="0" w:after="0"/>
              <w:ind w:left="0" w:right="0" w:hanging="0"/>
              <w:jc w:val="center"/>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30, 2020</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(22,593)</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(5,271)</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 </w:t>
            </w:r>
          </w:p>
        </w:tc>
        <w:tc>
          <w:tcPr>
            <w:tcW w:w="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224,120</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 </w:t>
            </w:r>
          </w:p>
        </w:tc>
        <w:tc>
          <w:tcPr>
            <w:tcW w:w="756" w:type="dxa"/>
            <w:tcBorders/>
            <w:shd w:fill="CCEEFF" w:val="clear"/>
            <w:vAlign w:val="center"/>
          </w:tcPr>
          <w:p>
            <w:pPr>
              <w:pStyle w:val="TableContents"/>
              <w:spacing w:before="0" w:after="0"/>
              <w:ind w:left="0" w:right="0" w:hanging="0"/>
              <w:jc w:val="right"/>
              <w:rPr/>
            </w:pPr>
            <w:r>
              <w:rPr/>
              <w:t>—</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shd w:fill="auto" w:val="clear"/>
            <w:vAlign w:val="center"/>
          </w:tcPr>
          <w:p>
            <w:pPr>
              <w:pStyle w:val="TableContents"/>
              <w:spacing w:before="0" w:after="0"/>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200,353</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Used in Operating Activities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six months ended June 30, 2021, net cash used in operating activities was $22.6 million, primarily resulting from our net loss of $31.4 million, adjusted by fair value gain on embedded derivatives of $6.0 million, loss on conversion of convertible loan notes of $13.8 million, share based compensation of $9.5 million, depreciation and amortization of $0.2 million and changes in our operating assets and liabilities, net of $9.3 million. During the six months ended June 30, 2020, net cash used in operating activities was $5.3 million, primarily resulting from our net loss of $7.6 million, adjusted by share based compensation of $1.3 million, and changes in our operating assets and liabilities, net of $1.0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Cash Used in Investing Activities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six months ended June 30, 2021 and the six months ended June 30, 2020, cash used in investing activities was $0.6 million and $0.07 million, respectively, which resulted from capital expenditures in connection with new labs, improvements to expand our laboratory space and purchases of property and equipment.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six months ended June 30, 2021, cash provided by financing activities was $224.1 million consisting of $121.8 million of net proceeds from the issuance of Series B shares and $102.8 million of net proceeds from our initial public offering. During the six months ended June 30, 2020, cash provided by financing activities was nil.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Future Funding Requirements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date, we have devoted substantially all of our resources to organizing and staffing our company, business planning, raising capital, undertaking preclinical studies and conducting clinical trials of our product candidates. As a result, we are not yet profitable and have incurred losses in each period since our inception in 2016. As of June 30, 2021, we had an accumulated deficit of $88.9 million. We expect to continue to incur significant losses for the foreseeable future. We anticipate that our expenses will increase substantially as we:</w:t>
      </w:r>
    </w:p>
    <w:tbl>
      <w:tblPr>
        <w:tblW w:w="7082" w:type="dxa"/>
        <w:jc w:val="left"/>
        <w:tblInd w:w="0" w:type="dxa"/>
        <w:tblCellMar>
          <w:top w:w="0" w:type="dxa"/>
          <w:left w:w="0" w:type="dxa"/>
          <w:bottom w:w="0" w:type="dxa"/>
          <w:right w:w="0" w:type="dxa"/>
        </w:tblCellMar>
      </w:tblPr>
      <w:tblGrid>
        <w:gridCol w:w="271"/>
        <w:gridCol w:w="6811"/>
      </w:tblGrid>
      <w:tr>
        <w:trPr/>
        <w:tc>
          <w:tcPr>
            <w:tcW w:w="271" w:type="dxa"/>
            <w:tcBorders/>
            <w:shd w:fill="auto" w:val="clear"/>
            <w:vAlign w:val="center"/>
          </w:tcPr>
          <w:p>
            <w:pPr>
              <w:pStyle w:val="TableContents"/>
              <w:spacing w:before="0" w:after="283"/>
              <w:rPr/>
            </w:pPr>
            <w:r>
              <w:rPr/>
              <w:t>●</w:t>
            </w:r>
          </w:p>
        </w:tc>
        <w:tc>
          <w:tcPr>
            <w:tcW w:w="681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the clinical and preclinical development of our current product candidates;</w:t>
            </w:r>
          </w:p>
        </w:tc>
      </w:tr>
    </w:tbl>
    <w:tbl>
      <w:tblPr>
        <w:tblW w:w="8972" w:type="dxa"/>
        <w:jc w:val="left"/>
        <w:tblInd w:w="0" w:type="dxa"/>
        <w:tblCellMar>
          <w:top w:w="0" w:type="dxa"/>
          <w:left w:w="0" w:type="dxa"/>
          <w:bottom w:w="0" w:type="dxa"/>
          <w:right w:w="0" w:type="dxa"/>
        </w:tblCellMar>
      </w:tblPr>
      <w:tblGrid>
        <w:gridCol w:w="271"/>
        <w:gridCol w:w="8701"/>
      </w:tblGrid>
      <w:tr>
        <w:trPr/>
        <w:tc>
          <w:tcPr>
            <w:tcW w:w="271" w:type="dxa"/>
            <w:tcBorders/>
            <w:shd w:fill="auto" w:val="clear"/>
            <w:vAlign w:val="center"/>
          </w:tcPr>
          <w:p>
            <w:pPr>
              <w:pStyle w:val="TableContents"/>
              <w:spacing w:before="0" w:after="283"/>
              <w:rPr/>
            </w:pPr>
            <w:r>
              <w:rPr/>
              <w:t>●</w:t>
            </w:r>
          </w:p>
        </w:tc>
        <w:tc>
          <w:tcPr>
            <w:tcW w:w="870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our technologies to advance additional product candidates into preclinical and clinical development;</w:t>
            </w:r>
          </w:p>
        </w:tc>
      </w:tr>
    </w:tbl>
    <w:tbl>
      <w:tblPr>
        <w:tblW w:w="8642" w:type="dxa"/>
        <w:jc w:val="left"/>
        <w:tblInd w:w="0" w:type="dxa"/>
        <w:tblCellMar>
          <w:top w:w="0" w:type="dxa"/>
          <w:left w:w="0" w:type="dxa"/>
          <w:bottom w:w="0" w:type="dxa"/>
          <w:right w:w="0" w:type="dxa"/>
        </w:tblCellMar>
      </w:tblPr>
      <w:tblGrid>
        <w:gridCol w:w="271"/>
        <w:gridCol w:w="8371"/>
      </w:tblGrid>
      <w:tr>
        <w:trPr/>
        <w:tc>
          <w:tcPr>
            <w:tcW w:w="271" w:type="dxa"/>
            <w:tcBorders/>
            <w:shd w:fill="auto" w:val="clear"/>
            <w:vAlign w:val="center"/>
          </w:tcPr>
          <w:p>
            <w:pPr>
              <w:pStyle w:val="TableContents"/>
              <w:spacing w:before="0" w:after="283"/>
              <w:rPr/>
            </w:pPr>
            <w:r>
              <w:rPr/>
              <w:t>●</w:t>
            </w:r>
          </w:p>
        </w:tc>
        <w:tc>
          <w:tcPr>
            <w:tcW w:w="837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authorizations for product candidates that successfully complete clinical trials, if any;</w:t>
            </w:r>
          </w:p>
        </w:tc>
      </w:tr>
    </w:tbl>
    <w:tbl>
      <w:tblPr>
        <w:tblW w:w="8477" w:type="dxa"/>
        <w:jc w:val="left"/>
        <w:tblInd w:w="0" w:type="dxa"/>
        <w:tblCellMar>
          <w:top w:w="0" w:type="dxa"/>
          <w:left w:w="0" w:type="dxa"/>
          <w:bottom w:w="0" w:type="dxa"/>
          <w:right w:w="0" w:type="dxa"/>
        </w:tblCellMar>
      </w:tblPr>
      <w:tblGrid>
        <w:gridCol w:w="271"/>
        <w:gridCol w:w="8206"/>
      </w:tblGrid>
      <w:tr>
        <w:trPr/>
        <w:tc>
          <w:tcPr>
            <w:tcW w:w="271" w:type="dxa"/>
            <w:tcBorders/>
            <w:shd w:fill="auto" w:val="clear"/>
            <w:vAlign w:val="center"/>
          </w:tcPr>
          <w:p>
            <w:pPr>
              <w:pStyle w:val="TableContents"/>
              <w:spacing w:before="0" w:after="283"/>
              <w:rPr/>
            </w:pPr>
            <w:r>
              <w:rPr/>
              <w:t>●</w:t>
            </w:r>
          </w:p>
        </w:tc>
        <w:tc>
          <w:tcPr>
            <w:tcW w:w="820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hire and retain additional clinical, regulatory, quality control and other scientific personnel;</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our manufacturing capabilities through third parties or by ourselves and scale-up manufacturing to provide adequate supply for clinical trials and commercialization, including any manufacturing finishing and logistics personnel;</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operational, financial and management systems and increase personnel appropriately, including personnel to support our manufacturing and commercialization efforts and our operations as a public company;</w:t>
            </w:r>
          </w:p>
        </w:tc>
      </w:tr>
    </w:tbl>
    <w:tbl>
      <w:tblPr>
        <w:tblW w:w="7562" w:type="dxa"/>
        <w:jc w:val="left"/>
        <w:tblInd w:w="0" w:type="dxa"/>
        <w:tblCellMar>
          <w:top w:w="0" w:type="dxa"/>
          <w:left w:w="0" w:type="dxa"/>
          <w:bottom w:w="0" w:type="dxa"/>
          <w:right w:w="0" w:type="dxa"/>
        </w:tblCellMar>
      </w:tblPr>
      <w:tblGrid>
        <w:gridCol w:w="271"/>
        <w:gridCol w:w="7291"/>
      </w:tblGrid>
      <w:tr>
        <w:trPr/>
        <w:tc>
          <w:tcPr>
            <w:tcW w:w="271" w:type="dxa"/>
            <w:tcBorders/>
            <w:shd w:fill="auto" w:val="clear"/>
            <w:vAlign w:val="center"/>
          </w:tcPr>
          <w:p>
            <w:pPr>
              <w:pStyle w:val="TableContents"/>
              <w:spacing w:before="0" w:after="283"/>
              <w:rPr/>
            </w:pPr>
            <w:r>
              <w:rPr/>
              <w:t>●</w:t>
            </w:r>
          </w:p>
        </w:tc>
        <w:tc>
          <w:tcPr>
            <w:tcW w:w="72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enforce, and protect our intellectual property portfolio as appropriate;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medical affairs and distribution teams and infrastructure to commercialize any products for which we may obtain marketing approval and intend to commercialize on our own or jointly;</w:t>
            </w:r>
          </w:p>
        </w:tc>
      </w:tr>
    </w:tbl>
    <w:tbl>
      <w:tblPr>
        <w:tblW w:w="6932" w:type="dxa"/>
        <w:jc w:val="left"/>
        <w:tblInd w:w="0" w:type="dxa"/>
        <w:tblCellMar>
          <w:top w:w="0" w:type="dxa"/>
          <w:left w:w="0" w:type="dxa"/>
          <w:bottom w:w="0" w:type="dxa"/>
          <w:right w:w="0" w:type="dxa"/>
        </w:tblCellMar>
      </w:tblPr>
      <w:tblGrid>
        <w:gridCol w:w="271"/>
        <w:gridCol w:w="6661"/>
      </w:tblGrid>
      <w:tr>
        <w:trPr/>
        <w:tc>
          <w:tcPr>
            <w:tcW w:w="271" w:type="dxa"/>
            <w:tcBorders/>
            <w:shd w:fill="auto" w:val="clear"/>
            <w:vAlign w:val="center"/>
          </w:tcPr>
          <w:p>
            <w:pPr>
              <w:pStyle w:val="TableContents"/>
              <w:spacing w:before="0" w:after="283"/>
              <w:rPr/>
            </w:pPr>
            <w:r>
              <w:rPr/>
              <w:t>●</w:t>
            </w:r>
          </w:p>
        </w:tc>
        <w:tc>
          <w:tcPr>
            <w:tcW w:w="66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companies, product candidates and technologies;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our business, including office expansion and the additional costs associated with operating as a public company.</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Since our foundation, we have invested a significant portion of our efforts and financial resources in research and development activities for our ChAdOx1, ChAdOx2 and MVA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future capital requirements may depend on many factors, including:</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researching and developing our current and future product candidates and programs, and of conducting preclinical studies and clinical trials;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other product candidates that we may pursue, and of other indications for our current product candidates that we may pursue;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stability, scale and yield of future manufacturing processes as we scale-up production and formulation of our product candidates either internally or externally for later stages of development and commercialization;</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tc>
      </w:tr>
    </w:tbl>
    <w:tbl>
      <w:tblPr>
        <w:tblW w:w="9992" w:type="dxa"/>
        <w:jc w:val="left"/>
        <w:tblInd w:w="0" w:type="dxa"/>
        <w:tblCellMar>
          <w:top w:w="0" w:type="dxa"/>
          <w:left w:w="0" w:type="dxa"/>
          <w:bottom w:w="0" w:type="dxa"/>
          <w:right w:w="0" w:type="dxa"/>
        </w:tblCellMar>
      </w:tblPr>
      <w:tblGrid>
        <w:gridCol w:w="271"/>
        <w:gridCol w:w="9721"/>
      </w:tblGrid>
      <w:tr>
        <w:trPr/>
        <w:tc>
          <w:tcPr>
            <w:tcW w:w="271" w:type="dxa"/>
            <w:tcBorders/>
            <w:shd w:fill="auto" w:val="clear"/>
            <w:vAlign w:val="center"/>
          </w:tcPr>
          <w:p>
            <w:pPr>
              <w:pStyle w:val="TableContents"/>
              <w:spacing w:before="0" w:after="283"/>
              <w:rPr/>
            </w:pPr>
            <w:r>
              <w:rPr/>
              <w:t>●</w:t>
            </w:r>
          </w:p>
        </w:tc>
        <w:tc>
          <w:tcPr>
            <w:tcW w:w="972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CanSino, CRUK and the Ludwig Institute and any future collaboration partners;</w:t>
            </w:r>
          </w:p>
        </w:tc>
      </w:tr>
    </w:tbl>
    <w:tbl>
      <w:tblPr>
        <w:tblW w:w="5792" w:type="dxa"/>
        <w:jc w:val="left"/>
        <w:tblInd w:w="0" w:type="dxa"/>
        <w:tblCellMar>
          <w:top w:w="0" w:type="dxa"/>
          <w:left w:w="0" w:type="dxa"/>
          <w:bottom w:w="0" w:type="dxa"/>
          <w:right w:w="0" w:type="dxa"/>
        </w:tblCellMar>
      </w:tblPr>
      <w:tblGrid>
        <w:gridCol w:w="271"/>
        <w:gridCol w:w="5521"/>
      </w:tblGrid>
      <w:tr>
        <w:trPr/>
        <w:tc>
          <w:tcPr>
            <w:tcW w:w="271" w:type="dxa"/>
            <w:tcBorders/>
            <w:shd w:fill="auto" w:val="clear"/>
            <w:vAlign w:val="center"/>
          </w:tcPr>
          <w:p>
            <w:pPr>
              <w:pStyle w:val="TableContents"/>
              <w:spacing w:before="0" w:after="283"/>
              <w:rPr/>
            </w:pPr>
            <w:r>
              <w:rPr/>
              <w:t>●</w:t>
            </w:r>
          </w:p>
        </w:tc>
        <w:tc>
          <w:tcPr>
            <w:tcW w:w="552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OUI’s licensed product candidate with AstraZeneca;</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strategic licensing or other arrangements and the financial terms of such agreements;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to the company of commercialization activities for our current and future product candidates that we may take on, whether alone or with a collaborator;</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and other intellectual property claims, including litigation costs and the outcome of such litigation;</w:t>
            </w:r>
          </w:p>
        </w:tc>
      </w:tr>
    </w:tbl>
    <w:tbl>
      <w:tblPr>
        <w:tblW w:w="9107" w:type="dxa"/>
        <w:jc w:val="left"/>
        <w:tblInd w:w="0" w:type="dxa"/>
        <w:tblCellMar>
          <w:top w:w="0" w:type="dxa"/>
          <w:left w:w="0" w:type="dxa"/>
          <w:bottom w:w="0" w:type="dxa"/>
          <w:right w:w="0" w:type="dxa"/>
        </w:tblCellMar>
      </w:tblPr>
      <w:tblGrid>
        <w:gridCol w:w="271"/>
        <w:gridCol w:w="8836"/>
      </w:tblGrid>
      <w:tr>
        <w:trPr/>
        <w:tc>
          <w:tcPr>
            <w:tcW w:w="271" w:type="dxa"/>
            <w:tcBorders/>
            <w:shd w:fill="auto" w:val="clear"/>
            <w:vAlign w:val="center"/>
          </w:tcPr>
          <w:p>
            <w:pPr>
              <w:pStyle w:val="TableContents"/>
              <w:spacing w:before="0" w:after="283"/>
              <w:rPr/>
            </w:pPr>
            <w:r>
              <w:rPr/>
              <w:t>●</w:t>
            </w:r>
          </w:p>
        </w:tc>
        <w:tc>
          <w:tcPr>
            <w:tcW w:w="883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amount of sales of, or royalties or other income from, our future products, if any;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and success or otherwise of competing oncology and infectious disease therapies and other market developments.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Based on our research and development plans, we expect that the net proceeds from our IPO, together with our existing cash and cash equivalents, will enable us to fund our operating expenses and capital expenditure requirements into 2024. These estimates are based on assumptions that may prove to be wrong, and we could use our available capital resources more quickly than we expect.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Emerging Growth Company Status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description of recently issued accounting pronouncement that may potentially impact our financial position and results of operations is disclosed in Note 2 to our condensed consolidated financial statements appearing elsewhere in this Quarterly Report.</w:t>
      </w:r>
    </w:p>
    <w:p>
      <w:pPr>
        <w:pStyle w:val="TextBody"/>
        <w:spacing w:before="0" w:after="240"/>
        <w:ind w:left="0" w:right="0" w:hanging="0"/>
        <w:rPr>
          <w:rFonts w:ascii="Times New Roman;Times;serif" w:hAnsi="Times New Roman;Times;serif"/>
          <w:b/>
          <w:sz w:val="20"/>
        </w:rPr>
      </w:pPr>
      <w:bookmarkStart w:id="1208" w:name="Item3QuantitativeandQualitativeDisclosur"/>
      <w:bookmarkStart w:id="1209" w:name="_2fd8fbd1_6e45_4576_88c7_e0c7685172d9"/>
      <w:bookmarkEnd w:id="1208"/>
      <w:bookmarkEnd w:id="1209"/>
      <w:r>
        <w:rPr>
          <w:rFonts w:ascii="Times New Roman;Times;serif" w:hAnsi="Times New Roman;Times;serif"/>
          <w:b/>
          <w:sz w:val="20"/>
        </w:rPr>
        <w:t>Item 3.    Quantitative and Qualitative Disclosure About Market Risk</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Foreign Currency and Currency Translation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subject to the risk of fluctuations in foreign currency exchange rates, specifically with respect to the euro, pound sterling and Australian dollar. Our reporting currency is the U.S. dollar, our functional currency is the pound sterling and the functional currency of our wholly owned foreign subsidiary, Vaccitech Australia Pty, is the Australian dollar. Our cash and cash equivalents as of June 30, 2021 consisted primarily of cash balances held by Vaccitech Limited in U.S. dollars.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Assets and liabilities are translated into U.S. dollars at the exchange rate in effect on the balance sheet date. Revenue and expenses are translated at the average exchange rate in effect during the period. Translation adjustments are included in the consolidated Balance Sheet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Interest Rate Sensitivity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not currently exposed significantly to market risk related to changes in interest rates, as we have no significant interest-bearing liabilities. We had cash and cash equivalents of $243.6 million as of June 30, 2021, which were primarily held as account balances with banks in the United Kingdom, United States and Australia. A hypothetical 10% relative change in interest rates during any of the periods presented would not have had a material impact on our financial statements.</w:t>
      </w:r>
    </w:p>
    <w:p>
      <w:pPr>
        <w:pStyle w:val="TextBody"/>
        <w:spacing w:before="0" w:after="240"/>
        <w:ind w:left="0" w:right="0" w:hanging="0"/>
        <w:rPr>
          <w:rFonts w:ascii="Times New Roman;Times;serif" w:hAnsi="Times New Roman;Times;serif"/>
          <w:b/>
          <w:sz w:val="20"/>
        </w:rPr>
      </w:pPr>
      <w:bookmarkStart w:id="1210" w:name="Item4ControlsandProcedures_768627"/>
      <w:bookmarkStart w:id="1211" w:name="_7cf65c4c_9c08_4ee7_aae3_cad44bcbb1e5"/>
      <w:bookmarkEnd w:id="1210"/>
      <w:bookmarkEnd w:id="1211"/>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defined in Rule 13a-15(e)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not effective for the reasons set forth below.</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reviews and audits of our consolidated financial statements for each of the periods ended December 31, 2019 and 2020, and March 31, 2020 and 2021, our management and independent registered public accounting firm identified material weaknesses in our internal control over financial reporting. The material weaknesses related to: (i) our lack of a sufficient number of personnel with an appropriate level of knowledge and experience in the application of U.S. generally accepted accounting principles, or U.S. GAAP, commensurate with our financial reporting requirements; (ii) 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 As a result, a number of adjustments to our consolidated financial statements for each of the years ended December 31, 2019 and 2020 were identified and made during the course of the audit process. In addition, our condensed consolidated financial statements for the three months ended March 31, 2021 include the correction of an error related to the year ended December 31, 2019.</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continuing to implement measures designed to improve our internal control over financial reporting to remediate the material weaknesses, including having hired a Chief Financial Officer and increasing the number of our finance and accounting personnel.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Other than the changes intended to remediate the material weaknesses noted above, no change in our internal control over financial reporting (as defined in Rules 13a-15(f) and 15d-15(f) under the Exchange Act) occurred during the three months ended June 30, 2021 that has materially affected, or is reasonably likely to materially affect, our internal control over financial reporting.</w:t>
      </w:r>
    </w:p>
    <w:p>
      <w:pPr>
        <w:pStyle w:val="TextBody"/>
        <w:spacing w:before="0" w:after="240"/>
        <w:ind w:left="0" w:right="0" w:hanging="0"/>
        <w:jc w:val="center"/>
        <w:rPr>
          <w:rFonts w:ascii="Times New Roman;Times;serif" w:hAnsi="Times New Roman;Times;serif"/>
          <w:b/>
          <w:sz w:val="20"/>
        </w:rPr>
      </w:pPr>
      <w:bookmarkStart w:id="1212" w:name="PARTIIOTHERINFORMATION_959754"/>
      <w:bookmarkStart w:id="1213" w:name="_cf2acb2f_2018_441d_b4e3_68477df00932"/>
      <w:bookmarkEnd w:id="1212"/>
      <w:bookmarkEnd w:id="1213"/>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b/>
          <w:sz w:val="20"/>
        </w:rPr>
      </w:pPr>
      <w:bookmarkStart w:id="1214" w:name="Item1LegalProceedings_995656"/>
      <w:bookmarkEnd w:id="1214"/>
      <w:r>
        <w:rPr>
          <w:rFonts w:ascii="Times New Roman;Times;serif" w:hAnsi="Times New Roman;Times;serif"/>
          <w:b/>
          <w:sz w:val="20"/>
        </w:rPr>
        <w:t>Item 1.    Legal Proceedings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From time to time, we may become subject to various legal proceedings and claims that arise in the ordinary course of our business activities. Although the results of litigation and claims cannot be predicted with certainty, as of June 30, 2021,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spacing w:before="0" w:after="240"/>
        <w:ind w:left="0" w:right="0" w:hanging="0"/>
        <w:rPr>
          <w:rFonts w:ascii="Times New Roman;Times;serif" w:hAnsi="Times New Roman;Times;serif"/>
          <w:b/>
          <w:sz w:val="20"/>
        </w:rPr>
      </w:pPr>
      <w:bookmarkStart w:id="1215" w:name="Item1ARiskFactors_790842"/>
      <w:bookmarkStart w:id="1216" w:name="_883d7021_6ec8_4d9f_9a99_9b92dbf0cdc3"/>
      <w:bookmarkEnd w:id="1215"/>
      <w:bookmarkEnd w:id="1216"/>
      <w:r>
        <w:rPr>
          <w:rFonts w:ascii="Times New Roman;Times;serif" w:hAnsi="Times New Roman;Times;serif"/>
          <w:b/>
          <w:sz w:val="20"/>
        </w:rPr>
        <w:t>Item 1A Risk Factors.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There have been no material changes from the risk factors previously disclosed in the Company’s most recent Quarterly Report on Form 10-Q as filed with the SEC on June 14,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tbl>
      <w:tblPr>
        <w:tblW w:w="7292" w:type="dxa"/>
        <w:jc w:val="left"/>
        <w:tblInd w:w="0" w:type="dxa"/>
        <w:tblCellMar>
          <w:top w:w="0" w:type="dxa"/>
          <w:left w:w="0" w:type="dxa"/>
          <w:bottom w:w="0" w:type="dxa"/>
          <w:right w:w="0" w:type="dxa"/>
        </w:tblCellMar>
      </w:tblPr>
      <w:tblGrid>
        <w:gridCol w:w="271"/>
        <w:gridCol w:w="7021"/>
      </w:tblGrid>
      <w:tr>
        <w:trPr/>
        <w:tc>
          <w:tcPr>
            <w:tcW w:w="271" w:type="dxa"/>
            <w:tcBorders/>
            <w:shd w:fill="auto" w:val="clear"/>
            <w:vAlign w:val="center"/>
          </w:tcPr>
          <w:p>
            <w:pPr>
              <w:pStyle w:val="TableContents"/>
              <w:spacing w:before="0" w:after="283"/>
              <w:rPr/>
            </w:pPr>
            <w:r>
              <w:rPr/>
              <w:t>●</w:t>
            </w:r>
          </w:p>
        </w:tc>
        <w:tc>
          <w:tcPr>
            <w:tcW w:w="702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 and clinical trials;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advance our current and future product candidates and programs into, and successfully complete, clinical trials;</w:t>
            </w:r>
          </w:p>
        </w:tc>
      </w:tr>
    </w:tbl>
    <w:tbl>
      <w:tblPr>
        <w:tblW w:w="10037" w:type="dxa"/>
        <w:jc w:val="left"/>
        <w:tblInd w:w="0" w:type="dxa"/>
        <w:tblCellMar>
          <w:top w:w="0" w:type="dxa"/>
          <w:left w:w="0" w:type="dxa"/>
          <w:bottom w:w="0" w:type="dxa"/>
          <w:right w:w="0" w:type="dxa"/>
        </w:tblCellMar>
      </w:tblPr>
      <w:tblGrid>
        <w:gridCol w:w="271"/>
        <w:gridCol w:w="9766"/>
      </w:tblGrid>
      <w:tr>
        <w:trPr/>
        <w:tc>
          <w:tcPr>
            <w:tcW w:w="271" w:type="dxa"/>
            <w:tcBorders/>
            <w:shd w:fill="auto" w:val="clear"/>
            <w:vAlign w:val="center"/>
          </w:tcPr>
          <w:p>
            <w:pPr>
              <w:pStyle w:val="TableContents"/>
              <w:spacing w:before="0" w:after="283"/>
              <w:rPr/>
            </w:pPr>
            <w:r>
              <w:rPr/>
              <w:t>●</w:t>
            </w:r>
          </w:p>
        </w:tc>
        <w:tc>
          <w:tcPr>
            <w:tcW w:w="976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future or maintain current collaborations or strategic relationships or obtain additional funding;</w:t>
            </w:r>
          </w:p>
        </w:tc>
      </w:tr>
    </w:tbl>
    <w:tbl>
      <w:tblPr>
        <w:tblW w:w="8927" w:type="dxa"/>
        <w:jc w:val="left"/>
        <w:tblInd w:w="0" w:type="dxa"/>
        <w:tblCellMar>
          <w:top w:w="0" w:type="dxa"/>
          <w:left w:w="0" w:type="dxa"/>
          <w:bottom w:w="0" w:type="dxa"/>
          <w:right w:w="0" w:type="dxa"/>
        </w:tblCellMar>
      </w:tblPr>
      <w:tblGrid>
        <w:gridCol w:w="271"/>
        <w:gridCol w:w="8656"/>
      </w:tblGrid>
      <w:tr>
        <w:trPr/>
        <w:tc>
          <w:tcPr>
            <w:tcW w:w="271" w:type="dxa"/>
            <w:tcBorders/>
            <w:shd w:fill="auto" w:val="clear"/>
            <w:vAlign w:val="center"/>
          </w:tcPr>
          <w:p>
            <w:pPr>
              <w:pStyle w:val="TableContents"/>
              <w:spacing w:before="0" w:after="283"/>
              <w:rPr/>
            </w:pPr>
            <w:r>
              <w:rPr/>
              <w:t>●</w:t>
            </w:r>
          </w:p>
        </w:tc>
        <w:tc>
          <w:tcPr>
            <w:tcW w:w="865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our current and future product candidates;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collaborators to continue research and development activities relating to our product candidates;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collaborators’ ability to obtain, maintain, defend and enforce our intellectual property protection for our product candidates, and the scope of such protection;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827" w:type="dxa"/>
        <w:jc w:val="left"/>
        <w:tblInd w:w="0" w:type="dxa"/>
        <w:tblCellMar>
          <w:top w:w="0" w:type="dxa"/>
          <w:left w:w="0" w:type="dxa"/>
          <w:bottom w:w="0" w:type="dxa"/>
          <w:right w:w="0" w:type="dxa"/>
        </w:tblCellMar>
      </w:tblPr>
      <w:tblGrid>
        <w:gridCol w:w="271"/>
        <w:gridCol w:w="6556"/>
      </w:tblGrid>
      <w:tr>
        <w:trPr/>
        <w:tc>
          <w:tcPr>
            <w:tcW w:w="271" w:type="dxa"/>
            <w:tcBorders/>
            <w:shd w:fill="auto" w:val="clear"/>
            <w:vAlign w:val="center"/>
          </w:tcPr>
          <w:p>
            <w:pPr>
              <w:pStyle w:val="TableContents"/>
              <w:spacing w:before="0" w:after="283"/>
              <w:rPr/>
            </w:pPr>
            <w:r>
              <w:rPr/>
              <w:t>●</w:t>
            </w:r>
          </w:p>
        </w:tc>
        <w:tc>
          <w:tcPr>
            <w:tcW w:w="655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commercialization and marketing capabilities and strategy;</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agreements with third parties in connection with the commercialization of our product candidates and any other approved products;</w:t>
            </w:r>
          </w:p>
        </w:tc>
      </w:tr>
    </w:tbl>
    <w:tbl>
      <w:tblPr>
        <w:tblW w:w="5912" w:type="dxa"/>
        <w:jc w:val="left"/>
        <w:tblInd w:w="0" w:type="dxa"/>
        <w:tblCellMar>
          <w:top w:w="0" w:type="dxa"/>
          <w:left w:w="0" w:type="dxa"/>
          <w:bottom w:w="0" w:type="dxa"/>
          <w:right w:w="0" w:type="dxa"/>
        </w:tblCellMar>
      </w:tblPr>
      <w:tblGrid>
        <w:gridCol w:w="271"/>
        <w:gridCol w:w="5641"/>
      </w:tblGrid>
      <w:tr>
        <w:trPr/>
        <w:tc>
          <w:tcPr>
            <w:tcW w:w="271" w:type="dxa"/>
            <w:tcBorders/>
            <w:shd w:fill="auto" w:val="clear"/>
            <w:vAlign w:val="center"/>
          </w:tcPr>
          <w:p>
            <w:pPr>
              <w:pStyle w:val="TableContents"/>
              <w:spacing w:before="0" w:after="283"/>
              <w:rPr/>
            </w:pPr>
            <w:r>
              <w:rPr/>
              <w:t>●</w:t>
            </w:r>
          </w:p>
        </w:tc>
        <w:tc>
          <w:tcPr>
            <w:tcW w:w="564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companies, technologies and our industry and the success of competing therapies that are or may become available;</w:t>
            </w:r>
          </w:p>
        </w:tc>
      </w:tr>
    </w:tbl>
    <w:tbl>
      <w:tblPr>
        <w:tblW w:w="6227" w:type="dxa"/>
        <w:jc w:val="left"/>
        <w:tblInd w:w="0" w:type="dxa"/>
        <w:tblCellMar>
          <w:top w:w="0" w:type="dxa"/>
          <w:left w:w="0" w:type="dxa"/>
          <w:bottom w:w="0" w:type="dxa"/>
          <w:right w:w="0" w:type="dxa"/>
        </w:tblCellMar>
      </w:tblPr>
      <w:tblGrid>
        <w:gridCol w:w="271"/>
        <w:gridCol w:w="5956"/>
      </w:tblGrid>
      <w:tr>
        <w:trPr/>
        <w:tc>
          <w:tcPr>
            <w:tcW w:w="271" w:type="dxa"/>
            <w:tcBorders/>
            <w:shd w:fill="auto" w:val="clear"/>
            <w:vAlign w:val="center"/>
          </w:tcPr>
          <w:p>
            <w:pPr>
              <w:pStyle w:val="TableContents"/>
              <w:spacing w:before="0" w:after="283"/>
              <w:rPr/>
            </w:pPr>
            <w:r>
              <w:rPr/>
              <w:t>●</w:t>
            </w:r>
          </w:p>
        </w:tc>
        <w:tc>
          <w:tcPr>
            <w:tcW w:w="595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and commercialization of our product candidates;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of our annual total addressable markets, future revenue, expenses, capital requirements and needs for additional financing;</w:t>
            </w:r>
          </w:p>
        </w:tc>
      </w:tr>
    </w:tbl>
    <w:tbl>
      <w:tblPr>
        <w:tblW w:w="3482" w:type="dxa"/>
        <w:jc w:val="left"/>
        <w:tblInd w:w="0" w:type="dxa"/>
        <w:tblCellMar>
          <w:top w:w="0" w:type="dxa"/>
          <w:left w:w="0" w:type="dxa"/>
          <w:bottom w:w="0" w:type="dxa"/>
          <w:right w:w="0" w:type="dxa"/>
        </w:tblCellMar>
      </w:tblPr>
      <w:tblGrid>
        <w:gridCol w:w="271"/>
        <w:gridCol w:w="3211"/>
      </w:tblGrid>
      <w:tr>
        <w:trPr/>
        <w:tc>
          <w:tcPr>
            <w:tcW w:w="271" w:type="dxa"/>
            <w:tcBorders/>
            <w:shd w:fill="auto" w:val="clear"/>
            <w:vAlign w:val="center"/>
          </w:tcPr>
          <w:p>
            <w:pPr>
              <w:pStyle w:val="TableContents"/>
              <w:spacing w:before="0" w:after="283"/>
              <w:rPr/>
            </w:pPr>
            <w:r>
              <w:rPr/>
              <w:t>●</w:t>
            </w:r>
          </w:p>
        </w:tc>
        <w:tc>
          <w:tcPr>
            <w:tcW w:w="321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about market trends;</w:t>
            </w:r>
          </w:p>
        </w:tc>
      </w:tr>
    </w:tbl>
    <w:tbl>
      <w:tblPr>
        <w:tblW w:w="9257" w:type="dxa"/>
        <w:jc w:val="left"/>
        <w:tblInd w:w="0" w:type="dxa"/>
        <w:tblCellMar>
          <w:top w:w="0" w:type="dxa"/>
          <w:left w:w="0" w:type="dxa"/>
          <w:bottom w:w="0" w:type="dxa"/>
          <w:right w:w="0" w:type="dxa"/>
        </w:tblCellMar>
      </w:tblPr>
      <w:tblGrid>
        <w:gridCol w:w="271"/>
        <w:gridCol w:w="8986"/>
      </w:tblGrid>
      <w:tr>
        <w:trPr/>
        <w:tc>
          <w:tcPr>
            <w:tcW w:w="271" w:type="dxa"/>
            <w:tcBorders/>
            <w:shd w:fill="auto" w:val="clear"/>
            <w:vAlign w:val="center"/>
          </w:tcPr>
          <w:p>
            <w:pPr>
              <w:pStyle w:val="TableContents"/>
              <w:spacing w:before="0" w:after="283"/>
              <w:rPr/>
            </w:pPr>
            <w:r>
              <w:rPr/>
              <w:t>●</w:t>
            </w:r>
          </w:p>
        </w:tc>
        <w:tc>
          <w:tcPr>
            <w:tcW w:w="898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overcome the challenges posed by the COVID-19 pandemic to the conduct of our business;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period during which we qualify as an emerging growth company under the Jumpstart Our Business Startups Act of 2012, as amended.</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pStyle w:val="TextBody"/>
        <w:spacing w:before="0" w:after="240"/>
        <w:ind w:left="0" w:right="0" w:hanging="0"/>
        <w:rPr>
          <w:rFonts w:ascii="Times New Roman;Times;serif" w:hAnsi="Times New Roman;Times;serif"/>
          <w:b/>
          <w:sz w:val="20"/>
        </w:rPr>
      </w:pPr>
      <w:bookmarkStart w:id="1217" w:name="Item2UnregisteredSalesofEquitySecurities"/>
      <w:bookmarkStart w:id="1218" w:name="_a4d729d2_0063_4d53_9818_974fdb4ed873"/>
      <w:bookmarkEnd w:id="1217"/>
      <w:bookmarkEnd w:id="1218"/>
      <w:r>
        <w:rPr>
          <w:rFonts w:ascii="Times New Roman;Times;serif" w:hAnsi="Times New Roman;Times;serif"/>
          <w:b/>
          <w:sz w:val="20"/>
        </w:rPr>
        <w:t>Item 2.    Unregistered Sales of Equity Securities and Use of Proceeds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Set forth below is information regarding shares of equity securities sold, and options granted, by us during the three months ended June 30, 2021 that were not registered under the Securities Act.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Sales of Unregistered Equity Securities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period between April 1, 2021 and June 30, 2021, we issued to certain of our employees and advisors, options to purchase an aggregate of 1,513,566 ordinary shares at an average exercise price of $17.00 per share. We deemed these issuances to be exempt from registration under the Securities Act either in reliance on Rule 701 of the Securities Act as sales and offers under compensatory benefit.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Use of Proceeds from Initial Public Offering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May 4, 2021, we completed our initial public offering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received aggregate net proceeds from the offering of approximately $99.9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There has been no material change in our planned use of the net proceeds from the IPO as described in the final prospectus filed with the SEC pursuant to Rule 424(b) under the Securities Act.</w:t>
      </w:r>
    </w:p>
    <w:p>
      <w:pPr>
        <w:pStyle w:val="TextBody"/>
        <w:spacing w:before="0" w:after="240"/>
        <w:ind w:left="0" w:right="0" w:hanging="0"/>
        <w:rPr>
          <w:rFonts w:ascii="Times New Roman;Times;serif" w:hAnsi="Times New Roman;Times;serif"/>
          <w:b/>
          <w:sz w:val="20"/>
        </w:rPr>
      </w:pPr>
      <w:bookmarkStart w:id="1219" w:name="Item3DefaultsUponSeniorSecurities_525046"/>
      <w:bookmarkStart w:id="1220" w:name="_b356e6cb_0f17_472a_86d7_485a734ba76d"/>
      <w:bookmarkEnd w:id="1219"/>
      <w:bookmarkEnd w:id="1220"/>
      <w:r>
        <w:rPr>
          <w:rFonts w:ascii="Times New Roman;Times;serif" w:hAnsi="Times New Roman;Times;serif"/>
          <w:b/>
          <w:sz w:val="20"/>
        </w:rPr>
        <w:t>Item 3.    Defaults Upon Senior Securities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221" w:name="Item4MineSafetyDisclosures_489189"/>
      <w:bookmarkStart w:id="1222" w:name="_96620035_3d67_4ed5_8dd7_3716514c525d"/>
      <w:bookmarkEnd w:id="1221"/>
      <w:bookmarkEnd w:id="1222"/>
      <w:r>
        <w:rPr>
          <w:rFonts w:ascii="Times New Roman;Times;serif" w:hAnsi="Times New Roman;Times;serif"/>
          <w:b/>
          <w:sz w:val="20"/>
        </w:rPr>
        <w:t>Item 4.    Mine Safety Disclosures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223" w:name="Item5OtherInformation_906757"/>
      <w:bookmarkStart w:id="1224" w:name="_d2af77c2_6ce7_411e_8bb5_947fac9d42d7"/>
      <w:bookmarkEnd w:id="1223"/>
      <w:bookmarkEnd w:id="1224"/>
      <w:r>
        <w:rPr>
          <w:rFonts w:ascii="Times New Roman;Times;serif" w:hAnsi="Times New Roman;Times;serif"/>
          <w:b/>
          <w:sz w:val="20"/>
        </w:rPr>
        <w:t>Item 5.    Other Information</w:t>
      </w:r>
      <w:r>
        <w:rPr>
          <w:rFonts w:ascii="Times New Roman;Times;serif" w:hAnsi="Times New Roman;Times;serif"/>
          <w:b w:val="false"/>
          <w:sz w:val="20"/>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225" w:name="Item6Exhibits_432907"/>
      <w:bookmarkStart w:id="1226" w:name="_bc599192_5dc1_4df2_bab2_2b18080b6566"/>
      <w:bookmarkEnd w:id="1225"/>
      <w:bookmarkEnd w:id="1226"/>
      <w:r>
        <w:rPr>
          <w:rFonts w:ascii="Times New Roman;Times;serif" w:hAnsi="Times New Roman;Times;serif"/>
          <w:b/>
          <w:sz w:val="20"/>
        </w:rPr>
        <w:t>Item 6.    Exhibits</w:t>
      </w:r>
      <w:r>
        <w:rPr>
          <w:rFonts w:ascii="Times New Roman;Times;serif" w:hAnsi="Times New Roman;Times;serif"/>
          <w:b w:val="false"/>
          <w:sz w:val="20"/>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152"/>
        <w:gridCol w:w="9053"/>
      </w:tblGrid>
      <w:tr>
        <w:trPr/>
        <w:tc>
          <w:tcPr>
            <w:tcW w:w="115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Exhibit Number</w:t>
            </w:r>
          </w:p>
        </w:tc>
        <w:tc>
          <w:tcPr>
            <w:tcW w:w="905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Description</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Articles of Association of the Registrant (incorporated by reference to Exhibit 3.1 to the Registrant’s Current Report on Form 8-K (File No. 001-40367) filed on May 10, 2021).</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9053" w:type="dxa"/>
            <w:tcBorders/>
            <w:shd w:fill="auto" w:val="clear"/>
            <w:vAlign w:val="center"/>
          </w:tcPr>
          <w:p>
            <w:pPr>
              <w:pStyle w:val="TableContents"/>
              <w:spacing w:before="0" w:after="0"/>
              <w:ind w:left="0" w:right="0" w:hanging="0"/>
              <w:jc w:val="left"/>
              <w:rPr/>
            </w:pPr>
            <w:hyperlink w:anchor="vacc-2021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9053" w:type="dxa"/>
            <w:tcBorders/>
            <w:shd w:fill="auto" w:val="clear"/>
            <w:vAlign w:val="center"/>
          </w:tcPr>
          <w:p>
            <w:pPr>
              <w:pStyle w:val="TableContents"/>
              <w:spacing w:before="0" w:after="0"/>
              <w:ind w:left="0" w:right="0" w:hanging="0"/>
              <w:jc w:val="left"/>
              <w:rPr/>
            </w:pPr>
            <w:hyperlink w:anchor="vacc-2021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9053" w:type="dxa"/>
            <w:tcBorders/>
            <w:shd w:fill="auto" w:val="clear"/>
            <w:vAlign w:val="center"/>
          </w:tcPr>
          <w:p>
            <w:pPr>
              <w:pStyle w:val="TableContents"/>
              <w:spacing w:before="0" w:after="0"/>
              <w:ind w:left="0" w:right="0" w:hanging="0"/>
              <w:jc w:val="left"/>
              <w:rPr/>
            </w:pPr>
            <w:hyperlink w:anchor="vacc-20210630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Instance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90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Data File (the cover page XBRL tags are embedded within the iXBRL document).</w:t>
            </w:r>
          </w:p>
        </w:tc>
      </w:tr>
    </w:tbl>
    <w:tbl>
      <w:tblPr>
        <w:tblW w:w="7232" w:type="dxa"/>
        <w:jc w:val="left"/>
        <w:tblInd w:w="0" w:type="dxa"/>
        <w:tblCellMar>
          <w:top w:w="0" w:type="dxa"/>
          <w:left w:w="0" w:type="dxa"/>
          <w:bottom w:w="0" w:type="dxa"/>
          <w:right w:w="0" w:type="dxa"/>
        </w:tblCellMar>
      </w:tblPr>
      <w:tblGrid>
        <w:gridCol w:w="226"/>
        <w:gridCol w:w="700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700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Indicates a management contract or any compensatory plan, contract or arrangement.</w:t>
            </w:r>
          </w:p>
        </w:tc>
      </w:tr>
    </w:tbl>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9952"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p>
      <w:pPr>
        <w:pStyle w:val="TextBody"/>
        <w:pBdr/>
        <w:spacing w:before="0" w:after="0"/>
        <w:ind w:left="36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227" w:name="SIGNATURES_509116"/>
      <w:bookmarkStart w:id="1228" w:name="_38eb1516_0061_4c62_bcc6_1ae3d9f8e8e5"/>
      <w:bookmarkEnd w:id="1227"/>
      <w:bookmarkEnd w:id="1228"/>
      <w:r>
        <w:rPr>
          <w:rFonts w:ascii="Times New Roman;Times;serif" w:hAnsi="Times New Roman;Times;serif"/>
          <w:b/>
          <w:sz w:val="20"/>
        </w:rPr>
        <w:t>SIGNATURES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4833" w:type="dxa"/>
        <w:jc w:val="left"/>
        <w:tblInd w:w="0" w:type="dxa"/>
        <w:tblCellMar>
          <w:top w:w="0" w:type="dxa"/>
          <w:left w:w="0" w:type="dxa"/>
          <w:bottom w:w="0" w:type="dxa"/>
          <w:right w:w="0" w:type="dxa"/>
        </w:tblCellMar>
      </w:tblPr>
      <w:tblGrid>
        <w:gridCol w:w="1951"/>
        <w:gridCol w:w="406"/>
        <w:gridCol w:w="2476"/>
      </w:tblGrid>
      <w:tr>
        <w:trPr/>
        <w:tc>
          <w:tcPr>
            <w:tcW w:w="1951" w:type="dxa"/>
            <w:tcBorders/>
            <w:shd w:fill="auto" w:val="clear"/>
            <w:vAlign w:val="center"/>
          </w:tcPr>
          <w:p>
            <w:pPr>
              <w:pStyle w:val="TableContents"/>
              <w:spacing w:before="0" w:after="0"/>
              <w:ind w:left="0" w:right="0" w:hanging="0"/>
              <w:rPr/>
            </w:pPr>
            <w:r>
              <w:rPr/>
              <w:t>​</w:t>
            </w:r>
          </w:p>
        </w:tc>
        <w:tc>
          <w:tcPr>
            <w:tcW w:w="288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VACCITECH PLC</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William Enright</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William Enright</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br/>
              <w:t>(Principal Executive Officer)</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pPr>
            <w:r>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Georgy Egorov</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Georgy Egorov</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br/>
              <w:t>(Principal Financial</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r>
        <w:br w:type="page"/>
      </w:r>
    </w:p>
    <w:p>
      <w:pPr>
        <w:pStyle w:val="TextBody"/>
        <w:spacing w:before="0" w:after="240"/>
        <w:ind w:left="0" w:right="0" w:hanging="0"/>
        <w:jc w:val="right"/>
        <w:rPr>
          <w:rFonts w:ascii="Times New Roman;Times;serif" w:hAnsi="Times New Roman;Times;serif"/>
          <w:sz w:val="20"/>
        </w:rPr>
      </w:pPr>
      <w:bookmarkStart w:id="1229" w:name="vacc-20210630xex31d1.htm"/>
      <w:bookmarkStart w:id="1230" w:name="ksvacc20210630xex31d1"/>
      <w:bookmarkEnd w:id="1229"/>
      <w:bookmarkEnd w:id="1230"/>
      <w:r>
        <w:rPr>
          <w:rFonts w:ascii="Times New Roman;Times;serif" w:hAnsi="Times New Roman;Times;serif"/>
          <w:b/>
          <w:sz w:val="20"/>
        </w:rPr>
        <w:t>Exhibit 31</w:t>
      </w:r>
      <w:r>
        <w:rPr>
          <w:rFonts w:ascii="Times New Roman;Times;serif" w:hAnsi="Times New Roman;Times;serif"/>
          <w:sz w:val="20"/>
        </w:rPr>
        <w:t>.</w:t>
      </w:r>
      <w:r>
        <w:rPr>
          <w:rFonts w:ascii="Times New Roman;Times;serif" w:hAnsi="Times New Roman;Times;serif"/>
          <w:b/>
          <w:sz w:val="20"/>
        </w:rPr>
        <w:t>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RULES 13a-14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AND 15d-14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UNDER THE SECURITIES EXCHANGE ACT OF 1934</w:t>
      </w:r>
      <w:r>
        <w:rPr>
          <w:rFonts w:ascii="Times New Roman;Times;serif" w:hAnsi="Times New Roman;Times;serif"/>
          <w:sz w:val="20"/>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William Enright, certify that:</w:t>
      </w:r>
    </w:p>
    <w:tbl>
      <w:tblPr>
        <w:tblW w:w="5815" w:type="dxa"/>
        <w:jc w:val="left"/>
        <w:tblInd w:w="0" w:type="dxa"/>
        <w:tblCellMar>
          <w:top w:w="0" w:type="dxa"/>
          <w:left w:w="0" w:type="dxa"/>
          <w:bottom w:w="0" w:type="dxa"/>
          <w:right w:w="0" w:type="dxa"/>
        </w:tblCellMar>
      </w:tblPr>
      <w:tblGrid>
        <w:gridCol w:w="170"/>
        <w:gridCol w:w="5645"/>
      </w:tblGrid>
      <w:tr>
        <w:trPr/>
        <w:tc>
          <w:tcPr>
            <w:tcW w:w="170"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1.</w:t>
            </w:r>
          </w:p>
        </w:tc>
        <w:tc>
          <w:tcPr>
            <w:tcW w:w="564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I have reviewed this Quarterly Report on Form 10-Q of Vaccitech plc;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4.</w:t>
            </w:r>
          </w:p>
        </w:tc>
        <w:tc>
          <w:tcPr>
            <w:tcW w:w="10056"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tc>
      </w:tr>
    </w:tbl>
    <w:tbl>
      <w:tblPr>
        <w:tblW w:w="7923" w:type="dxa"/>
        <w:jc w:val="left"/>
        <w:tblInd w:w="0" w:type="dxa"/>
        <w:tblCellMar>
          <w:top w:w="0" w:type="dxa"/>
          <w:left w:w="0" w:type="dxa"/>
          <w:bottom w:w="0" w:type="dxa"/>
          <w:right w:w="0" w:type="dxa"/>
        </w:tblCellMar>
      </w:tblPr>
      <w:tblGrid>
        <w:gridCol w:w="23"/>
        <w:gridCol w:w="245"/>
        <w:gridCol w:w="765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w:t>
            </w:r>
          </w:p>
        </w:tc>
        <w:tc>
          <w:tcPr>
            <w:tcW w:w="765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(Paragraph omitted pursuant to SEC Release Nos. 33-8238/34-47986 and 33-8392/34-49313);</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488" w:type="dxa"/>
        <w:jc w:val="center"/>
        <w:tblInd w:w="0" w:type="dxa"/>
        <w:tblCellMar>
          <w:top w:w="0" w:type="dxa"/>
          <w:left w:w="0" w:type="dxa"/>
          <w:bottom w:w="0" w:type="dxa"/>
          <w:right w:w="0" w:type="dxa"/>
        </w:tblCellMar>
      </w:tblPr>
      <w:tblGrid>
        <w:gridCol w:w="1951"/>
        <w:gridCol w:w="406"/>
        <w:gridCol w:w="2131"/>
      </w:tblGrid>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William Enright</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William Enright</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3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sz w:val="20"/>
        </w:rPr>
      </w:pPr>
      <w:bookmarkStart w:id="1231" w:name="vacc-20210630xex31d2.htm"/>
      <w:bookmarkStart w:id="1232" w:name="ksvacc20210630xex31d2"/>
      <w:bookmarkEnd w:id="1231"/>
      <w:bookmarkEnd w:id="1232"/>
      <w:r>
        <w:rPr>
          <w:rFonts w:ascii="Times New Roman;Times;serif" w:hAnsi="Times New Roman;Times;serif"/>
          <w:b/>
          <w:sz w:val="20"/>
        </w:rPr>
        <w:t>Exhibit 31</w:t>
      </w:r>
      <w:r>
        <w:rPr>
          <w:rFonts w:ascii="Times New Roman;Times;serif" w:hAnsi="Times New Roman;Times;serif"/>
          <w:sz w:val="20"/>
        </w:rPr>
        <w:t>.</w:t>
      </w:r>
      <w:r>
        <w:rPr>
          <w:rFonts w:ascii="Times New Roman;Times;serif" w:hAnsi="Times New Roman;Times;serif"/>
          <w:b/>
          <w:sz w:val="20"/>
        </w:rPr>
        <w:t>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RULES 13a-14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AND 15d-14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UNDER THE SECURITIES EXCHANGE ACT OF 1934</w:t>
      </w:r>
      <w:r>
        <w:rPr>
          <w:rFonts w:ascii="Times New Roman;Times;serif" w:hAnsi="Times New Roman;Times;serif"/>
          <w:sz w:val="20"/>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pBdr/>
        <w:spacing w:before="0" w:after="200"/>
        <w:ind w:left="0" w:right="0" w:hanging="360"/>
        <w:rPr>
          <w:rFonts w:ascii="Times New Roman;Times;serif" w:hAnsi="Times New Roman;Times;serif"/>
          <w:sz w:val="20"/>
        </w:rPr>
      </w:pPr>
      <w:r>
        <w:rPr>
          <w:rFonts w:ascii="Times New Roman;Times;serif" w:hAnsi="Times New Roman;Times;serif"/>
          <w:sz w:val="20"/>
        </w:rPr>
        <w:t>I, Georgy Egorov, certify that:</w:t>
      </w:r>
    </w:p>
    <w:tbl>
      <w:tblPr>
        <w:tblW w:w="5815" w:type="dxa"/>
        <w:jc w:val="left"/>
        <w:tblInd w:w="0" w:type="dxa"/>
        <w:tblCellMar>
          <w:top w:w="0" w:type="dxa"/>
          <w:left w:w="0" w:type="dxa"/>
          <w:bottom w:w="0" w:type="dxa"/>
          <w:right w:w="0" w:type="dxa"/>
        </w:tblCellMar>
      </w:tblPr>
      <w:tblGrid>
        <w:gridCol w:w="170"/>
        <w:gridCol w:w="5645"/>
      </w:tblGrid>
      <w:tr>
        <w:trPr/>
        <w:tc>
          <w:tcPr>
            <w:tcW w:w="1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56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 have reviewed this Quarterly Report on Form 10-Q of Vaccitech plc;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4.</w:t>
            </w:r>
          </w:p>
        </w:tc>
        <w:tc>
          <w:tcPr>
            <w:tcW w:w="1005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tc>
      </w:tr>
    </w:tbl>
    <w:tbl>
      <w:tblPr>
        <w:tblW w:w="7923" w:type="dxa"/>
        <w:jc w:val="left"/>
        <w:tblInd w:w="0" w:type="dxa"/>
        <w:tblCellMar>
          <w:top w:w="0" w:type="dxa"/>
          <w:left w:w="0" w:type="dxa"/>
          <w:bottom w:w="0" w:type="dxa"/>
          <w:right w:w="0" w:type="dxa"/>
        </w:tblCellMar>
      </w:tblPr>
      <w:tblGrid>
        <w:gridCol w:w="23"/>
        <w:gridCol w:w="245"/>
        <w:gridCol w:w="765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(b)</w:t>
            </w:r>
          </w:p>
        </w:tc>
        <w:tc>
          <w:tcPr>
            <w:tcW w:w="765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(Paragraph omitted pursuant to SEC Release Nos. 33-8238/34-47986 and 33-8392/34-49313);</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center"/>
        <w:rPr/>
      </w:pPr>
      <w:r>
        <w:rPr/>
        <w:t>​</w:t>
      </w:r>
    </w:p>
    <w:tbl>
      <w:tblPr>
        <w:tblW w:w="4458" w:type="dxa"/>
        <w:jc w:val="center"/>
        <w:tblInd w:w="0" w:type="dxa"/>
        <w:tblCellMar>
          <w:top w:w="0" w:type="dxa"/>
          <w:left w:w="0" w:type="dxa"/>
          <w:bottom w:w="0" w:type="dxa"/>
          <w:right w:w="0" w:type="dxa"/>
        </w:tblCellMar>
      </w:tblPr>
      <w:tblGrid>
        <w:gridCol w:w="1951"/>
        <w:gridCol w:w="406"/>
        <w:gridCol w:w="2101"/>
      </w:tblGrid>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1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Georgy Egorov</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Georgy Egorov</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0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sz w:val="20"/>
        </w:rPr>
      </w:pPr>
      <w:bookmarkStart w:id="1233" w:name="vacc-20210630xex32d1.htm"/>
      <w:bookmarkStart w:id="1234" w:name="ksvacc20210630xex32d1"/>
      <w:bookmarkEnd w:id="1233"/>
      <w:bookmarkEnd w:id="1234"/>
      <w:r>
        <w:rPr>
          <w:rFonts w:ascii="Times New Roman;Times;serif" w:hAnsi="Times New Roman;Times;serif"/>
          <w:b/>
          <w:sz w:val="20"/>
        </w:rPr>
        <w:t>Exhibit 32</w:t>
      </w:r>
      <w:r>
        <w:rPr>
          <w:rFonts w:ascii="Times New Roman;Times;serif" w:hAnsi="Times New Roman;Times;serif"/>
          <w:sz w:val="20"/>
        </w:rPr>
        <w:t>.</w:t>
      </w:r>
      <w:r>
        <w:rPr>
          <w:rFonts w:ascii="Times New Roman;Times;serif" w:hAnsi="Times New Roman;Times;serif"/>
          <w:b/>
          <w:sz w:val="20"/>
        </w:rPr>
        <w:t>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18 U</w:t>
      </w:r>
      <w:r>
        <w:rPr>
          <w:rFonts w:ascii="Times New Roman;Times;serif" w:hAnsi="Times New Roman;Times;serif"/>
          <w:sz w:val="20"/>
        </w:rPr>
        <w:t>.</w:t>
      </w:r>
      <w:r>
        <w:rPr>
          <w:rFonts w:ascii="Times New Roman;Times;serif" w:hAnsi="Times New Roman;Times;serif"/>
          <w:b/>
          <w:sz w:val="20"/>
        </w:rPr>
        <w:t>S</w:t>
      </w:r>
      <w:r>
        <w:rPr>
          <w:rFonts w:ascii="Times New Roman;Times;serif" w:hAnsi="Times New Roman;Times;serif"/>
          <w:sz w:val="20"/>
        </w:rPr>
        <w:t>.</w:t>
      </w: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SECTION 1350</w:t>
      </w:r>
      <w:r>
        <w:rPr>
          <w:rFonts w:ascii="Times New Roman;Times;serif" w:hAnsi="Times New Roman;Times;serif"/>
          <w:sz w:val="20"/>
        </w:rPr>
        <w:t xml:space="preserve">, </w:t>
      </w: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In connection with the Quarterly Report of Vaccitech plc (the “Company”) on Form 10-Q for the period ending June 30,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spacing w:before="0" w:after="0"/>
        <w:ind w:left="0" w:right="0" w:hanging="0"/>
        <w:jc w:val="center"/>
        <w:rPr/>
      </w:pPr>
      <w:r>
        <w:rPr/>
        <w:t>​</w:t>
      </w:r>
    </w:p>
    <w:tbl>
      <w:tblPr>
        <w:tblW w:w="4503" w:type="dxa"/>
        <w:jc w:val="center"/>
        <w:tblInd w:w="0" w:type="dxa"/>
        <w:tblCellMar>
          <w:top w:w="0" w:type="dxa"/>
          <w:left w:w="0" w:type="dxa"/>
          <w:bottom w:w="0" w:type="dxa"/>
          <w:right w:w="0" w:type="dxa"/>
        </w:tblCellMar>
      </w:tblPr>
      <w:tblGrid>
        <w:gridCol w:w="1951"/>
        <w:gridCol w:w="406"/>
        <w:gridCol w:w="2146"/>
      </w:tblGrid>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William Enright</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William Enright</w:t>
            </w:r>
          </w:p>
        </w:tc>
      </w:tr>
      <w:tr>
        <w:trPr/>
        <w:tc>
          <w:tcPr>
            <w:tcW w:w="1951" w:type="dxa"/>
            <w:tcBorders/>
            <w:shd w:fill="auto" w:val="clear"/>
            <w:vAlign w:val="center"/>
          </w:tcPr>
          <w:p>
            <w:pPr>
              <w:pStyle w:val="TableContents"/>
              <w:spacing w:before="0" w:after="240"/>
              <w:ind w:left="0" w:right="0" w:hanging="0"/>
              <w:rPr/>
            </w:pPr>
            <w:r>
              <w:rPr/>
              <w:t>​</w:t>
            </w:r>
          </w:p>
        </w:tc>
        <w:tc>
          <w:tcPr>
            <w:tcW w:w="406" w:type="dxa"/>
            <w:tcBorders/>
            <w:shd w:fill="auto" w:val="clear"/>
            <w:vAlign w:val="center"/>
          </w:tcPr>
          <w:p>
            <w:pPr>
              <w:pStyle w:val="TableContents"/>
              <w:spacing w:before="0" w:after="240"/>
              <w:ind w:left="0" w:right="0" w:hanging="0"/>
              <w:rPr/>
            </w:pPr>
            <w:r>
              <w:rPr/>
              <w:t>​</w:t>
            </w:r>
          </w:p>
        </w:tc>
        <w:tc>
          <w:tcPr>
            <w:tcW w:w="2146" w:type="dxa"/>
            <w:tcBorders/>
            <w:shd w:fill="auto" w:val="clear"/>
            <w:vAlign w:val="center"/>
          </w:tcPr>
          <w:p>
            <w:pPr>
              <w:pStyle w:val="TableContents"/>
              <w:spacing w:before="0" w:after="24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Georgy Egorov</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Georgy Egorov</w:t>
            </w:r>
          </w:p>
        </w:tc>
      </w:tr>
      <w:tr>
        <w:trPr/>
        <w:tc>
          <w:tcPr>
            <w:tcW w:w="195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17677</Words>
  <CharactersWithSpaces>117399</CharactersWithSpaces>
  <Paragraphs>5216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