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BARINTHUS BIOTHERAPEUTICS PLC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001-40367</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4"/>
        </w:trPr>
        <w:tc>
          <w:tcPr>
            <w:tcW w:w="22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240" w:type="dxa"/>
            <w:vAlign w:val="bottom"/>
          </w:tcPr>
          <w:p>
            <w:pPr>
              <w:spacing w:after="0"/>
              <w:rPr>
                <w:sz w:val="24"/>
                <w:szCs w:val="24"/>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Barinthus Biotherapeutics plc</w:t>
            </w:r>
          </w:p>
        </w:tc>
        <w:tc>
          <w:tcPr>
            <w:tcW w:w="172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20400 Century Blvd, Suite 210,</w:t>
            </w:r>
          </w:p>
        </w:tc>
        <w:tc>
          <w:tcPr>
            <w:tcW w:w="172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Germantown, MD 20874</w:t>
            </w:r>
          </w:p>
        </w:tc>
        <w:tc>
          <w:tcPr>
            <w:tcW w:w="1720" w:type="dxa"/>
            <w:vAlign w:val="bottom"/>
          </w:tcPr>
          <w:p>
            <w:pPr>
              <w:spacing w:after="0"/>
              <w:rPr>
                <w:sz w:val="20"/>
                <w:szCs w:val="20"/>
                <w:color w:val="auto"/>
              </w:rPr>
            </w:pPr>
          </w:p>
        </w:tc>
      </w:tr>
      <w:tr>
        <w:trPr>
          <w:trHeight w:val="445"/>
        </w:trPr>
        <w:tc>
          <w:tcPr>
            <w:tcW w:w="2240" w:type="dxa"/>
            <w:vAlign w:val="bottom"/>
          </w:tcPr>
          <w:p>
            <w:pPr>
              <w:spacing w:after="0"/>
              <w:rPr>
                <w:sz w:val="24"/>
                <w:szCs w:val="24"/>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20" w:type="dxa"/>
            <w:vAlign w:val="bottom"/>
          </w:tcPr>
          <w:p>
            <w:pPr>
              <w:spacing w:after="0"/>
              <w:rPr>
                <w:sz w:val="24"/>
                <w:szCs w:val="24"/>
                <w:color w:val="auto"/>
              </w:rPr>
            </w:pPr>
          </w:p>
        </w:tc>
      </w:tr>
      <w:tr>
        <w:trPr>
          <w:trHeight w:val="356"/>
        </w:trPr>
        <w:tc>
          <w:tcPr>
            <w:tcW w:w="2240" w:type="dxa"/>
            <w:vAlign w:val="bottom"/>
          </w:tcPr>
          <w:p>
            <w:pPr>
              <w:spacing w:after="0"/>
              <w:rPr>
                <w:sz w:val="24"/>
                <w:szCs w:val="24"/>
                <w:color w:val="auto"/>
              </w:rPr>
            </w:pPr>
          </w:p>
        </w:tc>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443 917-0966</w:t>
            </w:r>
          </w:p>
        </w:tc>
        <w:tc>
          <w:tcPr>
            <w:tcW w:w="172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20"/>
                <w:szCs w:val="20"/>
                <w:color w:val="auto"/>
              </w:rPr>
            </w:pPr>
          </w:p>
        </w:tc>
      </w:tr>
      <w:tr>
        <w:trPr>
          <w:trHeight w:val="423"/>
        </w:trPr>
        <w:tc>
          <w:tcPr>
            <w:tcW w:w="2240" w:type="dxa"/>
            <w:vAlign w:val="bottom"/>
          </w:tcPr>
          <w:p>
            <w:pPr>
              <w:spacing w:after="0"/>
              <w:rPr>
                <w:sz w:val="24"/>
                <w:szCs w:val="24"/>
                <w:color w:val="auto"/>
              </w:rPr>
            </w:pPr>
          </w:p>
        </w:tc>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2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14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right="2600" w:firstLine="26"/>
        <w:spacing w:after="0" w:line="563" w:lineRule="auto"/>
        <w:tabs>
          <w:tab w:leader="none" w:pos="423"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8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320" w:type="dxa"/>
            <w:vAlign w:val="bottom"/>
            <w:gridSpan w:val="4"/>
          </w:tcPr>
          <w:p>
            <w:pPr>
              <w:jc w:val="center"/>
              <w:ind w:left="790"/>
              <w:spacing w:after="0" w:line="195" w:lineRule="exact"/>
              <w:rPr>
                <w:sz w:val="20"/>
                <w:szCs w:val="20"/>
                <w:color w:val="auto"/>
              </w:rPr>
            </w:pPr>
            <w:r>
              <w:rPr>
                <w:rFonts w:ascii="Times New Roman" w:cs="Times New Roman" w:eastAsia="Times New Roman" w:hAnsi="Times New Roman"/>
                <w:sz w:val="18"/>
                <w:szCs w:val="18"/>
                <w:color w:val="auto"/>
              </w:rPr>
              <w:t>Name of each exchange on which</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vMerge w:val="restart"/>
          </w:tcPr>
          <w:p>
            <w:pPr>
              <w:spacing w:after="0"/>
              <w:rPr>
                <w:sz w:val="18"/>
                <w:szCs w:val="18"/>
                <w:color w:val="auto"/>
              </w:rPr>
            </w:pPr>
          </w:p>
        </w:tc>
        <w:tc>
          <w:tcPr>
            <w:tcW w:w="26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8"/>
              </w:rPr>
              <w:t>Trade Symbol(s)</w:t>
            </w:r>
          </w:p>
        </w:tc>
        <w:tc>
          <w:tcPr>
            <w:tcW w:w="8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registered</w:t>
            </w:r>
          </w:p>
        </w:tc>
        <w:tc>
          <w:tcPr>
            <w:tcW w:w="860" w:type="dxa"/>
            <w:vAlign w:val="bottom"/>
            <w:tcBorders>
              <w:top w:val="single" w:sz="8" w:color="auto"/>
              <w:bottom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2640" w:type="dxa"/>
            <w:vAlign w:val="bottom"/>
            <w:gridSpan w:val="3"/>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540" w:type="dxa"/>
            <w:vAlign w:val="bottom"/>
          </w:tcPr>
          <w:p>
            <w:pPr>
              <w:spacing w:after="0"/>
              <w:rPr>
                <w:sz w:val="24"/>
                <w:szCs w:val="24"/>
                <w:color w:val="auto"/>
              </w:rPr>
            </w:pPr>
          </w:p>
        </w:tc>
        <w:tc>
          <w:tcPr>
            <w:tcW w:w="2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rPr>
              <w:t>BRNS</w:t>
            </w:r>
          </w:p>
        </w:tc>
        <w:tc>
          <w:tcPr>
            <w:tcW w:w="8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r>
        <w:trPr>
          <w:trHeight w:val="256"/>
        </w:trPr>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Ordinary shares, nominal value £0.000025 per share*</w:t>
            </w: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left="180" w:right="80" w:hanging="172"/>
        <w:spacing w:after="0" w:line="246" w:lineRule="auto"/>
        <w:tabs>
          <w:tab w:leader="none" w:pos="1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334" w:right="499" w:bottom="0" w:gutter="0" w:footer="0" w:header="0"/>
        </w:sect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ectPr>
          <w:pgSz w:w="11900" w:h="16838" w:orient="portrait"/>
          <w:cols w:equalWidth="0" w:num="1">
            <w:col w:w="11080"/>
          </w:cols>
          <w:pgMar w:left="320" w:top="1334" w:right="499" w:bottom="0" w:gutter="0" w:footer="0" w:header="0"/>
          <w:type w:val="continuous"/>
        </w:sectPr>
      </w:pPr>
    </w:p>
    <w:bookmarkStart w:id="1" w:name="page2"/>
    <w:bookmarkEnd w:id="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30, 2026, Barinthus Biotherapeutics plc (the “Company”) provided an overview of the Company’s progress and announced its financial results for the quarter ended March 31, 2026. The full text of the press release issued in connection with the update is furnished as Exhibit 99.1 to this Current Report on Form 8-K.</w:t>
      </w:r>
    </w:p>
    <w:p>
      <w:pPr>
        <w:spacing w:after="0" w:line="1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5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connection with the proposed transaction, the combined company has filed with the Securities and Exchange Commission (the “SEC”) and mailed or otherwise provided to Company’s investors and security holders a registration statement on Form S-4 that contains a joint proxy statement/prospectus (the “Registration Statement”). THE COMPANY’S INVESTORS AND SECURITY HOLDERS ARE URGED TO CAREFULLY READ THE REGISTRATION STATEMENT IN ITS ENTIRETY AND ANY OTHER DOCUMENTS FILED OR THAT WILL BE FILED BY THE COMPANY WITH THE SEC IN CONNECTION WITH THE PROPOSED TRANSACTION OR INCORPORATED BY REFERENCE THEREIN BECAUSE THEY CONTAIN OR WILL CONTAIN IMPORTANT INFORMATION ABOUT THE PROPOSED TRANSACTION AND THE PARTIES TO THE PROPOSED TRANSACTION.</w:t>
      </w:r>
    </w:p>
    <w:p>
      <w:pPr>
        <w:spacing w:after="0" w:line="2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a free copy of the Registration Statement and other documents that the combined company files with the SEC (when available) from the SEC’s website at www.sec.gov or at investors.barinthusbio.com.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4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Clywedog Therapeutics Inc. (“Clywedog”), the Company and their respective directors, executive officers, other members of management, certain employees and other persons may be deemed to be participants in the solicitation of proxies from the security holders of the Company in connection with the proposed transaction. Security holders may obtain information regarding the names, affiliations and interests of the Company’s directors and executive officers in the Registration Statement. To the extent holdings of the Company’s securities by the Company’s directors and executive officers have changed since the amounts set forth in the Registration Statement , such changes have been or will be reflected on subsequent Statements of Changes in Beneficial Ownership on Form 4 filed with the SEC. Additional information regarding the interests of such individuals in the proposed transaction is included in the Registration Statement. These documents (when available) may be obtained free of charge from the SEC’s website at www.sec.gov and the Company’s website at investors.barinthusbio.com.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20"/>
        <w:spacing w:after="0" w:line="250" w:lineRule="auto"/>
        <w:rPr>
          <w:sz w:val="20"/>
          <w:szCs w:val="20"/>
          <w:color w:val="auto"/>
        </w:rPr>
      </w:pPr>
      <w:r>
        <w:rPr>
          <w:rFonts w:ascii="Times New Roman" w:cs="Times New Roman" w:eastAsia="Times New Roman" w:hAnsi="Times New Roman"/>
          <w:sz w:val="18"/>
          <w:szCs w:val="18"/>
          <w:color w:val="auto"/>
        </w:rPr>
        <w:t>This press release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7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0000EE"/>
              </w:rPr>
              <w:t>Press Release dated April 30,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spacing w:after="0"/>
              <w:rPr>
                <w:sz w:val="24"/>
                <w:szCs w:val="24"/>
                <w:color w:val="auto"/>
              </w:rPr>
            </w:pPr>
          </w:p>
        </w:tc>
        <w:tc>
          <w:tcPr>
            <w:tcW w:w="97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Barinthus Biotherapeutics plc</w:t>
      </w:r>
    </w:p>
    <w:p>
      <w:pPr>
        <w:spacing w:after="0" w:line="320" w:lineRule="exact"/>
        <w:rPr>
          <w:sz w:val="20"/>
          <w:szCs w:val="20"/>
          <w:color w:val="auto"/>
        </w:rPr>
      </w:pPr>
    </w:p>
    <w:p>
      <w:pPr>
        <w:ind w:left="20"/>
        <w:spacing w:after="0"/>
        <w:tabs>
          <w:tab w:leader="none" w:pos="5560" w:val="left"/>
          <w:tab w:leader="none" w:pos="63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William Enright</w:t>
      </w:r>
    </w:p>
    <w:p>
      <w:pPr>
        <w:spacing w:after="0" w:line="5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03"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218567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85670" cy="7372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Barinthus Bio Reports First Quarter 2026 Financial Results and Updates on Corporate Developments</w:t>
      </w:r>
    </w:p>
    <w:p>
      <w:pPr>
        <w:spacing w:after="0" w:line="227" w:lineRule="exact"/>
        <w:rPr>
          <w:sz w:val="20"/>
          <w:szCs w:val="20"/>
          <w:color w:val="auto"/>
        </w:rPr>
      </w:pPr>
    </w:p>
    <w:p>
      <w:pPr>
        <w:ind w:left="660" w:hanging="328"/>
        <w:spacing w:after="0" w:line="239"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Proposed combination with Clywedog Therapeutics Inc. (“Clywedog”) progressing towards closing which will result in a differentiated company focusing on metabolic and autoimmune pipeline assets with multiple important clinical development milestones in the 18 months after closing</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Multiple ascending dose part of the Phase 1 AVALON trial of VTP-1000 in celiac disease patients is progressing; data expected in the second half of 2026</w:t>
      </w:r>
    </w:p>
    <w:p>
      <w:pPr>
        <w:spacing w:after="0" w:line="19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GERMANTOWN, Maryland, April 30, 2026 (GLOBE NEWSWIRE) – Barinthus Biotherapeutics plc (NASDAQ: BRNS) (“Barinthus Bio,” or the “Company”), today announced its financial results for the quarter ended March 31, 2026, and provided an overview of the Company’s corporate developments. Barinthus Bio is an immunology and inflammation (“I&amp;I”) company focused on developing therapies that promote immune tolerance with curative potential.</w:t>
      </w:r>
    </w:p>
    <w:p>
      <w:pPr>
        <w:spacing w:after="0" w:line="2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we complete the first quarter of 2026, our focus remains on advancing the proposed combination with Clywedog, which we believe represents a transformative opportunity for Barinthus Bio by creating a compelling and differentiated pipeline focused on autoimmune and metabolic diseases,” said Bill Enright, Chief Executive Officer of Barinthus Bio. "Throughout the first quarter, we continued to advance the activities necessary to complete the transaction, while also preparing for a seamless integration following closing. At the same time, our major focus is to progress the ongoing clinical development of our core asset, VTP-1000, in celiac disease. With encouraging single ascending dose data in hand from the Phase I AVALON trial and multiple ascending dose data expected in the second half of 2026, we see a clear opportunity for VTP-1000 to deliver near-term clinical milestones and to contribute to long-term shareholder value for the combined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Developments</w:t>
      </w:r>
    </w:p>
    <w:p>
      <w:pPr>
        <w:spacing w:after="0" w:line="256" w:lineRule="exact"/>
        <w:rPr>
          <w:sz w:val="20"/>
          <w:szCs w:val="20"/>
          <w:color w:val="auto"/>
        </w:rPr>
      </w:pPr>
    </w:p>
    <w:p>
      <w:pPr>
        <w:ind w:left="660" w:right="5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 Swirsky, seasoned biotechnology executive with public company CFO experience, has been appointed to serve as the Chief Financial Officer effective May 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Celiac Disease (VTP-1000):</w:t>
      </w:r>
    </w:p>
    <w:p>
      <w:pPr>
        <w:spacing w:after="0" w:line="29" w:lineRule="exact"/>
        <w:rPr>
          <w:sz w:val="20"/>
          <w:szCs w:val="20"/>
          <w:color w:val="auto"/>
        </w:rPr>
      </w:pPr>
    </w:p>
    <w:p>
      <w:pPr>
        <w:ind w:left="660" w:right="18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multiple ascending dose portion of the Phase 1 AVALON clinical trial, which includes a gluten challenge following three doses of test medication, is expected in the second half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8" w:lineRule="exact"/>
        <w:rPr>
          <w:sz w:val="20"/>
          <w:szCs w:val="20"/>
          <w:color w:val="auto"/>
        </w:rPr>
      </w:pPr>
    </w:p>
    <w:p>
      <w:pPr>
        <w:ind w:left="660" w:right="4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Barinthus Bio expects to complete the merger with Clywedog mid-2026. Upon the closing of the transaction, the combined company will be renamed “Clywedog Therapeutics Holdings, Inc.” and is expected to trade on the NASDAQ under the new ticker symbol “CLYD.” The combined company's estimated cash runway is expected to extend through 2027, supported by existing cash and additional investments by OrbiMed and TPAV, LLC, both existing shareholders in Clywedog, and new investors.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39" w:lineRule="exact"/>
        <w:rPr>
          <w:sz w:val="20"/>
          <w:szCs w:val="20"/>
          <w:color w:val="auto"/>
        </w:rPr>
      </w:pPr>
    </w:p>
    <w:p>
      <w:pPr>
        <w:ind w:left="660" w:hanging="328"/>
        <w:spacing w:after="0" w:line="23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As of March 31, 2026, cash, cash equivalents and restricted cash were $67.2 million, compared to $71.9 million as of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$4.7 million decrease was a result of the net cash used in operating activities of which $3.4 million was used for the development of the Company's pipeline and general corporate expenses, and a $1.4 million translational loss from the conversion of balances in pound sterling denominated entities to the United States dollar reporting currency. Based on standalone research and development plans, the Company expects its available resources to fund its operating expenses and capital expenditure requirements for at least the next 12 months from the date of issuance of the financial statements.</w:t>
      </w:r>
    </w:p>
    <w:p>
      <w:pPr>
        <w:spacing w:after="0" w:line="167"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were $3.6 million for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$8.3 million for the three months ended March 31, 2025. The decrease was primarily attributable to reduced activity in the Barinthus legacy asset clinical programs and the reduction in</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workforce. The quarter-on-quarter research and development expenses are outlined in the following table, with the expense primarily attributable to the continued progression of the Phase 1 AVALON clinical trial of VTP-1000 in celiac disease, and the reduced activity on legacy assets in infectious disease and oncology. It is anticipated that research and development expenses related to the Barinthus legacy assets in infectious disease and oncology will continue to decrease going forward as the clinical trials complete, and that research and development expenses related to autoimmune program will continue at current levels or increase, as the clinical development continues.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3"/>
                <w:szCs w:val="13"/>
                <w:color w:val="auto"/>
              </w:rPr>
            </w:pPr>
          </w:p>
        </w:tc>
        <w:tc>
          <w:tcPr>
            <w:tcW w:w="12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VTP-1000 Celiac</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Barinthus legacy assets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Facility related</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indirect costs</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8"/>
        <w:spacing w:after="0" w:line="250" w:lineRule="auto"/>
        <w:tabs>
          <w:tab w:leader="none" w:pos="61"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 NSCLC, VTP-500 MERS and other and earlier stage programs.</w:t>
      </w:r>
    </w:p>
    <w:p>
      <w:pPr>
        <w:spacing w:after="0" w:line="306" w:lineRule="exact"/>
        <w:rPr>
          <w:rFonts w:ascii="Times New Roman" w:cs="Times New Roman" w:eastAsia="Times New Roman" w:hAnsi="Times New Roman"/>
          <w:sz w:val="15"/>
          <w:szCs w:val="15"/>
          <w:color w:val="auto"/>
          <w:vertAlign w:val="superscript"/>
        </w:rPr>
      </w:pPr>
    </w:p>
    <w:p>
      <w:pPr>
        <w:ind w:left="660" w:right="240" w:hanging="328"/>
        <w:spacing w:after="0" w:line="282" w:lineRule="auto"/>
        <w:tabs>
          <w:tab w:leader="none" w:pos="65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General and Administrative Expenses: </w:t>
      </w:r>
      <w:r>
        <w:rPr>
          <w:rFonts w:ascii="Times New Roman" w:cs="Times New Roman" w:eastAsia="Times New Roman" w:hAnsi="Times New Roman"/>
          <w:sz w:val="17"/>
          <w:szCs w:val="17"/>
          <w:color w:val="auto"/>
        </w:rPr>
        <w:t>General and administrative expenses were $2.5 million in the first quarter of 2026, compared to $12.6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in 2025. The decrease of $10.1 million related primarily to an decrease in unrealized losses on foreign exchange driven mainly by translation of United States dollar balances in pound sterling denominated entities and an increase in professional fees attributable to strategic activity, partially offset by decreases in personnel-related expenses and other costs following the strategic prioritization in the prior year.</w:t>
      </w:r>
    </w:p>
    <w:p>
      <w:pPr>
        <w:spacing w:after="0" w:line="134" w:lineRule="exact"/>
        <w:rPr>
          <w:rFonts w:ascii="Times New Roman" w:cs="Times New Roman" w:eastAsia="Times New Roman" w:hAnsi="Times New Roman"/>
          <w:sz w:val="17"/>
          <w:szCs w:val="17"/>
          <w:color w:val="auto"/>
        </w:rPr>
      </w:pPr>
    </w:p>
    <w:p>
      <w:pPr>
        <w:jc w:val="both"/>
        <w:ind w:left="660" w:right="240" w:hanging="328"/>
        <w:spacing w:after="0" w:line="268" w:lineRule="auto"/>
        <w:tabs>
          <w:tab w:leader="none" w:pos="65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first quarter of 2026, the Company generated a net loss attributable to its shareholders of $5.5 million, or $(0.14) per share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basic and fully diluted bases, compared to a net loss attributable to its shareholders of $19.6 million, or $(0.49) per share on both basic and fully diluted bases for the first quarter of 2025.</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Barinthus Bio</w:t>
      </w:r>
    </w:p>
    <w:p>
      <w:pPr>
        <w:spacing w:after="0" w:line="4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Barinthus Biotherapeutics (NASDAQ: BRNS) is a clinical-stage biopharmaceutical company developing novel immunotherapeutic candidates designed to guide the immune system to overcome autoimmunity and chronic infectious diseases. Helping people and their families living with serious diseases is the guiding principle at the heart of Barinthus Bio. With a focused pipeline built around its proprietary platform technologies, Barinthus Bio is advancing immunotherapeutic product candidates in autoimmunity including: VTP-1000, which utilizes the Company's SNAP-Tolerance Immunotherapy (SNAP-TI) platform and is designed to treat people with celiac disease. Barinthus Bio’s differentiated technology platform and therapeutic approach, coupled with deep scientific expertise and focus on clinical development, positions the Company to navigate towards delivering treatments that improve the lives of people with autoimmunity. For more information, visit www.barinthusbio.com.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Barinthus Bio within the meaning of the Private Securities Litigation Reform Act of 1995, as amended, which can generally be identified as such by use of the words “may,” “will,” “plan,” “forward,” “encouraging,” “believe,” “potential,” “expect,” and similar expressions, although not all forward-looking statements contain these identifying words. These forward-looking statements include, without limitation, express or implied statements regarding future expectations, plans and prospects, including product development activities and clinical trials, including timing for readouts of any preliminary, interim or final data for any of our programs, the Company’s cash runway and cash burn, the Company’s ability to develop and advance current and future product candidates and programs,the Company’s ability to establish and maintain collaborations or strategic relationships, the proposed transaction with Clywedog, the expected timing of the closing of the proposed transaction, the ability of the parties to complete the proposed transaction considering the various closing conditions, the expected benefits of the proposed transaction, the competitive ability and position of the combined company after completion of the proposed transaction, the anticipated impact of the proposed transaction</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on the combined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business and future financial and operating results, including without limitation the expected cash runway of the combined company, and the expected or estimated amount, achievability, sources, impact and timing of cost synergies and revenue, growth, operational enhancement, expansion and other value creation opportunities from the proposed transaction. Any forward-looking statements in this press release are based on management’s current expectations and beliefs and are subject to numerous risks, uncertainties and important factors that may cause actual events or results to differ materially from those expressed or implied by any forward-looking statements contained in this press release, including, without limitation, risks and uncertainties related to the success, cost and timing of the Company’s pipeline development activities and planned and ongoing clinical trials, including the risk that the timing for preliminary, interim or final data or initiation of clinical trials may be delayed, the risk that interim or topline data may not reflect final data or results, the Company’s ability to execute on strategy, regulatory developments, the risk that the Company may not achieve the anticipated benefits of our pipeline prioritization and corporate restructuring, the Company’s ability to fund its operations and access capital, the Company’s cash runway, including the risk that the estimate of the cash runway may be incorrect, the risk that the proposed transaction may not be completed in a timely manner or at all, which may adversely affect our business and the price of our securities, the risk that that the proposed transaction</w:t>
      </w:r>
    </w:p>
    <w:p>
      <w:pPr>
        <w:spacing w:after="0" w:line="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may involve unexpected costs, liabilities or delays, or divert management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attention from our ongoing business operations, the risk of any legal proceedings related to the proposed transaction or otherwise, or the impact of the proposed transaction thereupon, the risk that the anticipated benefits of the proposed transaction may otherwise not be fully realized or may take longer to realize than expected, risks relating to the value of the combined company securities to be issued in the proposed transaction, the risks associated with global economic uncertainty, including disruptions in the banking industry, the conflicts in Ukraine, Iran, Israel and Gaza, the disruptions in U.S. federal government operations, tariffs imposed by the U.S. and other countries, and the other risks identified in the Company’s filings with the Securities and Exchange Commission (the “SEC”), including the Company’s most recent annual report on Form 10-K and subsequent filings the Company may make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the combined company has filed with the SEC and mailed or otherwise provided to Barinthus Bio's investors and security holders a registration statement on Form S-4 that contains a joint proxy statement/prospectus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Registration Statement”). BARINTHUS BIO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INVESTORS AND SECURITY HOLDERS</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ARE URGED TO CAREFULLY READ THE REGISTRATION STATEMENT IN ITS ENTIRETY AND ANY OTHER DOCUMENTS FILED OR THAT WILL BE FILED BY BARINTHUS BIO WITH THE SEC IN CONNECTION WITH THE PROPOSED TRANSACTION OR INCORPORATED BY REFERENCE THEREIN BECAUSE THEY CONTAIN OR WILL CONTAIN IMPORTANT INFORMATION ABOUT THE PROPOSED TRANSACTION AND THE PARTIES TO THE PROPOSED TRANSACTION.</w:t>
      </w:r>
    </w:p>
    <w:p>
      <w:pPr>
        <w:spacing w:after="0" w:line="198"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Investors and security holders may obtain a free copy of the Registration Statement and other documents that the combined company files with the SEC (when available) from the SEC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website at www.sec.gov or at investors.barinthusbio.com.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0"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This press release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and otherwise in accordance with applicable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0"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7"/>
          <w:szCs w:val="17"/>
          <w:color w:val="auto"/>
        </w:rPr>
        <w:t>Clywedog, Barinthus Bio and their respective directors, executive officers, other members of management, certain employees and other persons may be deemed to be participants in the solicitation of proxies from the security holders of Barinthus Bio in connection with the proposed transaction. Security</w:t>
      </w:r>
    </w:p>
    <w:p>
      <w:pPr>
        <w:spacing w:after="0" w:line="228" w:lineRule="auto"/>
        <w:rPr>
          <w:sz w:val="20"/>
          <w:szCs w:val="20"/>
          <w:color w:val="auto"/>
        </w:rPr>
      </w:pPr>
      <w:r>
        <w:rPr>
          <w:rFonts w:ascii="Times New Roman" w:cs="Times New Roman" w:eastAsia="Times New Roman" w:hAnsi="Times New Roman"/>
          <w:sz w:val="18"/>
          <w:szCs w:val="18"/>
          <w:color w:val="auto"/>
        </w:rPr>
        <w:t>holders may obtain information regarding the names, affiliations and interests of Barinthus Bio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directors and executive officers in Registration Statement.</w:t>
      </w:r>
    </w:p>
    <w:p>
      <w:pPr>
        <w:ind w:right="240"/>
        <w:spacing w:after="0" w:line="232" w:lineRule="auto"/>
        <w:rPr>
          <w:sz w:val="20"/>
          <w:szCs w:val="20"/>
          <w:color w:val="auto"/>
        </w:rPr>
      </w:pPr>
      <w:r>
        <w:rPr>
          <w:rFonts w:ascii="Times New Roman" w:cs="Times New Roman" w:eastAsia="Times New Roman" w:hAnsi="Times New Roman"/>
          <w:sz w:val="18"/>
          <w:szCs w:val="18"/>
          <w:color w:val="auto"/>
        </w:rPr>
        <w:t>To the extent holdings of Barinthus Bio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securities by Barinthus Bio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directors and executive officers have changed since the amounts set forth in the Registration Statement, such changes have been or will be reflected on subsequent Statements of Changes in Beneficial Ownership on Form 4 filed with the SEC. Additional information regarding the interests of such individuals in the proposed transaction is included in the Registration Statement. These documents (when available) may be obtained free of charge from the SEC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s website at </w:t>
      </w:r>
      <w:r>
        <w:rPr>
          <w:rFonts w:ascii="Times New Roman" w:cs="Times New Roman" w:eastAsia="Times New Roman" w:hAnsi="Times New Roman"/>
          <w:sz w:val="21"/>
          <w:szCs w:val="21"/>
          <w:color w:val="0000FF"/>
        </w:rPr>
        <w:t>www.sec.gov</w:t>
      </w:r>
      <w:r>
        <w:rPr>
          <w:rFonts w:ascii="Times New Roman" w:cs="Times New Roman" w:eastAsia="Times New Roman" w:hAnsi="Times New Roman"/>
          <w:sz w:val="18"/>
          <w:szCs w:val="18"/>
          <w:color w:val="auto"/>
        </w:rPr>
        <w:t xml:space="preserve"> and Barinthus Bio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website at investors.barinthusbio.com.</w:t>
      </w:r>
    </w:p>
    <w:p>
      <w:pPr>
        <w:sectPr>
          <w:pgSz w:w="11900" w:h="16838" w:orient="portrait"/>
          <w:cols w:equalWidth="0" w:num="1">
            <w:col w:w="11220"/>
          </w:cols>
          <w:pgMar w:left="320" w:top="1440" w:right="35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40" w:type="dxa"/>
            <w:vAlign w:val="bottom"/>
          </w:tcPr>
          <w:p>
            <w:pPr>
              <w:spacing w:after="0"/>
              <w:rPr>
                <w:sz w:val="16"/>
                <w:szCs w:val="16"/>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5"/>
        </w:trPr>
        <w:tc>
          <w:tcPr>
            <w:tcW w:w="7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72,664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assets, net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Ordinary shares, £0.000025 nominal value; 40,848,893 shares authorized, issued and outstanding</w:t>
            </w:r>
          </w:p>
        </w:tc>
        <w:tc>
          <w:tcPr>
            <w:tcW w:w="3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2025: authorized, issued and outstanding: 40,848,893)</w:t>
            </w:r>
          </w:p>
        </w:tc>
        <w:tc>
          <w:tcPr>
            <w:tcW w:w="3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A shares, £1 nominal value; 63,443 shares authorized, issued and outstanding (December 31, 2025:</w:t>
            </w:r>
          </w:p>
        </w:tc>
        <w:tc>
          <w:tcPr>
            <w:tcW w:w="3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issued and outstanding: 63,443)</w:t>
            </w:r>
          </w:p>
        </w:tc>
        <w:tc>
          <w:tcPr>
            <w:tcW w:w="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393,944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 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stockholders’ equity attributable to Barinthus Biotherapeutics plc shareholders</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92,143</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320" w:top="927" w:right="47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31" w:lineRule="exact"/>
        <w:rPr>
          <w:sz w:val="20"/>
          <w:szCs w:val="20"/>
          <w:color w:val="auto"/>
        </w:rPr>
      </w:pPr>
    </w:p>
    <w:p>
      <w:pPr>
        <w:jc w:val="center"/>
        <w:ind w:left="500" w:right="204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 THOUSANDS, EXCEPT NUMBER OF SHARES AND PER SHARE AMOUNTS)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7"/>
                <w:szCs w:val="17"/>
                <w:color w:val="auto"/>
              </w:rPr>
            </w:pPr>
          </w:p>
        </w:tc>
        <w:tc>
          <w:tcPr>
            <w:tcW w:w="15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31"/>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w:t>
            </w:r>
          </w:p>
        </w:tc>
        <w:tc>
          <w:tcPr>
            <w:tcW w:w="0" w:type="dxa"/>
            <w:vAlign w:val="bottom"/>
          </w:tcPr>
          <w:p>
            <w:pPr>
              <w:spacing w:after="0"/>
              <w:rPr>
                <w:sz w:val="1"/>
                <w:szCs w:val="1"/>
                <w:color w:val="auto"/>
              </w:rPr>
            </w:pPr>
          </w:p>
        </w:tc>
      </w:tr>
      <w:tr>
        <w:trPr>
          <w:trHeight w:val="204"/>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income/(expense)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(20,600)</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income/(expense):</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 incentives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4"/>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net</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Barinthus Biotherapeutics plc shareholders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ordinary shares outstanding, basic</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40,848,893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40,265,216</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ordinary shares outstanding, diluted</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40,848,893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40,265,216</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2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(loss)/gain – 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Barinthus Biotherapeutics plc shareholders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103"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ir@barinthusbio.com</w:t>
      </w:r>
    </w:p>
    <w:sectPr>
      <w:pgSz w:w="11900" w:h="16838" w:orient="portrait"/>
      <w:cols w:equalWidth="0" w:num="1">
        <w:col w:w="10139"/>
      </w:cols>
      <w:pgMar w:left="320" w:top="11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2026-04-30T06:34:14Z</dcterms:created>
  <dcterms:modified xsi:type="dcterms:W3CDTF">2026-04-30T06:34:14Z</dcterms:modified>
</cp:coreProperties>
</file>