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410210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434975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 One</w:t>
      </w:r>
      <w:r>
        <w:rPr>
          <w:rFonts w:ascii="Times New Roman" w:cs="Times New Roman" w:eastAsia="Times New Roman" w:hAnsi="Times New Roman"/>
          <w:sz w:val="15"/>
          <w:szCs w:val="15"/>
          <w:color w:val="auto"/>
        </w:rPr>
        <w:t>)</w:t>
      </w:r>
    </w:p>
    <w:p>
      <w:pPr>
        <w:spacing w:after="0" w:line="124" w:lineRule="exact"/>
        <w:rPr>
          <w:sz w:val="24"/>
          <w:szCs w:val="24"/>
          <w:color w:val="auto"/>
        </w:rPr>
      </w:pPr>
    </w:p>
    <w:p>
      <w:pPr>
        <w:ind w:left="400" w:hanging="397"/>
        <w:spacing w:after="0"/>
        <w:tabs>
          <w:tab w:leader="none" w:pos="40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QUARTERLY REPORT PURSUANT TO SECTION 13 OR 15</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OF THE SECURITIES EXCHANGE ACT OF 1934</w:t>
      </w:r>
    </w:p>
    <w:p>
      <w:pPr>
        <w:spacing w:after="0" w:line="111" w:lineRule="exact"/>
        <w:rPr>
          <w:rFonts w:ascii="Wingdings" w:cs="Wingdings" w:eastAsia="Wingdings" w:hAnsi="Wingdings"/>
          <w:sz w:val="15"/>
          <w:szCs w:val="15"/>
          <w:b w:val="1"/>
          <w:bCs w:val="1"/>
          <w:color w:val="auto"/>
        </w:rPr>
      </w:pPr>
    </w:p>
    <w:p>
      <w:pPr>
        <w:ind w:left="4060"/>
        <w:spacing w:after="0"/>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For the quarterly period ended March 31, 2026</w:t>
      </w:r>
    </w:p>
    <w:p>
      <w:pPr>
        <w:spacing w:after="0" w:line="200" w:lineRule="exact"/>
        <w:rPr>
          <w:sz w:val="24"/>
          <w:szCs w:val="24"/>
          <w:color w:val="auto"/>
        </w:rPr>
      </w:pPr>
    </w:p>
    <w:p>
      <w:pPr>
        <w:spacing w:after="0" w:line="208" w:lineRule="exact"/>
        <w:rPr>
          <w:sz w:val="24"/>
          <w:szCs w:val="24"/>
          <w:color w:val="auto"/>
        </w:rPr>
      </w:pPr>
    </w:p>
    <w:p>
      <w:pPr>
        <w:ind w:left="400" w:hanging="397"/>
        <w:spacing w:after="0"/>
        <w:tabs>
          <w:tab w:leader="none" w:pos="400" w:val="left"/>
        </w:tabs>
        <w:numPr>
          <w:ilvl w:val="0"/>
          <w:numId w:val="2"/>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TRANSITION REPORT PURSUANT TO SECTION 13 OR 15</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OF THE SECURITIES EXCHANGE ACT OF 1934</w:t>
      </w:r>
    </w:p>
    <w:p>
      <w:pPr>
        <w:spacing w:after="0" w:line="111" w:lineRule="exact"/>
        <w:rPr>
          <w:rFonts w:ascii="Wingdings" w:cs="Wingdings" w:eastAsia="Wingdings" w:hAnsi="Wingdings"/>
          <w:sz w:val="15"/>
          <w:szCs w:val="15"/>
          <w:b w:val="1"/>
          <w:bCs w:val="1"/>
          <w:color w:val="auto"/>
        </w:rPr>
      </w:pPr>
    </w:p>
    <w:p>
      <w:pPr>
        <w:ind w:left="3900"/>
        <w:spacing w:after="0"/>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For the transition period from ________to ________</w:t>
      </w:r>
    </w:p>
    <w:p>
      <w:pPr>
        <w:spacing w:after="0" w:line="124" w:lineRule="exact"/>
        <w:rPr>
          <w:rFonts w:ascii="Wingdings" w:cs="Wingdings" w:eastAsia="Wingdings" w:hAnsi="Wingdings"/>
          <w:sz w:val="15"/>
          <w:szCs w:val="15"/>
          <w:b w:val="1"/>
          <w:bCs w:val="1"/>
          <w:color w:val="auto"/>
        </w:rPr>
      </w:pPr>
    </w:p>
    <w:p>
      <w:pPr>
        <w:ind w:left="4400"/>
        <w:spacing w:after="0"/>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Commission File Number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001-40367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BARINTHUS BIOTHERAPEUTICS PLC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Exact Name of Registrant as Specified in its Charter</w:t>
      </w:r>
      <w:r>
        <w:rPr>
          <w:rFonts w:ascii="Times New Roman" w:cs="Times New Roman" w:eastAsia="Times New Roman" w:hAnsi="Times New Roman"/>
          <w:sz w:val="15"/>
          <w:szCs w:val="15"/>
          <w:color w:val="auto"/>
        </w:rPr>
        <w: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2120" w:type="dxa"/>
            <w:vAlign w:val="bottom"/>
          </w:tcPr>
          <w:p>
            <w:pPr>
              <w:spacing w:after="0"/>
              <w:rPr>
                <w:sz w:val="20"/>
                <w:szCs w:val="20"/>
                <w:color w:val="auto"/>
              </w:rPr>
            </w:pPr>
          </w:p>
        </w:tc>
        <w:tc>
          <w:tcPr>
            <w:tcW w:w="5400" w:type="dxa"/>
            <w:vAlign w:val="bottom"/>
            <w:gridSpan w:val="3"/>
          </w:tcPr>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England and Wales</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tc>
      </w:tr>
      <w:tr>
        <w:trPr>
          <w:trHeight w:val="175"/>
        </w:trPr>
        <w:tc>
          <w:tcPr>
            <w:tcW w:w="2120" w:type="dxa"/>
            <w:vAlign w:val="bottom"/>
          </w:tcPr>
          <w:p>
            <w:pPr>
              <w:spacing w:after="0"/>
              <w:rPr>
                <w:sz w:val="15"/>
                <w:szCs w:val="15"/>
                <w:color w:val="auto"/>
              </w:rPr>
            </w:pPr>
          </w:p>
        </w:tc>
        <w:tc>
          <w:tcPr>
            <w:tcW w:w="5400" w:type="dxa"/>
            <w:vAlign w:val="bottom"/>
            <w:gridSpan w:val="3"/>
          </w:tcPr>
          <w:p>
            <w:pPr>
              <w:jc w:val="center"/>
              <w:ind w:right="2060"/>
              <w:spacing w:after="0" w:line="175"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37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7"/>
        </w:trPr>
        <w:tc>
          <w:tcPr>
            <w:tcW w:w="2120" w:type="dxa"/>
            <w:vAlign w:val="bottom"/>
          </w:tcPr>
          <w:p>
            <w:pPr>
              <w:spacing w:after="0"/>
              <w:rPr>
                <w:sz w:val="19"/>
                <w:szCs w:val="19"/>
                <w:color w:val="auto"/>
              </w:rPr>
            </w:pPr>
          </w:p>
        </w:tc>
        <w:tc>
          <w:tcPr>
            <w:tcW w:w="5400" w:type="dxa"/>
            <w:vAlign w:val="bottom"/>
            <w:gridSpan w:val="3"/>
          </w:tcPr>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204"/>
        </w:trPr>
        <w:tc>
          <w:tcPr>
            <w:tcW w:w="2120" w:type="dxa"/>
            <w:vAlign w:val="bottom"/>
          </w:tcPr>
          <w:p>
            <w:pPr>
              <w:spacing w:after="0"/>
              <w:rPr>
                <w:sz w:val="17"/>
                <w:szCs w:val="17"/>
                <w:color w:val="auto"/>
              </w:rPr>
            </w:pPr>
          </w:p>
        </w:tc>
        <w:tc>
          <w:tcPr>
            <w:tcW w:w="5400" w:type="dxa"/>
            <w:vAlign w:val="bottom"/>
            <w:gridSpan w:val="3"/>
          </w:tcPr>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20400 Century Blvd, Suite 210,</w:t>
            </w:r>
          </w:p>
        </w:tc>
        <w:tc>
          <w:tcPr>
            <w:tcW w:w="3720" w:type="dxa"/>
            <w:vAlign w:val="bottom"/>
          </w:tcPr>
          <w:p>
            <w:pPr>
              <w:spacing w:after="0"/>
              <w:rPr>
                <w:sz w:val="17"/>
                <w:szCs w:val="17"/>
                <w:color w:val="auto"/>
              </w:rPr>
            </w:pPr>
          </w:p>
        </w:tc>
      </w:tr>
      <w:tr>
        <w:trPr>
          <w:trHeight w:val="240"/>
        </w:trPr>
        <w:tc>
          <w:tcPr>
            <w:tcW w:w="2120" w:type="dxa"/>
            <w:vAlign w:val="bottom"/>
          </w:tcPr>
          <w:p>
            <w:pPr>
              <w:spacing w:after="0"/>
              <w:rPr>
                <w:sz w:val="20"/>
                <w:szCs w:val="20"/>
                <w:color w:val="auto"/>
              </w:rPr>
            </w:pPr>
          </w:p>
        </w:tc>
        <w:tc>
          <w:tcPr>
            <w:tcW w:w="5400" w:type="dxa"/>
            <w:vAlign w:val="bottom"/>
            <w:gridSpan w:val="3"/>
          </w:tcPr>
          <w:p>
            <w:pPr>
              <w:jc w:val="center"/>
              <w:ind w:right="2060"/>
              <w:spacing w:after="0"/>
              <w:rPr>
                <w:sz w:val="20"/>
                <w:szCs w:val="20"/>
                <w:color w:val="auto"/>
              </w:rPr>
            </w:pPr>
            <w:r>
              <w:rPr>
                <w:rFonts w:ascii="Times New Roman" w:cs="Times New Roman" w:eastAsia="Times New Roman" w:hAnsi="Times New Roman"/>
                <w:sz w:val="17"/>
                <w:szCs w:val="17"/>
                <w:b w:val="1"/>
                <w:bCs w:val="1"/>
                <w:color w:val="auto"/>
              </w:rPr>
              <w:t>Germantown, MD</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20874</w:t>
            </w:r>
          </w:p>
        </w:tc>
      </w:tr>
      <w:tr>
        <w:trPr>
          <w:trHeight w:val="232"/>
        </w:trPr>
        <w:tc>
          <w:tcPr>
            <w:tcW w:w="2120" w:type="dxa"/>
            <w:vAlign w:val="bottom"/>
          </w:tcPr>
          <w:p>
            <w:pPr>
              <w:spacing w:after="0"/>
              <w:rPr>
                <w:sz w:val="20"/>
                <w:szCs w:val="20"/>
                <w:color w:val="auto"/>
              </w:rPr>
            </w:pPr>
          </w:p>
        </w:tc>
        <w:tc>
          <w:tcPr>
            <w:tcW w:w="5400" w:type="dxa"/>
            <w:vAlign w:val="bottom"/>
            <w:gridSpan w:val="3"/>
          </w:tcPr>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(Zip Code)</w:t>
            </w:r>
          </w:p>
        </w:tc>
      </w:tr>
      <w:tr>
        <w:trPr>
          <w:trHeight w:val="278"/>
        </w:trPr>
        <w:tc>
          <w:tcPr>
            <w:tcW w:w="2120" w:type="dxa"/>
            <w:vAlign w:val="bottom"/>
          </w:tcPr>
          <w:p>
            <w:pPr>
              <w:spacing w:after="0"/>
              <w:rPr>
                <w:sz w:val="24"/>
                <w:szCs w:val="24"/>
                <w:color w:val="auto"/>
              </w:rPr>
            </w:pPr>
          </w:p>
        </w:tc>
        <w:tc>
          <w:tcPr>
            <w:tcW w:w="9120" w:type="dxa"/>
            <w:vAlign w:val="bottom"/>
            <w:gridSpan w:val="4"/>
          </w:tcPr>
          <w:p>
            <w:pPr>
              <w:jc w:val="center"/>
              <w:ind w:right="2037"/>
              <w:spacing w:after="0"/>
              <w:rPr>
                <w:sz w:val="20"/>
                <w:szCs w:val="20"/>
                <w:color w:val="auto"/>
              </w:rPr>
            </w:pPr>
            <w:r>
              <w:rPr>
                <w:rFonts w:ascii="Times New Roman" w:cs="Times New Roman" w:eastAsia="Times New Roman" w:hAnsi="Times New Roman"/>
                <w:sz w:val="15"/>
                <w:szCs w:val="15"/>
                <w:b w:val="1"/>
                <w:bCs w:val="1"/>
                <w:color w:val="auto"/>
              </w:rPr>
              <w:t>Registrant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 telephone number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including area code</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443 917-0966</w:t>
            </w:r>
          </w:p>
        </w:tc>
      </w:tr>
      <w:tr>
        <w:trPr>
          <w:trHeight w:val="637"/>
        </w:trPr>
        <w:tc>
          <w:tcPr>
            <w:tcW w:w="2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r>
        <w:trPr>
          <w:trHeight w:val="271"/>
        </w:trPr>
        <w:tc>
          <w:tcPr>
            <w:tcW w:w="2120" w:type="dxa"/>
            <w:vAlign w:val="bottom"/>
          </w:tcPr>
          <w:p>
            <w:pPr>
              <w:spacing w:after="0"/>
              <w:rPr>
                <w:sz w:val="23"/>
                <w:szCs w:val="23"/>
                <w:color w:val="auto"/>
              </w:rPr>
            </w:pPr>
          </w:p>
        </w:tc>
        <w:tc>
          <w:tcPr>
            <w:tcW w:w="5400" w:type="dxa"/>
            <w:vAlign w:val="bottom"/>
            <w:gridSpan w:val="3"/>
          </w:tcPr>
          <w:p>
            <w:pPr>
              <w:jc w:val="center"/>
              <w:ind w:left="1536"/>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of the Act</w:t>
            </w:r>
            <w:r>
              <w:rPr>
                <w:rFonts w:ascii="Times New Roman" w:cs="Times New Roman" w:eastAsia="Times New Roman" w:hAnsi="Times New Roman"/>
                <w:sz w:val="15"/>
                <w:szCs w:val="15"/>
                <w:color w:val="auto"/>
              </w:rPr>
              <w:t>:</w:t>
            </w:r>
          </w:p>
        </w:tc>
        <w:tc>
          <w:tcPr>
            <w:tcW w:w="3720" w:type="dxa"/>
            <w:vAlign w:val="bottom"/>
          </w:tcPr>
          <w:p>
            <w:pPr>
              <w:spacing w:after="0"/>
              <w:rPr>
                <w:sz w:val="23"/>
                <w:szCs w:val="23"/>
                <w:color w:val="auto"/>
              </w:rPr>
            </w:pPr>
          </w:p>
        </w:tc>
      </w:tr>
      <w:tr>
        <w:trPr>
          <w:trHeight w:val="70"/>
        </w:trPr>
        <w:tc>
          <w:tcPr>
            <w:tcW w:w="212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r>
      <w:tr>
        <w:trPr>
          <w:trHeight w:val="194"/>
        </w:trPr>
        <w:tc>
          <w:tcPr>
            <w:tcW w:w="2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Title of each class</w:t>
            </w:r>
          </w:p>
        </w:tc>
        <w:tc>
          <w:tcPr>
            <w:tcW w:w="25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Trading Symbol(s)</w:t>
            </w:r>
          </w:p>
        </w:tc>
        <w:tc>
          <w:tcPr>
            <w:tcW w:w="940" w:type="dxa"/>
            <w:vAlign w:val="bottom"/>
          </w:tcPr>
          <w:p>
            <w:pPr>
              <w:spacing w:after="0"/>
              <w:rPr>
                <w:sz w:val="16"/>
                <w:szCs w:val="16"/>
                <w:color w:val="auto"/>
              </w:rPr>
            </w:pPr>
          </w:p>
        </w:tc>
        <w:tc>
          <w:tcPr>
            <w:tcW w:w="3720" w:type="dxa"/>
            <w:vAlign w:val="bottom"/>
            <w:tcBorders>
              <w:right w:val="single" w:sz="8" w:color="auto"/>
            </w:tcBorders>
          </w:tcPr>
          <w:p>
            <w:pPr>
              <w:jc w:val="center"/>
              <w:ind w:right="897"/>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31"/>
        </w:trPr>
        <w:tc>
          <w:tcPr>
            <w:tcW w:w="2120" w:type="dxa"/>
            <w:vAlign w:val="bottom"/>
            <w:tcBorders>
              <w:left w:val="single" w:sz="8" w:color="auto"/>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194"/>
        </w:trPr>
        <w:tc>
          <w:tcPr>
            <w:tcW w:w="2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American Depositary Shares*</w:t>
            </w:r>
          </w:p>
        </w:tc>
        <w:tc>
          <w:tcPr>
            <w:tcW w:w="254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BRNS</w:t>
            </w:r>
          </w:p>
        </w:tc>
        <w:tc>
          <w:tcPr>
            <w:tcW w:w="940" w:type="dxa"/>
            <w:vAlign w:val="bottom"/>
          </w:tcPr>
          <w:p>
            <w:pPr>
              <w:spacing w:after="0"/>
              <w:rPr>
                <w:sz w:val="16"/>
                <w:szCs w:val="16"/>
                <w:color w:val="auto"/>
              </w:rPr>
            </w:pPr>
          </w:p>
        </w:tc>
        <w:tc>
          <w:tcPr>
            <w:tcW w:w="3720" w:type="dxa"/>
            <w:vAlign w:val="bottom"/>
            <w:tcBorders>
              <w:right w:val="single" w:sz="8" w:color="auto"/>
            </w:tcBorders>
          </w:tcPr>
          <w:p>
            <w:pPr>
              <w:jc w:val="center"/>
              <w:ind w:right="877"/>
              <w:spacing w:after="0"/>
              <w:rPr>
                <w:sz w:val="20"/>
                <w:szCs w:val="20"/>
                <w:color w:val="auto"/>
              </w:rPr>
            </w:pPr>
            <w:r>
              <w:rPr>
                <w:rFonts w:ascii="Times New Roman" w:cs="Times New Roman" w:eastAsia="Times New Roman" w:hAnsi="Times New Roman"/>
                <w:sz w:val="15"/>
                <w:szCs w:val="15"/>
                <w:color w:val="auto"/>
              </w:rPr>
              <w:t>The Nasdaq Global Market</w:t>
            </w:r>
          </w:p>
        </w:tc>
      </w:tr>
      <w:tr>
        <w:trPr>
          <w:trHeight w:val="31"/>
        </w:trPr>
        <w:tc>
          <w:tcPr>
            <w:tcW w:w="4660" w:type="dxa"/>
            <w:vAlign w:val="bottom"/>
            <w:tcBorders>
              <w:left w:val="single" w:sz="8" w:color="auto"/>
              <w:bottom w:val="single" w:sz="8" w:color="auto"/>
              <w:right w:val="single" w:sz="8" w:color="auto"/>
            </w:tcBorders>
            <w:gridSpan w:val="2"/>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194"/>
        </w:trPr>
        <w:tc>
          <w:tcPr>
            <w:tcW w:w="466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color w:val="auto"/>
              </w:rPr>
              <w:t>Ordinary shares, nominal value £0.000025 per share**</w:t>
            </w:r>
          </w:p>
        </w:tc>
        <w:tc>
          <w:tcPr>
            <w:tcW w:w="192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31"/>
        </w:trPr>
        <w:tc>
          <w:tcPr>
            <w:tcW w:w="2120" w:type="dxa"/>
            <w:vAlign w:val="bottom"/>
            <w:tcBorders>
              <w:left w:val="single" w:sz="8" w:color="auto"/>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*American Depositary Shares may be evidenced by American Depositary Receipts. Each American Depositary Share represents one (1) ordinary share.</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**Not for trading, but only in connection with the listing of American Depositary Shares on The Nasdaq Global Market.</w:t>
      </w:r>
    </w:p>
    <w:p>
      <w:pPr>
        <w:spacing w:after="0" w:line="72"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right="20"/>
        <w:spacing w:after="0" w:line="29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1440" w:gutter="0" w:footer="0" w:header="0"/>
        </w:sectPr>
      </w:pPr>
    </w:p>
    <w:p>
      <w:pPr>
        <w:spacing w:after="0" w:line="9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auto"/>
        </w:rPr>
        <w:t xml:space="preserve">Large accelerated filer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p>
    <w:p>
      <w:pPr>
        <w:spacing w:after="0" w:line="60" w:lineRule="exact"/>
        <w:rPr>
          <w:sz w:val="24"/>
          <w:szCs w:val="24"/>
          <w:color w:val="auto"/>
        </w:rPr>
      </w:pPr>
    </w:p>
    <w:p>
      <w:pPr>
        <w:sectPr>
          <w:pgSz w:w="11900" w:h="16838" w:orient="portrait"/>
          <w:cols w:equalWidth="0" w:num="2">
            <w:col w:w="4280" w:space="720"/>
            <w:col w:w="6240"/>
          </w:cols>
          <w:pgMar w:left="320" w:top="226"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5"/>
          <w:szCs w:val="15"/>
          <w:color w:val="auto"/>
        </w:rPr>
        <w:t xml:space="preserve">Non-accelerated filer </w:t>
      </w: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x</w:t>
      </w:r>
    </w:p>
    <w:p>
      <w:pPr>
        <w:spacing w:after="0" w:line="60" w:lineRule="exact"/>
        <w:rPr>
          <w:sz w:val="24"/>
          <w:szCs w:val="24"/>
          <w:color w:val="auto"/>
        </w:rPr>
      </w:pPr>
    </w:p>
    <w:p>
      <w:pPr>
        <w:sectPr>
          <w:pgSz w:w="11900" w:h="16838" w:orient="portrait"/>
          <w:cols w:equalWidth="0" w:num="2">
            <w:col w:w="4280" w:space="720"/>
            <w:col w:w="6240"/>
          </w:cols>
          <w:pgMar w:left="320" w:top="226" w:right="339" w:bottom="1440" w:gutter="0" w:footer="0" w:header="0"/>
          <w:type w:val="continuous"/>
        </w:sectPr>
      </w:pPr>
    </w:p>
    <w:p>
      <w:pPr>
        <w:ind w:left="500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x</w:t>
      </w:r>
    </w:p>
    <w:p>
      <w:pPr>
        <w:sectPr>
          <w:pgSz w:w="11900" w:h="16838" w:orient="portrait"/>
          <w:cols w:equalWidth="0" w:num="1">
            <w:col w:w="11240"/>
          </w:cols>
          <w:pgMar w:left="320" w:top="226" w:right="339" w:bottom="1440" w:gutter="0" w:footer="0" w:header="0"/>
          <w:type w:val="continuous"/>
        </w:sectPr>
      </w:pPr>
    </w:p>
    <w:p>
      <w:pPr>
        <w:spacing w:after="0" w:line="188" w:lineRule="exact"/>
        <w:rPr>
          <w:sz w:val="24"/>
          <w:szCs w:val="24"/>
          <w:color w:val="auto"/>
        </w:rPr>
      </w:pPr>
    </w:p>
    <w:p>
      <w:pPr>
        <w:ind w:right="480"/>
        <w:spacing w:after="0" w:line="286"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right="3160"/>
        <w:spacing w:after="0" w:line="378"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As of April 23, 2026, the registrant had 40,848,893 ordinary shares, nominal value £0.000025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607695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40" w:type="dxa"/>
            <w:vAlign w:val="bottom"/>
            <w:gridSpan w:val="4"/>
          </w:tcPr>
          <w:p>
            <w:pPr>
              <w:ind w:left="13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0" w:type="dxa"/>
            <w:vAlign w:val="bottom"/>
          </w:tcPr>
          <w:p>
            <w:pPr>
              <w:spacing w:after="0"/>
              <w:rPr>
                <w:sz w:val="19"/>
                <w:szCs w:val="19"/>
                <w:color w:val="auto"/>
              </w:rPr>
            </w:pPr>
          </w:p>
        </w:tc>
      </w:tr>
      <w:tr>
        <w:trPr>
          <w:trHeight w:val="451"/>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3"/>
        </w:trPr>
        <w:tc>
          <w:tcPr>
            <w:tcW w:w="10420" w:type="dxa"/>
            <w:vAlign w:val="bottom"/>
            <w:gridSpan w:val="17"/>
          </w:tcPr>
          <w:p>
            <w:pPr>
              <w:spacing w:after="0" w:line="173" w:lineRule="exact"/>
              <w:rPr>
                <w:sz w:val="20"/>
                <w:szCs w:val="20"/>
                <w:color w:val="auto"/>
              </w:rPr>
            </w:pPr>
            <w:r>
              <w:rPr>
                <w:rFonts w:ascii="Times New Roman" w:cs="Times New Roman" w:eastAsia="Times New Roman" w:hAnsi="Times New Roman"/>
                <w:sz w:val="17"/>
                <w:szCs w:val="17"/>
                <w:b w:val="1"/>
                <w:bCs w:val="1"/>
                <w:color w:val="0000FF"/>
              </w:rPr>
              <w:t>PART I - FINANCIAL INFORMATION</w:t>
            </w:r>
          </w:p>
        </w:tc>
        <w:tc>
          <w:tcPr>
            <w:tcW w:w="800" w:type="dxa"/>
            <w:vAlign w:val="bottom"/>
          </w:tcPr>
          <w:p>
            <w:pPr>
              <w:jc w:val="right"/>
              <w:spacing w:after="0" w:line="173" w:lineRule="exact"/>
              <w:rPr>
                <w:sz w:val="20"/>
                <w:szCs w:val="20"/>
                <w:color w:val="auto"/>
              </w:rPr>
            </w:pPr>
            <w:r>
              <w:rPr>
                <w:rFonts w:ascii="Times New Roman" w:cs="Times New Roman" w:eastAsia="Times New Roman" w:hAnsi="Times New Roman"/>
                <w:sz w:val="17"/>
                <w:szCs w:val="17"/>
                <w:color w:val="auto"/>
              </w:rPr>
              <w:t>1</w:t>
            </w:r>
          </w:p>
        </w:tc>
      </w:tr>
      <w:tr>
        <w:trPr>
          <w:trHeight w:val="199"/>
        </w:trPr>
        <w:tc>
          <w:tcPr>
            <w:tcW w:w="2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1.</w:t>
            </w:r>
          </w:p>
        </w:tc>
        <w:tc>
          <w:tcPr>
            <w:tcW w:w="580" w:type="dxa"/>
            <w:vAlign w:val="bottom"/>
            <w:tcBorders>
              <w:top w:val="single" w:sz="8" w:color="0000FF"/>
            </w:tcBorders>
            <w:gridSpan w:val="3"/>
          </w:tcPr>
          <w:p>
            <w:pPr>
              <w:spacing w:after="0"/>
              <w:rPr>
                <w:sz w:val="17"/>
                <w:szCs w:val="17"/>
                <w:color w:val="auto"/>
              </w:rPr>
            </w:pPr>
          </w:p>
        </w:tc>
        <w:tc>
          <w:tcPr>
            <w:tcW w:w="16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7440" w:type="dxa"/>
            <w:vAlign w:val="bottom"/>
            <w:gridSpan w:val="6"/>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28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280" w:type="dxa"/>
            <w:vAlign w:val="bottom"/>
          </w:tcPr>
          <w:p>
            <w:pPr>
              <w:spacing w:after="0"/>
              <w:rPr>
                <w:sz w:val="17"/>
                <w:szCs w:val="17"/>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580" w:type="dxa"/>
            <w:vAlign w:val="bottom"/>
            <w:gridSpan w:val="3"/>
          </w:tcPr>
          <w:p>
            <w:pPr>
              <w:spacing w:after="0"/>
              <w:rPr>
                <w:sz w:val="17"/>
                <w:szCs w:val="17"/>
                <w:color w:val="auto"/>
              </w:rPr>
            </w:pPr>
          </w:p>
        </w:tc>
        <w:tc>
          <w:tcPr>
            <w:tcW w:w="61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199"/>
        </w:trPr>
        <w:tc>
          <w:tcPr>
            <w:tcW w:w="2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580" w:type="dxa"/>
            <w:vAlign w:val="bottom"/>
            <w:gridSpan w:val="3"/>
          </w:tcPr>
          <w:p>
            <w:pPr>
              <w:spacing w:after="0"/>
              <w:rPr>
                <w:sz w:val="17"/>
                <w:szCs w:val="17"/>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 About Market Risk</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199"/>
        </w:trPr>
        <w:tc>
          <w:tcPr>
            <w:tcW w:w="28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580" w:type="dxa"/>
            <w:vAlign w:val="bottom"/>
            <w:gridSpan w:val="3"/>
          </w:tcPr>
          <w:p>
            <w:pPr>
              <w:spacing w:after="0"/>
              <w:rPr>
                <w:sz w:val="17"/>
                <w:szCs w:val="17"/>
                <w:color w:val="auto"/>
              </w:rPr>
            </w:pPr>
          </w:p>
        </w:tc>
        <w:tc>
          <w:tcPr>
            <w:tcW w:w="17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400" w:type="dxa"/>
            <w:vAlign w:val="bottom"/>
            <w:tcBorders>
              <w:top w:val="single" w:sz="8" w:color="0000FF"/>
            </w:tcBorders>
            <w:gridSpan w:val="2"/>
          </w:tcPr>
          <w:p>
            <w:pPr>
              <w:spacing w:after="0"/>
              <w:rPr>
                <w:sz w:val="17"/>
                <w:szCs w:val="17"/>
                <w:color w:val="auto"/>
              </w:rPr>
            </w:pPr>
          </w:p>
        </w:tc>
        <w:tc>
          <w:tcPr>
            <w:tcW w:w="4960" w:type="dxa"/>
            <w:vAlign w:val="bottom"/>
            <w:gridSpan w:val="3"/>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199"/>
        </w:trPr>
        <w:tc>
          <w:tcPr>
            <w:tcW w:w="27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b w:val="1"/>
                <w:bCs w:val="1"/>
                <w:color w:val="0000FF"/>
                <w:w w:val="99"/>
              </w:rPr>
              <w:t>PART II - OTHER INFORMATION</w:t>
            </w:r>
          </w:p>
        </w:tc>
        <w:tc>
          <w:tcPr>
            <w:tcW w:w="7720" w:type="dxa"/>
            <w:vAlign w:val="bottom"/>
            <w:gridSpan w:val="8"/>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199"/>
        </w:trPr>
        <w:tc>
          <w:tcPr>
            <w:tcW w:w="2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1.</w:t>
            </w:r>
          </w:p>
        </w:tc>
        <w:tc>
          <w:tcPr>
            <w:tcW w:w="580" w:type="dxa"/>
            <w:vAlign w:val="bottom"/>
            <w:gridSpan w:val="3"/>
          </w:tcPr>
          <w:p>
            <w:pPr>
              <w:spacing w:after="0"/>
              <w:rPr>
                <w:sz w:val="17"/>
                <w:szCs w:val="17"/>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28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28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Item 1A</w:t>
            </w:r>
          </w:p>
        </w:tc>
        <w:tc>
          <w:tcPr>
            <w:tcW w:w="90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2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280" w:type="dxa"/>
            <w:vAlign w:val="bottom"/>
          </w:tcPr>
          <w:p>
            <w:pPr>
              <w:spacing w:after="0"/>
              <w:rPr>
                <w:sz w:val="17"/>
                <w:szCs w:val="17"/>
                <w:color w:val="auto"/>
              </w:rPr>
            </w:pPr>
          </w:p>
        </w:tc>
        <w:tc>
          <w:tcPr>
            <w:tcW w:w="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6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4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900" w:type="dxa"/>
            <w:vAlign w:val="bottom"/>
            <w:gridSpan w:val="2"/>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99"/>
        </w:trPr>
        <w:tc>
          <w:tcPr>
            <w:tcW w:w="2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580" w:type="dxa"/>
            <w:vAlign w:val="bottom"/>
            <w:gridSpan w:val="3"/>
          </w:tcPr>
          <w:p>
            <w:pPr>
              <w:spacing w:after="0"/>
              <w:rPr>
                <w:sz w:val="17"/>
                <w:szCs w:val="17"/>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99"/>
        </w:trPr>
        <w:tc>
          <w:tcPr>
            <w:tcW w:w="28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580" w:type="dxa"/>
            <w:vAlign w:val="bottom"/>
            <w:gridSpan w:val="3"/>
          </w:tcPr>
          <w:p>
            <w:pPr>
              <w:spacing w:after="0"/>
              <w:rPr>
                <w:sz w:val="17"/>
                <w:szCs w:val="17"/>
                <w:color w:val="auto"/>
              </w:rPr>
            </w:pPr>
          </w:p>
        </w:tc>
        <w:tc>
          <w:tcPr>
            <w:tcW w:w="17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20" w:type="dxa"/>
            <w:vAlign w:val="bottom"/>
            <w:tcBorders>
              <w:top w:val="single" w:sz="8" w:color="0000FF"/>
            </w:tcBorders>
          </w:tcPr>
          <w:p>
            <w:pPr>
              <w:spacing w:after="0"/>
              <w:rPr>
                <w:sz w:val="17"/>
                <w:szCs w:val="17"/>
                <w:color w:val="auto"/>
              </w:rPr>
            </w:pPr>
          </w:p>
        </w:tc>
        <w:tc>
          <w:tcPr>
            <w:tcW w:w="6840" w:type="dxa"/>
            <w:vAlign w:val="bottom"/>
            <w:gridSpan w:val="4"/>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99"/>
        </w:trPr>
        <w:tc>
          <w:tcPr>
            <w:tcW w:w="2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5.</w:t>
            </w:r>
          </w:p>
        </w:tc>
        <w:tc>
          <w:tcPr>
            <w:tcW w:w="580" w:type="dxa"/>
            <w:vAlign w:val="bottom"/>
            <w:gridSpan w:val="3"/>
          </w:tcPr>
          <w:p>
            <w:pPr>
              <w:spacing w:after="0"/>
              <w:rPr>
                <w:sz w:val="17"/>
                <w:szCs w:val="17"/>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99"/>
        </w:trPr>
        <w:tc>
          <w:tcPr>
            <w:tcW w:w="280" w:type="dxa"/>
            <w:vAlign w:val="bottom"/>
          </w:tcPr>
          <w:p>
            <w:pPr>
              <w:spacing w:after="0"/>
              <w:rPr>
                <w:sz w:val="17"/>
                <w:szCs w:val="17"/>
                <w:color w:val="auto"/>
              </w:rPr>
            </w:pPr>
          </w:p>
        </w:tc>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5"/>
              </w:rPr>
              <w:t>Item 6.</w:t>
            </w:r>
          </w:p>
        </w:tc>
        <w:tc>
          <w:tcPr>
            <w:tcW w:w="580" w:type="dxa"/>
            <w:vAlign w:val="bottom"/>
            <w:gridSpan w:val="3"/>
          </w:tcPr>
          <w:p>
            <w:pPr>
              <w:spacing w:after="0"/>
              <w:rPr>
                <w:sz w:val="17"/>
                <w:szCs w:val="17"/>
                <w:color w:val="auto"/>
              </w:rPr>
            </w:pPr>
          </w:p>
        </w:tc>
        <w:tc>
          <w:tcPr>
            <w:tcW w:w="5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700" w:type="dxa"/>
            <w:vAlign w:val="bottom"/>
            <w:tcBorders>
              <w:top w:val="single" w:sz="8" w:color="0000FF"/>
            </w:tcBorders>
            <w:gridSpan w:val="2"/>
          </w:tcPr>
          <w:p>
            <w:pPr>
              <w:spacing w:after="0"/>
              <w:rPr>
                <w:sz w:val="17"/>
                <w:szCs w:val="17"/>
                <w:color w:val="auto"/>
              </w:rPr>
            </w:pPr>
          </w:p>
        </w:tc>
        <w:tc>
          <w:tcPr>
            <w:tcW w:w="7780" w:type="dxa"/>
            <w:vAlign w:val="bottom"/>
            <w:gridSpan w:val="9"/>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199"/>
        </w:trPr>
        <w:tc>
          <w:tcPr>
            <w:tcW w:w="13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
        </w:trPr>
        <w:tc>
          <w:tcPr>
            <w:tcW w:w="2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own the registered trademark BARINTHUS in the United Kingdom ("U.K."), and we have filed applications at the U.K. Intellectual Property Office and other intellectual properties to register trademarks for BARINTHUS, SNAP-TI, SNAP-CI and a design logo globally. We also own various trademark registrations and applications, and unregistered trademarks, including the registered trademark VACCITECH, and trademarks relating to the technologies acquired as part of our acquisition of Avidea Technologies, Inc. ("Avidea") in December 2021 including the registered trademarks SNAPVAX and SYNTHOLYTIC. All other trade names, trademarks and service marks of other companies appearing in this Quarterly Report on Form 10-Q, or this Quarterly Report, are the property of their respective holders. Solely for convenience, the trademarks and trade names in this Quarterly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3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we may use our website, our X (formerly known as Twitter) account at @Barinthusbio and our LinkedIn account at linkedin.com/company/barinthus-bio to distribute material information about us and for complying with our disclosure obligations under Regulation FD. Our financial and other material information is routinely posted to and accessible on the Investors section of our website, available at www.barinthusbio.com. Investors are encouraged to review the Investors section of our website because we may post material information on that site that is not otherwise disseminated by us. Information that is contained in and can be accessed through our website, our X (formerly known as Twitter) posts and our LinkedIn posts are not incorporated into, and does not form a part of, this Quarterly Report.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7"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INDEX TO CONDENSED CONSOLIDATED FINANCIAL STATEMENTS (UNAUDITED)</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6360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Condensed Consolidated Balance Sheets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Condensed Consolidated Statements of Operations and Comprehensive Loss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Condensed Consolidated Statements of Changes in Stockholders’ Equity</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Condensed Consolidated Statements of Cash Flows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618490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27940</wp:posOffset>
            </wp:positionV>
            <wp:extent cx="720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F-1</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F-2</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F-3</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F-4</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2">
            <w:col w:w="9780" w:space="720"/>
            <w:col w:w="360"/>
          </w:cols>
          <w:pgMar w:left="320" w:top="123" w:right="7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BARINTHUS BIOTHERAPEUTICS PLC</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(IN THOUSANDS, EXCEPT NUMBER OF SHARES AND PER SHARE AMOUNTS)</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Pr>
          <w:p>
            <w:pPr>
              <w:spacing w:after="0"/>
              <w:rPr>
                <w:sz w:val="13"/>
                <w:szCs w:val="13"/>
                <w:color w:val="auto"/>
              </w:rPr>
            </w:pPr>
          </w:p>
        </w:tc>
        <w:tc>
          <w:tcPr>
            <w:tcW w:w="12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55"/>
        </w:trPr>
        <w:tc>
          <w:tcPr>
            <w:tcW w:w="8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200" w:type="dxa"/>
            <w:vAlign w:val="bottom"/>
          </w:tcPr>
          <w:p>
            <w:pPr>
              <w:spacing w:after="0"/>
              <w:rPr>
                <w:sz w:val="13"/>
                <w:szCs w:val="13"/>
                <w:color w:val="auto"/>
              </w:rPr>
            </w:pPr>
          </w:p>
        </w:tc>
        <w:tc>
          <w:tcPr>
            <w:tcW w:w="1240" w:type="dxa"/>
            <w:vAlign w:val="bottom"/>
          </w:tcPr>
          <w:p>
            <w:pPr>
              <w:jc w:val="center"/>
              <w:ind w:right="123"/>
              <w:spacing w:after="0" w:line="15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82"/>
        </w:trPr>
        <w:tc>
          <w:tcPr>
            <w:tcW w:w="8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
        </w:trPr>
        <w:tc>
          <w:tcPr>
            <w:tcW w:w="8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65,858</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70,456</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Restricted cash</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1,396</w:t>
            </w: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Research and development incentives receivable</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1,108</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4,243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4,830</w:t>
            </w:r>
          </w:p>
        </w:tc>
        <w:tc>
          <w:tcPr>
            <w:tcW w:w="0" w:type="dxa"/>
            <w:vAlign w:val="bottom"/>
          </w:tcPr>
          <w:p>
            <w:pPr>
              <w:spacing w:after="0"/>
              <w:rPr>
                <w:sz w:val="1"/>
                <w:szCs w:val="1"/>
                <w:color w:val="auto"/>
              </w:rPr>
            </w:pPr>
          </w:p>
        </w:tc>
      </w:tr>
      <w:tr>
        <w:trPr>
          <w:trHeight w:val="19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72,664</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77,790</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3,270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3,523</w:t>
            </w: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Intangible assets, net</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13,666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14,288</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Right of use assets, net</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1,629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1,638</w:t>
            </w: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assets</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930</w:t>
            </w:r>
          </w:p>
        </w:tc>
        <w:tc>
          <w:tcPr>
            <w:tcW w:w="0" w:type="dxa"/>
            <w:vAlign w:val="bottom"/>
          </w:tcPr>
          <w:p>
            <w:pPr>
              <w:spacing w:after="0"/>
              <w:rPr>
                <w:sz w:val="1"/>
                <w:szCs w:val="1"/>
                <w:color w:val="auto"/>
              </w:rPr>
            </w:pPr>
          </w:p>
        </w:tc>
      </w:tr>
      <w:tr>
        <w:trPr>
          <w:trHeight w:val="31"/>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92,143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98,169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993</w:t>
            </w:r>
          </w:p>
        </w:tc>
        <w:tc>
          <w:tcPr>
            <w:tcW w:w="8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350</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8,685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6,249</w:t>
            </w: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income</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1,396</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lease liability - current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2,005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9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12,001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10,018</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Operating lease liability - non-current</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9,003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9,258</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Contingent consideration</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2,956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2,871</w:t>
            </w: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1,468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1,476</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Deferred tax liability,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254</w:t>
            </w:r>
          </w:p>
        </w:tc>
        <w:tc>
          <w:tcPr>
            <w:tcW w:w="0" w:type="dxa"/>
            <w:vAlign w:val="bottom"/>
          </w:tcPr>
          <w:p>
            <w:pPr>
              <w:spacing w:after="0"/>
              <w:rPr>
                <w:sz w:val="1"/>
                <w:szCs w:val="1"/>
                <w:color w:val="auto"/>
              </w:rPr>
            </w:pPr>
          </w:p>
        </w:tc>
      </w:tr>
      <w:tr>
        <w:trPr>
          <w:trHeight w:val="19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25,665</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23,877</w:t>
            </w:r>
          </w:p>
        </w:tc>
        <w:tc>
          <w:tcPr>
            <w:tcW w:w="0" w:type="dxa"/>
            <w:vAlign w:val="bottom"/>
          </w:tcPr>
          <w:p>
            <w:pPr>
              <w:spacing w:after="0"/>
              <w:rPr>
                <w:sz w:val="1"/>
                <w:szCs w:val="1"/>
                <w:color w:val="auto"/>
              </w:rPr>
            </w:pPr>
          </w:p>
        </w:tc>
      </w:tr>
      <w:tr>
        <w:trPr>
          <w:trHeight w:val="31"/>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16)</w:t>
            </w: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Ordinary shares, £0.000025 nominal value; 40,848,893 shares authorized, issued and outstanding (December 31, 2025:</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authorized, issued and outstanding: 40,848,893)</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A shares, £1 nominal value; 63,443 shares authorized, issued and outstanding (December 31, 2025: authorized, issued</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and outstanding: 63,443)</w:t>
            </w:r>
          </w:p>
        </w:tc>
        <w:tc>
          <w:tcPr>
            <w:tcW w:w="28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86</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394,499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393,944</w:t>
            </w:r>
          </w:p>
        </w:tc>
        <w:tc>
          <w:tcPr>
            <w:tcW w:w="0" w:type="dxa"/>
            <w:vAlign w:val="bottom"/>
          </w:tcPr>
          <w:p>
            <w:pPr>
              <w:spacing w:after="0"/>
              <w:rPr>
                <w:sz w:val="1"/>
                <w:szCs w:val="1"/>
                <w:color w:val="auto"/>
              </w:rPr>
            </w:pPr>
          </w:p>
        </w:tc>
      </w:tr>
      <w:tr>
        <w:trPr>
          <w:trHeight w:val="201"/>
        </w:trPr>
        <w:tc>
          <w:tcPr>
            <w:tcW w:w="80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Accumulated deficit</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(309,628)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(304,092)</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Accumulated other comprehensive loss – foreign currency translation adjustments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(18,559)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(15,731)</w:t>
            </w:r>
          </w:p>
        </w:tc>
        <w:tc>
          <w:tcPr>
            <w:tcW w:w="0" w:type="dxa"/>
            <w:vAlign w:val="bottom"/>
          </w:tcPr>
          <w:p>
            <w:pPr>
              <w:spacing w:after="0"/>
              <w:rPr>
                <w:sz w:val="1"/>
                <w:szCs w:val="1"/>
                <w:color w:val="auto"/>
              </w:rPr>
            </w:pPr>
          </w:p>
        </w:tc>
      </w:tr>
      <w:tr>
        <w:trPr>
          <w:trHeight w:val="19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stockholders’ equity attributable to Barinthus Biotherapeutics plc shareholders</w:t>
            </w: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66,399</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74,208</w:t>
            </w:r>
          </w:p>
        </w:tc>
        <w:tc>
          <w:tcPr>
            <w:tcW w:w="0" w:type="dxa"/>
            <w:vAlign w:val="bottom"/>
          </w:tcPr>
          <w:p>
            <w:pPr>
              <w:spacing w:after="0"/>
              <w:rPr>
                <w:sz w:val="1"/>
                <w:szCs w:val="1"/>
                <w:color w:val="auto"/>
              </w:rPr>
            </w:pPr>
          </w:p>
        </w:tc>
      </w:tr>
      <w:tr>
        <w:trPr>
          <w:trHeight w:val="31"/>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194"/>
        </w:trPr>
        <w:tc>
          <w:tcPr>
            <w:tcW w:w="80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8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66,478</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74,292</w:t>
            </w:r>
          </w:p>
        </w:tc>
        <w:tc>
          <w:tcPr>
            <w:tcW w:w="0" w:type="dxa"/>
            <w:vAlign w:val="bottom"/>
          </w:tcPr>
          <w:p>
            <w:pPr>
              <w:spacing w:after="0"/>
              <w:rPr>
                <w:sz w:val="1"/>
                <w:szCs w:val="1"/>
                <w:color w:val="auto"/>
              </w:rPr>
            </w:pPr>
          </w:p>
        </w:tc>
      </w:tr>
      <w:tr>
        <w:trPr>
          <w:trHeight w:val="31"/>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92,143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98,169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123"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BARINTHUS BIOTHERAPEUTICS PLC</w:t>
      </w:r>
    </w:p>
    <w:p>
      <w:pPr>
        <w:spacing w:after="0" w:line="3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(IN THOUSANDS, EXCEPT NUMBER OF SHARES AND PER SHARE AMOUNTS)</w:t>
      </w:r>
    </w:p>
    <w:p>
      <w:pPr>
        <w:spacing w:after="0" w:line="1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7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5"/>
                <w:szCs w:val="15"/>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5"/>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w:t>
            </w:r>
          </w:p>
        </w:tc>
        <w:tc>
          <w:tcPr>
            <w:tcW w:w="8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8,290</w:t>
            </w:r>
          </w:p>
        </w:tc>
      </w:tr>
      <w:tr>
        <w:trPr>
          <w:trHeight w:val="245"/>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12,639</w:t>
            </w:r>
          </w:p>
        </w:tc>
      </w:tr>
      <w:tr>
        <w:trPr>
          <w:trHeight w:val="238"/>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20,929</w:t>
            </w:r>
          </w:p>
        </w:tc>
      </w:tr>
      <w:tr>
        <w:trPr>
          <w:trHeight w:val="23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income/(expense)</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3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(20,600)</w:t>
            </w:r>
          </w:p>
        </w:tc>
      </w:tr>
      <w:tr>
        <w:trPr>
          <w:trHeight w:val="23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income/(expense):</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5"/>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45"/>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5"/>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45"/>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38"/>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other income, net</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r>
      <w:tr>
        <w:trPr>
          <w:trHeight w:val="23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(19,680)</w:t>
            </w:r>
          </w:p>
        </w:tc>
      </w:tr>
      <w:tr>
        <w:trPr>
          <w:trHeight w:val="23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(19,658)</w:t>
            </w:r>
          </w:p>
        </w:tc>
      </w:tr>
      <w:tr>
        <w:trPr>
          <w:trHeight w:val="245"/>
        </w:trPr>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loss attributable to noncontrolling interest</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6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Barinthus Biotherapeutics plc shareholders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ordinary shares outstanding, basic</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40,848,893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40,265,216</w:t>
            </w:r>
          </w:p>
        </w:tc>
      </w:tr>
      <w:tr>
        <w:trPr>
          <w:trHeight w:val="245"/>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Weighted-average ordinary shares outstanding, diluted</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40,848,893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40,265,216</w:t>
            </w:r>
          </w:p>
        </w:tc>
      </w:tr>
      <w:tr>
        <w:trPr>
          <w:trHeight w:val="26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ordinary shareholders, 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ordinary shareholders, diluted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7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5"/>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(5,534)</w:t>
            </w:r>
          </w:p>
        </w:tc>
        <w:tc>
          <w:tcPr>
            <w:tcW w:w="8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(19,658)</w:t>
            </w:r>
          </w:p>
        </w:tc>
      </w:tr>
      <w:tr>
        <w:trPr>
          <w:trHeight w:val="24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(loss)/gain – foreign currency translation adjustments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w:t>
            </w: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(15,012)</w:t>
            </w:r>
          </w:p>
        </w:tc>
      </w:tr>
      <w:tr>
        <w:trPr>
          <w:trHeight w:val="24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8"/>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 attributable to Barinthus Biotherapeutics plc shareholders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(8,365)</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(15,005)</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00"/>
          </w:cols>
          <w:pgMar w:left="320" w:top="123" w:right="8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BARINTHUS BIOTHERAPEUTICS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NUMBER OF SHARES)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10"/>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Three months ended March 31, 2026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6"/>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Deferred A Shares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9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Total stockholders’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4"/>
            <w:vMerge w:val="restart"/>
          </w:tcPr>
          <w:p>
            <w:pPr>
              <w:jc w:val="center"/>
              <w:ind w:right="8"/>
              <w:spacing w:after="0" w:line="104"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900" w:type="dxa"/>
            <w:vAlign w:val="bottom"/>
            <w:gridSpan w:val="4"/>
            <w:vMerge w:val="restart"/>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equity attributable</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restart"/>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jc w:val="right"/>
              <w:ind w:right="28"/>
              <w:spacing w:after="0" w:line="104"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restart"/>
          </w:tcPr>
          <w:p>
            <w:pPr>
              <w:jc w:val="center"/>
              <w:ind w:left="88"/>
              <w:spacing w:after="0" w:line="104"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680" w:type="dxa"/>
            <w:vAlign w:val="bottom"/>
            <w:gridSpan w:val="2"/>
            <w:vMerge w:val="restart"/>
          </w:tcPr>
          <w:p>
            <w:pPr>
              <w:jc w:val="right"/>
              <w:ind w:right="128"/>
              <w:spacing w:after="0" w:line="104" w:lineRule="exact"/>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4"/>
            <w:vMerge w:val="restart"/>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Amount</w:t>
            </w:r>
          </w:p>
        </w:tc>
        <w:tc>
          <w:tcPr>
            <w:tcW w:w="500" w:type="dxa"/>
            <w:vAlign w:val="bottom"/>
            <w:gridSpan w:val="3"/>
            <w:vMerge w:val="restart"/>
          </w:tcPr>
          <w:p>
            <w:pPr>
              <w:ind w:left="60"/>
              <w:spacing w:after="0" w:line="104"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4"/>
                <w:szCs w:val="4"/>
                <w:color w:val="auto"/>
              </w:rPr>
            </w:pPr>
          </w:p>
        </w:tc>
        <w:tc>
          <w:tcPr>
            <w:tcW w:w="420" w:type="dxa"/>
            <w:vAlign w:val="bottom"/>
            <w:gridSpan w:val="2"/>
            <w:vMerge w:val="restart"/>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4"/>
            <w:vMerge w:val="restart"/>
          </w:tcPr>
          <w:p>
            <w:pPr>
              <w:jc w:val="center"/>
              <w:ind w:right="28"/>
              <w:spacing w:after="0" w:line="104"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restart"/>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to Barinthus</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restart"/>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restart"/>
          </w:tcPr>
          <w:p>
            <w:pPr>
              <w:jc w:val="right"/>
              <w:ind w:right="188"/>
              <w:spacing w:after="0" w:line="104" w:lineRule="exact"/>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4"/>
            <w:vMerge w:val="restart"/>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ind w:left="180"/>
              <w:spacing w:after="0" w:line="104" w:lineRule="exact"/>
              <w:rPr>
                <w:sz w:val="20"/>
                <w:szCs w:val="20"/>
                <w:color w:val="auto"/>
              </w:rPr>
            </w:pPr>
            <w:r>
              <w:rPr>
                <w:rFonts w:ascii="Times New Roman" w:cs="Times New Roman" w:eastAsia="Times New Roman" w:hAnsi="Times New Roman"/>
                <w:sz w:val="10"/>
                <w:szCs w:val="10"/>
                <w:b w:val="1"/>
                <w:bCs w:val="1"/>
                <w:color w:val="auto"/>
              </w:rPr>
              <w:t>Interest</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4"/>
            <w:vMerge w:val="restart"/>
          </w:tcPr>
          <w:p>
            <w:pPr>
              <w:jc w:val="center"/>
              <w:ind w:right="28"/>
              <w:spacing w:after="0" w:line="104"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900" w:type="dxa"/>
            <w:vAlign w:val="bottom"/>
            <w:gridSpan w:val="4"/>
            <w:vMerge w:val="restart"/>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Biotherapeutics plc</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restart"/>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rPr>
              <w:t>Equity</w:t>
            </w: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restart"/>
          </w:tcPr>
          <w:p>
            <w:pPr>
              <w:jc w:val="center"/>
              <w:ind w:left="88"/>
              <w:spacing w:after="0"/>
              <w:rPr>
                <w:sz w:val="20"/>
                <w:szCs w:val="20"/>
                <w:color w:val="auto"/>
              </w:rPr>
            </w:pPr>
            <w:r>
              <w:rPr>
                <w:rFonts w:ascii="Times New Roman" w:cs="Times New Roman" w:eastAsia="Times New Roman" w:hAnsi="Times New Roman"/>
                <w:sz w:val="10"/>
                <w:szCs w:val="10"/>
                <w:b w:val="1"/>
                <w:bCs w:val="1"/>
                <w:color w:val="auto"/>
              </w:rPr>
              <w:t>Loss</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jc w:val="center"/>
              <w:ind w:left="8"/>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 2026</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40,848,893</w:t>
            </w:r>
          </w:p>
        </w:tc>
        <w:tc>
          <w:tcPr>
            <w:tcW w:w="3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63,443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86</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393,944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(304,092)</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0"/>
                <w:szCs w:val="10"/>
                <w:b w:val="1"/>
                <w:bCs w:val="1"/>
                <w:color w:val="auto"/>
              </w:rPr>
              <w:t>(15,731)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74,208</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0"/>
                <w:szCs w:val="10"/>
                <w:b w:val="1"/>
                <w:bCs w:val="1"/>
                <w:color w:val="auto"/>
                <w:w w:val="99"/>
              </w:rPr>
              <w:t>84</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74,292</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 based compensation</w:t>
            </w:r>
          </w:p>
        </w:tc>
        <w:tc>
          <w:tcPr>
            <w:tcW w:w="2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Pr>
          <w:p>
            <w:pPr>
              <w:spacing w:after="0"/>
              <w:rPr>
                <w:sz w:val="12"/>
                <w:szCs w:val="12"/>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556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556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Issue of ordinary shares, net of issuance costs</w:t>
            </w:r>
          </w:p>
        </w:tc>
        <w:tc>
          <w:tcPr>
            <w:tcW w:w="2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2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2"/>
                <w:szCs w:val="12"/>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(2,828)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460"/>
              <w:spacing w:after="0"/>
              <w:rPr>
                <w:sz w:val="20"/>
                <w:szCs w:val="20"/>
                <w:color w:val="auto"/>
              </w:rPr>
            </w:pPr>
            <w:r>
              <w:rPr>
                <w:rFonts w:ascii="Times New Roman" w:cs="Times New Roman" w:eastAsia="Times New Roman" w:hAnsi="Times New Roman"/>
                <w:sz w:val="10"/>
                <w:szCs w:val="10"/>
                <w:color w:val="auto"/>
              </w:rPr>
              <w:t>(2,834)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2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(5,531)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(5,531)</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0"/>
                <w:szCs w:val="10"/>
                <w:color w:val="auto"/>
              </w:rPr>
              <w:t>(3)</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(5,534)</w:t>
            </w: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March 31, 2026</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40,848,893</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63,443</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86</w:t>
            </w: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394,499</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(309,628)</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0"/>
                <w:szCs w:val="10"/>
                <w:b w:val="1"/>
                <w:bCs w:val="1"/>
                <w:color w:val="auto"/>
              </w:rPr>
              <w:t>(18,559)</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66,399</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0"/>
                <w:szCs w:val="10"/>
                <w:b w:val="1"/>
                <w:bCs w:val="1"/>
                <w:color w:val="auto"/>
                <w:w w:val="99"/>
              </w:rPr>
              <w:t>79</w:t>
            </w:r>
          </w:p>
        </w:tc>
        <w:tc>
          <w:tcPr>
            <w:tcW w:w="40" w:type="dxa"/>
            <w:vAlign w:val="bottom"/>
            <w:tcBorders>
              <w:top w:val="single" w:sz="8" w:color="auto"/>
            </w:tcBorders>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66,478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0"/>
        </w:trPr>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gridSpan w:val="10"/>
          </w:tcPr>
          <w:p>
            <w:pPr>
              <w:jc w:val="right"/>
              <w:ind w:right="368"/>
              <w:spacing w:after="0"/>
              <w:rPr>
                <w:sz w:val="20"/>
                <w:szCs w:val="20"/>
                <w:color w:val="auto"/>
              </w:rPr>
            </w:pPr>
            <w:r>
              <w:rPr>
                <w:rFonts w:ascii="Times New Roman" w:cs="Times New Roman" w:eastAsia="Times New Roman" w:hAnsi="Times New Roman"/>
                <w:sz w:val="10"/>
                <w:szCs w:val="10"/>
                <w:b w:val="1"/>
                <w:bCs w:val="1"/>
                <w:color w:val="auto"/>
              </w:rPr>
              <w:t>Three months ended March 31, 2025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8"/>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7"/>
          </w:tcPr>
          <w:p>
            <w:pPr>
              <w:ind w:left="360"/>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8"/>
          </w:tcPr>
          <w:p>
            <w:pPr>
              <w:ind w:left="20"/>
              <w:spacing w:after="0"/>
              <w:rPr>
                <w:sz w:val="20"/>
                <w:szCs w:val="20"/>
                <w:color w:val="auto"/>
              </w:rPr>
            </w:pPr>
            <w:r>
              <w:rPr>
                <w:rFonts w:ascii="Times New Roman" w:cs="Times New Roman" w:eastAsia="Times New Roman" w:hAnsi="Times New Roman"/>
                <w:sz w:val="10"/>
                <w:szCs w:val="10"/>
                <w:b w:val="1"/>
                <w:bCs w:val="1"/>
                <w:color w:val="auto"/>
              </w:rPr>
              <w:t>Deferred A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3"/>
            <w:vMerge w:val="restart"/>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Total stockholders’</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1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vMerge w:val="restart"/>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8"/>
                <w:szCs w:val="8"/>
                <w:color w:val="auto"/>
              </w:rPr>
            </w:pP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80" w:type="dxa"/>
            <w:vAlign w:val="bottom"/>
          </w:tcPr>
          <w:p>
            <w:pPr>
              <w:spacing w:after="0"/>
              <w:rPr>
                <w:sz w:val="8"/>
                <w:szCs w:val="8"/>
                <w:color w:val="auto"/>
              </w:rPr>
            </w:pPr>
          </w:p>
        </w:tc>
        <w:tc>
          <w:tcPr>
            <w:tcW w:w="1060" w:type="dxa"/>
            <w:vAlign w:val="bottom"/>
            <w:gridSpan w:val="6"/>
          </w:tcPr>
          <w:p>
            <w:pPr>
              <w:jc w:val="center"/>
              <w:ind w:right="40"/>
              <w:spacing w:after="0" w:line="104" w:lineRule="exact"/>
              <w:rPr>
                <w:sz w:val="20"/>
                <w:szCs w:val="20"/>
                <w:color w:val="auto"/>
              </w:rPr>
            </w:pPr>
            <w:r>
              <w:rPr>
                <w:rFonts w:ascii="Times New Roman" w:cs="Times New Roman" w:eastAsia="Times New Roman" w:hAnsi="Times New Roman"/>
                <w:sz w:val="10"/>
                <w:szCs w:val="10"/>
                <w:b w:val="1"/>
                <w:bCs w:val="1"/>
                <w:color w:val="auto"/>
              </w:rPr>
              <w:t>equity attributable to</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60" w:type="dxa"/>
            <w:vAlign w:val="bottom"/>
          </w:tcPr>
          <w:p>
            <w:pPr>
              <w:spacing w:after="0"/>
              <w:rPr>
                <w:sz w:val="8"/>
                <w:szCs w:val="8"/>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Total Stockholders'</w:t>
            </w: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gridSpan w:val="5"/>
            <w:vMerge w:val="restart"/>
          </w:tcPr>
          <w:p>
            <w:pPr>
              <w:jc w:val="center"/>
              <w:ind w:right="80"/>
              <w:spacing w:after="0" w:line="104" w:lineRule="exact"/>
              <w:rPr>
                <w:sz w:val="20"/>
                <w:szCs w:val="20"/>
                <w:color w:val="auto"/>
              </w:rPr>
            </w:pPr>
            <w:r>
              <w:rPr>
                <w:rFonts w:ascii="Times New Roman" w:cs="Times New Roman" w:eastAsia="Times New Roman" w:hAnsi="Times New Roman"/>
                <w:sz w:val="10"/>
                <w:szCs w:val="10"/>
                <w:b w:val="1"/>
                <w:bCs w:val="1"/>
                <w:color w:val="auto"/>
              </w:rPr>
              <w:t>Shares</w:t>
            </w:r>
          </w:p>
        </w:tc>
        <w:tc>
          <w:tcPr>
            <w:tcW w:w="880" w:type="dxa"/>
            <w:vAlign w:val="bottom"/>
            <w:gridSpan w:val="5"/>
            <w:vMerge w:val="restart"/>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Amount</w:t>
            </w:r>
          </w:p>
        </w:tc>
        <w:tc>
          <w:tcPr>
            <w:tcW w:w="500" w:type="dxa"/>
            <w:vAlign w:val="bottom"/>
            <w:gridSpan w:val="3"/>
            <w:vMerge w:val="restart"/>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gridSpan w:val="4"/>
            <w:vMerge w:val="restart"/>
          </w:tcPr>
          <w:p>
            <w:pPr>
              <w:jc w:val="right"/>
              <w:ind w:right="48"/>
              <w:spacing w:after="0" w:line="104" w:lineRule="exact"/>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restart"/>
          </w:tcPr>
          <w:p>
            <w:pPr>
              <w:jc w:val="center"/>
              <w:ind w:right="48"/>
              <w:spacing w:after="0" w:line="104" w:lineRule="exact"/>
              <w:rPr>
                <w:sz w:val="20"/>
                <w:szCs w:val="20"/>
                <w:color w:val="auto"/>
              </w:rPr>
            </w:pPr>
            <w:r>
              <w:rPr>
                <w:rFonts w:ascii="Times New Roman" w:cs="Times New Roman" w:eastAsia="Times New Roman" w:hAnsi="Times New Roman"/>
                <w:sz w:val="10"/>
                <w:szCs w:val="10"/>
                <w:b w:val="1"/>
                <w:bCs w:val="1"/>
                <w:color w:val="auto"/>
              </w:rPr>
              <w:t>Paid-in-</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320"/>
              <w:spacing w:after="0" w:line="104" w:lineRule="exact"/>
              <w:rPr>
                <w:sz w:val="20"/>
                <w:szCs w:val="20"/>
                <w:color w:val="auto"/>
              </w:rPr>
            </w:pPr>
            <w:r>
              <w:rPr>
                <w:rFonts w:ascii="Times New Roman" w:cs="Times New Roman" w:eastAsia="Times New Roman" w:hAnsi="Times New Roman"/>
                <w:sz w:val="10"/>
                <w:szCs w:val="10"/>
                <w:b w:val="1"/>
                <w:bCs w:val="1"/>
                <w:color w:val="auto"/>
              </w:rPr>
              <w:t>Barinthus</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gridSpan w:val="5"/>
            <w:vMerge w:val="continue"/>
          </w:tcPr>
          <w:p>
            <w:pPr>
              <w:spacing w:after="0"/>
              <w:rPr>
                <w:sz w:val="4"/>
                <w:szCs w:val="4"/>
                <w:color w:val="auto"/>
              </w:rPr>
            </w:pPr>
          </w:p>
        </w:tc>
        <w:tc>
          <w:tcPr>
            <w:tcW w:w="880" w:type="dxa"/>
            <w:vAlign w:val="bottom"/>
            <w:gridSpan w:val="5"/>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restart"/>
          </w:tcPr>
          <w:p>
            <w:pPr>
              <w:jc w:val="center"/>
              <w:ind w:right="208"/>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80" w:type="dxa"/>
            <w:vAlign w:val="bottom"/>
          </w:tcPr>
          <w:p>
            <w:pPr>
              <w:spacing w:after="0"/>
              <w:rPr>
                <w:sz w:val="4"/>
                <w:szCs w:val="4"/>
                <w:color w:val="auto"/>
              </w:rPr>
            </w:pP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Comprehensive Loss</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60" w:type="dxa"/>
            <w:vAlign w:val="bottom"/>
          </w:tcPr>
          <w:p>
            <w:pPr>
              <w:spacing w:after="0"/>
              <w:rPr>
                <w:sz w:val="4"/>
                <w:szCs w:val="4"/>
                <w:color w:val="auto"/>
              </w:rPr>
            </w:pPr>
          </w:p>
        </w:tc>
        <w:tc>
          <w:tcPr>
            <w:tcW w:w="980" w:type="dxa"/>
            <w:vAlign w:val="bottom"/>
            <w:vMerge w:val="restart"/>
          </w:tcPr>
          <w:p>
            <w:pPr>
              <w:jc w:val="right"/>
              <w:ind w:right="32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82"/>
        </w:trPr>
        <w:tc>
          <w:tcPr>
            <w:tcW w:w="1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vMerge w:val="restart"/>
          </w:tcPr>
          <w:p>
            <w:pPr>
              <w:jc w:val="center"/>
              <w:ind w:right="48"/>
              <w:spacing w:after="0" w:line="104"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5"/>
            <w:vMerge w:val="restart"/>
          </w:tcPr>
          <w:p>
            <w:pPr>
              <w:jc w:val="center"/>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Biotherapeutics plc</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5"/>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January 1, 2025</w:t>
            </w:r>
          </w:p>
        </w:tc>
        <w:tc>
          <w:tcPr>
            <w:tcW w:w="10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40,234,663</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63,443</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86</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393,474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(237,664)</w:t>
            </w:r>
          </w:p>
        </w:tc>
        <w:tc>
          <w:tcPr>
            <w:tcW w:w="2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(25,868)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130,029</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106</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130,135</w:t>
            </w:r>
          </w:p>
        </w:tc>
        <w:tc>
          <w:tcPr>
            <w:tcW w:w="0" w:type="dxa"/>
            <w:vAlign w:val="bottom"/>
          </w:tcPr>
          <w:p>
            <w:pPr>
              <w:spacing w:after="0"/>
              <w:rPr>
                <w:sz w:val="1"/>
                <w:szCs w:val="1"/>
                <w:color w:val="auto"/>
              </w:rPr>
            </w:pPr>
          </w:p>
        </w:tc>
      </w:tr>
      <w:tr>
        <w:trPr>
          <w:trHeight w:val="146"/>
        </w:trPr>
        <w:tc>
          <w:tcPr>
            <w:tcW w:w="1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 based compensation</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468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Issue of ordinary shares, net of issuance costs</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104,732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 xml:space="preserve">0 </w:t>
            </w:r>
            <w:r>
              <w:rPr>
                <w:rFonts w:ascii="Times New Roman" w:cs="Times New Roman" w:eastAsia="Times New Roman" w:hAnsi="Times New Roman"/>
                <w:sz w:val="13"/>
                <w:szCs w:val="13"/>
                <w:color w:val="auto"/>
                <w:vertAlign w:val="superscript"/>
              </w:rPr>
              <w:t>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46"/>
        </w:trPr>
        <w:tc>
          <w:tcPr>
            <w:tcW w:w="1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4,643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4,646</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2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(19,648)</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(19,648)</w:t>
            </w: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(19,658)</w:t>
            </w:r>
          </w:p>
        </w:tc>
        <w:tc>
          <w:tcPr>
            <w:tcW w:w="0" w:type="dxa"/>
            <w:vAlign w:val="bottom"/>
          </w:tcPr>
          <w:p>
            <w:pPr>
              <w:spacing w:after="0"/>
              <w:rPr>
                <w:sz w:val="1"/>
                <w:szCs w:val="1"/>
                <w:color w:val="auto"/>
              </w:rPr>
            </w:pPr>
          </w:p>
        </w:tc>
      </w:tr>
      <w:tr>
        <w:trPr>
          <w:trHeight w:val="139"/>
        </w:trPr>
        <w:tc>
          <w:tcPr>
            <w:tcW w:w="19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March 31, 2025</w:t>
            </w:r>
          </w:p>
        </w:tc>
        <w:tc>
          <w:tcPr>
            <w:tcW w:w="260" w:type="dxa"/>
            <w:vAlign w:val="bottom"/>
          </w:tcPr>
          <w:p>
            <w:pPr>
              <w:spacing w:after="0"/>
              <w:rPr>
                <w:sz w:val="12"/>
                <w:szCs w:val="12"/>
                <w:color w:val="auto"/>
              </w:rPr>
            </w:pPr>
          </w:p>
        </w:tc>
        <w:tc>
          <w:tcPr>
            <w:tcW w:w="7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40,339,395</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63,443</w:t>
            </w:r>
          </w:p>
        </w:tc>
        <w:tc>
          <w:tcPr>
            <w:tcW w:w="80" w:type="dxa"/>
            <w:vAlign w:val="bottom"/>
          </w:tcPr>
          <w:p>
            <w:pPr>
              <w:spacing w:after="0"/>
              <w:rPr>
                <w:sz w:val="12"/>
                <w:szCs w:val="12"/>
                <w:color w:val="auto"/>
              </w:rPr>
            </w:pPr>
          </w:p>
        </w:tc>
        <w:tc>
          <w:tcPr>
            <w:tcW w:w="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86</w:t>
            </w:r>
          </w:p>
        </w:tc>
        <w:tc>
          <w:tcPr>
            <w:tcW w:w="160" w:type="dxa"/>
            <w:vAlign w:val="bottom"/>
            <w:gridSpan w:val="2"/>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393,944</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(257,312)</w:t>
            </w:r>
          </w:p>
        </w:tc>
        <w:tc>
          <w:tcPr>
            <w:tcW w:w="80" w:type="dxa"/>
            <w:vAlign w:val="bottom"/>
          </w:tcPr>
          <w:p>
            <w:pPr>
              <w:spacing w:after="0"/>
              <w:rPr>
                <w:sz w:val="12"/>
                <w:szCs w:val="12"/>
                <w:color w:val="auto"/>
              </w:rPr>
            </w:pPr>
          </w:p>
        </w:tc>
        <w:tc>
          <w:tcPr>
            <w:tcW w:w="1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(21,225)</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115,494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99</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115,593</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40" w:hanging="137"/>
        <w:spacing w:after="0"/>
        <w:tabs>
          <w:tab w:leader="none" w:pos="14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Indicates amount less than one thousand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BARINTHUS BIOTHERAPEUTICS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7"/>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16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r>
      <w:tr>
        <w:trPr>
          <w:trHeight w:val="184"/>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58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(19,658)</w:t>
            </w: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24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foreign exchange (gain)/loss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24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contingent consideration</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benefit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Profit on sale of property and equipment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 incentives receivable</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24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w:t>
            </w: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4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40" w:type="dxa"/>
            <w:vAlign w:val="bottom"/>
          </w:tcPr>
          <w:p>
            <w:pPr>
              <w:spacing w:after="0"/>
              <w:rPr>
                <w:sz w:val="15"/>
                <w:szCs w:val="15"/>
                <w:color w:val="auto"/>
              </w:rPr>
            </w:pPr>
          </w:p>
        </w:tc>
      </w:tr>
      <w:tr>
        <w:trPr>
          <w:trHeight w:val="22"/>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199"/>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(14,902)</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7"/>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5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tcPr>
          <w:p>
            <w:pPr>
              <w:spacing w:after="0"/>
              <w:rPr>
                <w:sz w:val="15"/>
                <w:szCs w:val="15"/>
                <w:color w:val="auto"/>
              </w:rPr>
            </w:pPr>
          </w:p>
        </w:tc>
        <w:tc>
          <w:tcPr>
            <w:tcW w:w="18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r>
      <w:tr>
        <w:trPr>
          <w:trHeight w:val="22"/>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199"/>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by/(used) in investing activities</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7"/>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6"/>
        </w:trPr>
        <w:tc>
          <w:tcPr>
            <w:tcW w:w="7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Issue of shares from the exercise of stock options</w:t>
            </w:r>
          </w:p>
        </w:tc>
        <w:tc>
          <w:tcPr>
            <w:tcW w:w="1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7"/>
        </w:trPr>
        <w:tc>
          <w:tcPr>
            <w:tcW w:w="75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r>
      <w:tr>
        <w:trPr>
          <w:trHeight w:val="22"/>
        </w:trPr>
        <w:tc>
          <w:tcPr>
            <w:tcW w:w="7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199"/>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cash equivalents and restricted cash</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77"/>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5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(11,821)</w:t>
            </w:r>
          </w:p>
        </w:tc>
        <w:tc>
          <w:tcPr>
            <w:tcW w:w="240" w:type="dxa"/>
            <w:vAlign w:val="bottom"/>
          </w:tcPr>
          <w:p>
            <w:pPr>
              <w:spacing w:after="0"/>
              <w:rPr>
                <w:sz w:val="15"/>
                <w:szCs w:val="15"/>
                <w:color w:val="auto"/>
              </w:rPr>
            </w:pPr>
          </w:p>
        </w:tc>
      </w:tr>
      <w:tr>
        <w:trPr>
          <w:trHeight w:val="22"/>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6"/>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the period</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71,852</w:t>
            </w: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112,400</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199"/>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the period</w:t>
            </w: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67,189</w:t>
            </w:r>
          </w:p>
        </w:tc>
        <w:tc>
          <w:tcPr>
            <w:tcW w:w="5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100,579</w:t>
            </w:r>
          </w:p>
        </w:tc>
        <w:tc>
          <w:tcPr>
            <w:tcW w:w="240" w:type="dxa"/>
            <w:vAlign w:val="bottom"/>
          </w:tcPr>
          <w:p>
            <w:pPr>
              <w:spacing w:after="0"/>
              <w:rPr>
                <w:sz w:val="17"/>
                <w:szCs w:val="17"/>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1.</w:t>
        <w:tab/>
        <w:t>Nature of Business and Basis of Presentation</w:t>
      </w:r>
    </w:p>
    <w:p>
      <w:pPr>
        <w:spacing w:after="0" w:line="2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Barinthus Biotherapeutics plc is a public limited company incorporated pursuant to the laws of England and Wales in March 2021. Barinthus Biotherapeutics plc and its direct and indirect subsidiaries, Barinthus Biotherapeutics (UK) Limited, Barinthus Biotherapeutics North America, Vaccitech Oncology Limited (“VOLT”), Barinthus Biotherapeutics Pty Limited, Barinthus Biotherapeutics Switzerland GmbH, are collectively referred to as the “Company” or “Barinthus Bio.” During the quarterly period ended September 30 2025, the Company incorporated two new subsidiaries, Beacon Topco, Inc. (“Topco”) and Cdog Merger Sub, Inc. (“Merger Sub”), for the purpose of the transactions contemplated by the recently announced merger agreement with Clywedog Therapeutics, Inc. ("Clywedog"). These entities are not material to the Company's consolidated financial position or results of operations.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Company is a clinical-stage biopharmaceutical company focused on developing novel immunotherapeutic drug candidates for treating autoimmune and inflammatory diseases within the immunology and inflammation (“I&amp;I”) space enabled by the proprietary and highly differentiated platform for promoting immune tolerance, referred to as SNAP-TI. The Company's lead candidate, VTP-1000, is designed to restore immune non-responsiveness to gluten in patients with celiac disease, and is currently being assessed in a Phase 1 clinical trial. The Company occupies laboratory and office space in Germantown, Maryland, United States.</w:t>
      </w:r>
    </w:p>
    <w:p>
      <w:pPr>
        <w:spacing w:after="0" w:line="3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operates in an environment of rapid technological change and substantial competition from pharmaceutical and biotechnology companies. The Company is subject to risks common to companies in the biopharmaceutical industry that are also in a similar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its products that are approved, and protection of proprietary technology. There can be no assurance that the Company’s research and development will be successfully completed, that adequate protection for the Company’s intellectual property will be obtained, that any products developed will obtain required regulatory approval or that any approved products will be commercially viable. Even if the Company’s development efforts are successful, it is uncertain when, if ever, the Company will generate significant product sales. If the Company does not successfully commercialize any of its products or mitigate any of these other risks, it will be unable to generate revenue or achieve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 Agreement with Clywedog</w:t>
      </w:r>
    </w:p>
    <w:p>
      <w:pPr>
        <w:spacing w:after="0" w:line="2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September 29, 2025, the Company entered into an Agreement and Plan of Merger (the “Original Merger Agreement”) by and among the Company, Topco, Merger Sub and Clywedog, as amended by that certain Amendment to the Original Merger Agreement, dated as of February 22, 2026 (the “Merger Agreement Amendment,” together with the Original Merger Agreement, the “Merger Agreement”). The Merger Agreement provides that, among other things, upon the terms and subject to the conditions set forth therein: (i) Topco will acquire the entire issued and to be issued share capital of the Company pursuant to (1) a scheme of arrangement (subject to any modification, addition or condition which (a) the Company, Topco and Clywedog mutually agree and which (if required) is approved by the High Court of Justice of England and Wales (the “Court”) or (b) is otherwise imposed by the Court and mutually acceptable to the Company, Topco and Clywedog, each acting reasonably and in good faith, in each case in accordance with the Part 26 of the United Kingdom Companies Act 2006 (the “Scheme of Arrangement”), (2) a share purchase agreement pursuant to which the deferred A shares in the capital of the Company will be acquired by Topco subject to and upon effectiveness of the Scheme of Arrangement, and (3) the Merger Agreement (such transaction, together with the Scheme of Arrangement the “Scheme Transaction”), resulting in the Company becoming a direct wholly owned subsidiary of Topco, and (ii) Merger Sub will merge with and into Clywedog, with Clywedog continuing as the surviving corporation and a direct wholly owned subsidiary of Topco in accordance with the Delaware General Corporations Law (the “Merger” and, together with the Scheme Transaction, the “Combinations”, and, together with such other transactions contemplated by the Merger Agreement, the “Contemplated Transactions”). The Scheme Transaction will be consummated prior to the Merger.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the effective time of the Scheme Transaction (the “Scheme Effective Time”), upon the terms and subject to the conditions set forth in the Merger Agreement, Topco will acquire each outstanding ordinary share of the Company, with a par value £0.000025 per ordinary share (each such acquired ordinary share, a “Scheme Share”), which, for the avoidance of doubt, will include ordinary shares held by The Bank of New York Mellon (the “Depositary”) (or to the extent that the Depositary is not itself the registered holder of such shares that underly the Company’s American Depositary Shares (the “ADSs”), each representing one (1) ordinary share, whichever nominee, custodian or other entity is the registered holder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the terms of the Deposit Agreement, dated as of April 29, 2021, among the Company, the Depositary, and all holders from time to time of the ADSs, as may be amended from time to time), from the holders of Scheme Shares whose names appear in the register of members of the Company at the Scheme Effective Time) in accordance with the provisions of the Scheme of Arrangement, and each Scheme Share will be converted into the right to receive (i) between 0.1 and 0.166667, as finally determined by the Company’s board of directors (or a duly appointed committee thereof) in its sole discretion prior to the Scheme Effective Time, shares of common stock, $0.0001 par value per share, of Topco (the “Topco Common Stock”) rounded down to the nearest whole share, plus (ii) cash in lieu of any fraction of a real share, each subject to and strictly in accordance with the terms of the Scheme of Arrangement. Following the Scheme Effective Time, Topco may in its discretion elect to commence a self-tender offer (“Self-Tender Offer”) to purchase up to $27.0 million in shares of Topco Common Stock then issued and outstanding, which Self-Tender Offer, if elected, will be consummated prior to the Merger.</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At the effective time of the Merger (the “Merger Effective Time”), subject to adjustment in accordance with the terms of the Merger Agreement, each share of common stock, $0.0001 par value per share, of Clywedog (the “Clywedog Common Stock”) and each share of Series Seed Preferred Stock, $0.0001 par value per share, of Clywedog (the “Clywedog Preferred Stock”, and together with the Clywedog Common Stock, the “Clywedog Capital Stock”), other than Clywedog Capital Stock held as treasury stock or owned by Topco or Merger Sub immediately prior to the Merger Effective Time, will be converted solely into the right to receive (i) between 0.000305 and 0.000508, as finally determined by Clywedog and the Company, of shares of Topco Common Stock rounded down to the nearest whole share plus (ii) cash in lieu of any fraction of a share.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closing of the Contemplated Transactions is subject to the satisfaction or waiver of certain customary conditions, including, among other things: (i) the effectiveness of a registration statement (the “Registration Statement”) to register the shares of Topco Common Stock to be issued in connection with the Combinations; (ii) approvals by the Company’s shareholders of the Scheme Transaction and certain related matters, and sanction by the Court of the Scheme Transaction; (iii) approval by Clywedog’s stockholders of the Merger Agreement, the Merger and Contemplated Transactions; (iv) the approval for listing by the Nasdaq Stock Market of the shares of Topco Common Stock issuable in the Combinations, subject to official notice of issuance; (v) the completion of the Self-Tender Offer to the extent that Topco elects to commence the Self-Tender Offer; (vi) minimum cash requirements for each party.</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Merger Agreement may be terminated and the transactions contemplated thereby abandoned at any time prior to the closing under certain specified circumstances. Either the Company or Clywedog may terminate the Merger Agreement if, among other things: (i) the closing date will not have occurred by September 30, 2026, subject to up to a 60 day extension if the U.S. Securities and Exchange Commission (the “SEC”) has not declared effective the Registration Statement by July 31, 2026, (ii) a governmental authority of competent jurisdiction has issued a final, non-appealable order prohibiting the Contemplated Transactions, (iii) the required Company shareholder approval or Clywedog shareholder approval is not obtained in accordance with the Merger Agreement, (iv) the Scheme of Arrangement is not sanctioned by the Court, or (v) another party breaches or fails to perform in any material respect any of its covenants or any of the other party’s representations or warranties are inaccurate and such breach, failure to perform or inaccuracy would result in certain of the closing conditions not being satisfied, subject to a cure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unaudited condensed consolidated financial statements have been prepared in conformity with accounting principles generally accepted in the United States of America (“GAAP”) and pursuant to the rules and regulations of the U.S. Securities and Exchange Commission (the "SEC")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subsidiaries. All intercompany accounts and transactions have been eliminated in consolidation.</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notes or other information that are normally required by GAAP have been omitted if they substantially duplicate the disclosures contained in the Company’s annual audited consolidated financial statements. Accordingly, the unaudited condensed consolidated financial statements should be read in connection with the Company’s audited consolidated financial statements and related notes as of and for the year ended December 31, 2025. The condensed consolidated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balance sheet as of December 31, 2025, was derived from the audited financial statements but does not contain all of the footnote disclosures from the annual financial statements.</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As of March 31, 2026, the Company had cash, cash equivalents and restricted cash of $67.2 million and an accumulated deficit of $309.6 million, and the Company expects to incur losses for the foreseeable future as it continues to pursue its activities, including the commercialization of its research and development. The Company expects to continue to incur costs and expenditures in connection with the Contemplated Transactions, further in connection with the Contemplated Transactions, the Company may pay up to $27.0 million to existing shareholders under a self tender offer. If the Contemplated Transactions are consummated, any additional funding will be sought by the combined company. However as the transaction is not yet consummated, when performing the going concern assessment, management have assessed the Company on a standalone basis and expects that its cash, cash equivalents and restricted cash will be sufficient to fund current operations for at least the next 12 months from the issuance of these condensed consolidated financial statements. In the future the Company will need additional cash inflows to pursue its activities, including the commercialization of its research and development. There is no assurance that the Company will be successful in obtaining sufficient cash inflows on terms acceptable to the Company to fund continuing operations, if at all. The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unaudited condensed consolidated financial statements have been prepared assuming the Company will continue as a going concern, which contemplates, among other things, the realization of assets and the satisfaction of liabilities and commitments in the ordinary course of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Unaudited Condensed Consolidated Financial Information</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accompanying Condensed Consolidated Balance Sheets as of March 31, 2026, and December 31, 2025, the Condensed Consolidated Statements of Operations and Comprehensive Loss, Condensed Consolidated Statements of Changes in Stockholders’ Equity and the Condensed Consolidated Statements of Cash Flows for the three months ended March 31, 2026 and 2025 are unaudited. These unaudited condensed consolidated financial statements have been prepared on the same basis as the audited annual consolidated financial statements contained in the Company’s Annual Report on Form 10-K for the year ended December 31, 2025, filed with the Securities Exchange Commission (the “Annual Report”) on March 13, 2026. In the Company's opinion, the unaudited condensed consolidated financial statements include all adjustments of a normal recurring nature necessary for the fair statement of its financial position as of March 31, 2026, its results of operations for the three months ended March 31, 2026, and 2025, and its cash flows for the three months ended March 31, 2026, and 2025. The results of operations for the three months ended March 31, 2026, are not necessarily indicative of the results to be expected for the year ending December 31, 2026, or any other interim periods.</w:t>
      </w:r>
    </w:p>
    <w:p>
      <w:pPr>
        <w:spacing w:after="0" w:line="38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Summary of Significant Accounting Policies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accounting policies of the Company are set forth in Note 2 to the consolidated financial statements contained in the Annual Report, except as discussed below related to newly adopted accounting pronouncements.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income and expenses during the reporting period. The Company bases its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the date of issuance of these unaudited condensed consolidated financial statements, the Company is not aware of any other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condensed consolidated financial statements as soon as they become known. Actual results could differ from those estimates and any such differences may be material to the Company’s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 setting bodies that the Company adopts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the Company either (i) irrevocably elects to “opt out” of such extended transition period or (ii) no longer qualifies as an emerging growth company.</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has reviewed all recently issued standards and have determined that such standards do not or are not expected to have a material impact on its condensed consolidated financial statements or do not otherwise apply to its current operations.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December 2025, the FASB issued ASU 2025-12, Accounting Standards Update Codification Improvements. The amendments in this update facilitates codification updates for a broad range of Topics arising from technical corrections, unintended application of the codification, clarifications, and other minor improvements. This standard is effective for fiscal years beginning after December 15, 2026, including interim periods within those fiscal years. The Company is currently evaluating the impact of adopting this standard to determine its impact on its disclosures.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(Topic 270): Narrow-Scope Improvements. The amendments in this update clarify interim disclosure requirements and the applicability of Topic 270. This standard is effective for interim reporting periods within annual reporting periods beginning after December 15, 2027. The Company is currently evaluating the impact of adopting this standard to determine its impact on its disclosures.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January 2025, the FASB issued ASU 2025-01, Income Statement-Reporting Comprehensive Income-Expense Disaggregation Disclosures (Subtopic 220-40): Clarifying the Effective Date, in which the Board's intent in the basis of conclusion of Update 2024-03 is clear that all public business entities should initially adopt the disclosure requirements in the first annual reporting period beginning after December 15, 2026, and interim reporting periods within annual reporting periods beginning after December 15, 2027. The Company is currently evaluating the impact of adopting this standard to determine its impact on its disclosures.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which requires disaggregation of specific expense categories in the notes to the financial statements and a qualitative description of the remaining expense amounts not separately disaggregated. This standard is effective for annual reporting periods beginning after December 15, 2026, and requires prospective application with the option to apply it retrospectively. The Company is currently evaluating the impact of adopting this standard to determine its impact on its disclosures.</w:t>
      </w:r>
    </w:p>
    <w:p>
      <w:pPr>
        <w:spacing w:after="0" w:line="200" w:lineRule="exact"/>
        <w:rPr>
          <w:sz w:val="20"/>
          <w:szCs w:val="20"/>
          <w:color w:val="auto"/>
        </w:rPr>
      </w:pPr>
    </w:p>
    <w:p>
      <w:pPr>
        <w:spacing w:after="0" w:line="20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Segment information</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separate discrete financial information is available for evaluation by the chief operating decision maker (“CODM”), the Company’s Chief Executive Officer, in making decisions regarding resource allocation and assessing performance. The CODM approves key operating and strategic decisions, including key decisions in clinical development and clinical operating activities, entering into significant contracts and approves the Company's consolidated operating budget. The Company views its operations and manages its business as one operating segment, the research and development of immunotherapies and vaccines. The CODM uses loss before income tax to monitor budget versus actual results and decide how to use the Company's resources. As the Company operates in one operating segment, all required financial segment information can be found in these condensed consolidated financial statements. The following table is a summary of the Company's significant segment expenses: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2"/>
        </w:trPr>
        <w:tc>
          <w:tcPr>
            <w:tcW w:w="6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c>
          <w:tcPr>
            <w:tcW w:w="320" w:type="dxa"/>
            <w:vAlign w:val="bottom"/>
          </w:tcPr>
          <w:p>
            <w:pPr>
              <w:spacing w:after="0"/>
              <w:rPr>
                <w:sz w:val="15"/>
                <w:szCs w:val="15"/>
                <w:color w:val="auto"/>
              </w:rPr>
            </w:pP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5"/>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5"/>
        </w:trPr>
        <w:tc>
          <w:tcPr>
            <w:tcW w:w="6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VTP-1000 Celiac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8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r>
      <w:tr>
        <w:trPr>
          <w:trHeight w:val="245"/>
        </w:trPr>
        <w:tc>
          <w:tcPr>
            <w:tcW w:w="6540" w:type="dxa"/>
            <w:vAlign w:val="bottom"/>
            <w:shd w:val="clear" w:color="auto" w:fill="CCEEFF"/>
          </w:tcPr>
          <w:p>
            <w:pPr>
              <w:ind w:left="120"/>
              <w:spacing w:after="0" w:line="245" w:lineRule="exact"/>
              <w:rPr>
                <w:sz w:val="20"/>
                <w:szCs w:val="20"/>
                <w:color w:val="auto"/>
              </w:rPr>
            </w:pPr>
            <w:r>
              <w:rPr>
                <w:rFonts w:ascii="Times New Roman" w:cs="Times New Roman" w:eastAsia="Times New Roman" w:hAnsi="Times New Roman"/>
                <w:sz w:val="17"/>
                <w:szCs w:val="17"/>
                <w:color w:val="auto"/>
              </w:rPr>
              <w:t>Barinthus legacy assets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r>
      <w:tr>
        <w:trPr>
          <w:trHeight w:val="232"/>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direct research and development expenses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r>
      <w:tr>
        <w:trPr>
          <w:trHeight w:val="251"/>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Indirect research and development expenses:</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5"/>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Personnel-related (including share-based compensation)</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w:t>
            </w:r>
          </w:p>
        </w:tc>
      </w:tr>
      <w:tr>
        <w:trPr>
          <w:trHeight w:val="24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Facility related</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39"/>
        </w:trPr>
        <w:tc>
          <w:tcPr>
            <w:tcW w:w="6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indirect costs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38"/>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indirect research and development expenses</w:t>
            </w: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w:t>
            </w:r>
          </w:p>
        </w:tc>
      </w:tr>
      <w:tr>
        <w:trPr>
          <w:trHeight w:val="244"/>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8,290</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(4,697)</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left="20" w:right="20"/>
        <w:spacing w:after="0" w:line="205" w:lineRule="auto"/>
        <w:tabs>
          <w:tab w:leader="none" w:pos="104" w:val="left"/>
        </w:tabs>
        <w:numPr>
          <w:ilvl w:val="0"/>
          <w:numId w:val="4"/>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VTP-600NSCLC, VTP-500 MERS and other and earlier stage programs.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operates in two geographic regions: the U.S. and the U.K. The following table summarizes the Company’s long-lived assets, which include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intangible assets, property and equipment, net, and right-of-use assets, by geography: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5"/>
                <w:szCs w:val="15"/>
                <w:color w:val="auto"/>
              </w:rPr>
            </w:pPr>
          </w:p>
        </w:tc>
        <w:tc>
          <w:tcPr>
            <w:tcW w:w="15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19,449</w:t>
            </w:r>
          </w:p>
        </w:tc>
      </w:tr>
      <w:tr>
        <w:trPr>
          <w:trHeight w:val="23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2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3"/>
        </w:trPr>
        <w:tc>
          <w:tcPr>
            <w:tcW w:w="76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340" w:hanging="337"/>
        <w:spacing w:after="0"/>
        <w:tabs>
          <w:tab w:leader="none" w:pos="3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Foreign Currency Translation in General and Administrative Expenses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aggregate, net foreign exchange gain or loss recognized in general and administrative expenses for the three months ended March 31, 2026 was a gain of $3.0 million (three months ended March 31, 2025: $4.4 million loss).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Net Loss Per Share</w:t>
      </w:r>
    </w:p>
    <w:p>
      <w:pPr>
        <w:spacing w:after="0" w:line="22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share for the three months ended March 31, 2026, and 2025 (in thousands, except number of shares):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7"/>
        </w:trPr>
        <w:tc>
          <w:tcPr>
            <w:tcW w:w="8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8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4"/>
        </w:trPr>
        <w:tc>
          <w:tcPr>
            <w:tcW w:w="8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w:t>
            </w:r>
          </w:p>
        </w:tc>
        <w:tc>
          <w:tcPr>
            <w:tcW w:w="100" w:type="dxa"/>
            <w:vAlign w:val="bottom"/>
          </w:tcPr>
          <w:p>
            <w:pPr>
              <w:spacing w:after="0"/>
              <w:rPr>
                <w:sz w:val="19"/>
                <w:szCs w:val="19"/>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(19,658)</w:t>
            </w:r>
          </w:p>
        </w:tc>
      </w:tr>
      <w:tr>
        <w:trPr>
          <w:trHeight w:val="240"/>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8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loss attributable to Barinthus Biotherapeutics plc shareholders</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(19,648)</w:t>
            </w:r>
          </w:p>
        </w:tc>
      </w:tr>
      <w:tr>
        <w:trPr>
          <w:trHeight w:val="20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4"/>
        </w:trPr>
        <w:tc>
          <w:tcPr>
            <w:tcW w:w="8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ordinary shares outstanding, basic</w:t>
            </w:r>
          </w:p>
        </w:tc>
        <w:tc>
          <w:tcPr>
            <w:tcW w:w="220" w:type="dxa"/>
            <w:vAlign w:val="bottom"/>
          </w:tcPr>
          <w:p>
            <w:pPr>
              <w:spacing w:after="0"/>
              <w:rPr>
                <w:sz w:val="19"/>
                <w:szCs w:val="19"/>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9"/>
              </w:rPr>
              <w:t>40,848,893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40,265,216</w:t>
            </w:r>
          </w:p>
        </w:tc>
      </w:tr>
      <w:tr>
        <w:trPr>
          <w:trHeight w:val="233"/>
        </w:trPr>
        <w:tc>
          <w:tcPr>
            <w:tcW w:w="8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ordinary shares outstanding, diluted</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9"/>
              </w:rPr>
              <w:t>40,848,893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40,265,216</w:t>
            </w:r>
          </w:p>
        </w:tc>
      </w:tr>
      <w:tr>
        <w:trPr>
          <w:trHeight w:val="232"/>
        </w:trPr>
        <w:tc>
          <w:tcPr>
            <w:tcW w:w="8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 basic</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0"/>
        </w:trPr>
        <w:tc>
          <w:tcPr>
            <w:tcW w:w="8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9"/>
        </w:trPr>
        <w:tc>
          <w:tcPr>
            <w:tcW w:w="8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per share attributable to ordinary shareholders, diluted</w:t>
            </w:r>
          </w:p>
        </w:tc>
        <w:tc>
          <w:tcPr>
            <w:tcW w:w="2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Since the Company was in a loss position for all periods presented, basic net loss per share is the same as diluted net loss per share, as the inclusion of all potential ordinary share equivalents outstanding would have been anti-dilutive. As of March 31, 2026, 4,827,242 potential ordinary shares issuable for stock options were excluded from the computation of diluted weighted-average shares outstanding because including these shares would have had an anti-dilutive effect (March 31, 2025: 8,133,504).</w:t>
      </w:r>
    </w:p>
    <w:p>
      <w:pPr>
        <w:spacing w:after="0" w:line="16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Property and Equipment,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for the three months ended March 31, 2026 was $0.2 million (three months ended March 31, 2025: $1.2 million).</w:t>
      </w:r>
    </w:p>
    <w:p>
      <w:pPr>
        <w:spacing w:after="0" w:line="2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During the three months ended March 31, 2026, the Company had no additions to property and equipment (three months ended March 31, 2025: $0.01 million). The recorded associated proceeds from the equipment sale for the three months ended March 31, 2026 was $0.06 million (three months ended March 31, 2025: nil).</w:t>
      </w:r>
    </w:p>
    <w:p>
      <w:pPr>
        <w:spacing w:after="0" w:line="36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Intangible Assets, Net</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gross amount of amortizable intangible assets, consisting of acquired developed technology, was $31.6 million as of both March 31, 2026 and December 31, 2025, and accumulated amortization was $17.9 million and $17.3 million as of March 31, 2026 and December 31, 2025, respectively. The amortization expense for the three months ended March 31, 2026 was $0.6 million (three months ended March 31, 2025: $0.8 million, respectively). The estimated annual amortization expense is $2.5 million for the years 2026 through 2031.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8.</w:t>
        <w:tab/>
        <w:t>Prepaid Expenses and Other Current Assets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37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Prepayments</w:t>
            </w:r>
          </w:p>
        </w:tc>
        <w:tc>
          <w:tcPr>
            <w:tcW w:w="4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4,518</w:t>
            </w:r>
          </w:p>
        </w:tc>
      </w:tr>
      <w:tr>
        <w:trPr>
          <w:trHeight w:val="239"/>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Value Added Tax receivable</w:t>
            </w: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4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4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44"/>
        </w:trPr>
        <w:tc>
          <w:tcPr>
            <w:tcW w:w="37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4,243</w:t>
            </w:r>
          </w:p>
        </w:tc>
        <w:tc>
          <w:tcPr>
            <w:tcW w:w="8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w:t>
            </w:r>
          </w:p>
        </w:tc>
      </w:tr>
      <w:tr>
        <w:trPr>
          <w:trHeight w:val="20"/>
        </w:trPr>
        <w:tc>
          <w:tcPr>
            <w:tcW w:w="37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856"/>
        </w:trPr>
        <w:tc>
          <w:tcPr>
            <w:tcW w:w="3720" w:type="dxa"/>
            <w:vAlign w:val="bottom"/>
          </w:tcPr>
          <w:p>
            <w:pPr>
              <w:spacing w:after="0"/>
              <w:rPr>
                <w:sz w:val="24"/>
                <w:szCs w:val="24"/>
                <w:color w:val="auto"/>
              </w:rPr>
            </w:pPr>
          </w:p>
        </w:tc>
        <w:tc>
          <w:tcPr>
            <w:tcW w:w="4740" w:type="dxa"/>
            <w:vAlign w:val="bottom"/>
            <w:gridSpan w:val="2"/>
          </w:tcPr>
          <w:p>
            <w:pPr>
              <w:jc w:val="right"/>
              <w:ind w:right="2680"/>
              <w:spacing w:after="0"/>
              <w:rPr>
                <w:sz w:val="20"/>
                <w:szCs w:val="20"/>
                <w:color w:val="auto"/>
              </w:rPr>
            </w:pPr>
            <w:r>
              <w:rPr>
                <w:rFonts w:ascii="Times New Roman" w:cs="Times New Roman" w:eastAsia="Times New Roman" w:hAnsi="Times New Roman"/>
                <w:sz w:val="17"/>
                <w:szCs w:val="17"/>
                <w:color w:val="auto"/>
              </w:rPr>
              <w:t>F-10</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96"/>
        </w:trPr>
        <w:tc>
          <w:tcPr>
            <w:tcW w:w="372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Accrued Expenses and Other Current Liabilities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manufacturing and clinical expenses</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bonus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payroll and employee benefits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3,677</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grant repayment</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other</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6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Grant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Coalition for Epidemic Preparedness Innovations (“CEPI”) Funding Agreement</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20, 2023, Barinthus Biotherapeutics (UK) Limited, the Chancellors, Masters and Scholars of the University of Oxford (“Oxford,” together with Barinthus Biotherapeutics (UK) Limited, the “Partners”) and the Coalition for Epidemic Preparedness Innovations (“CEPI”) entered into a Funding Agreement (the “Funding Agreement”) pursuant to which CEPI will provide funding of up to $34.8 million to the Company to advance the development of VTP-500, the Company’s vaccine candidate against Middle East Respiratory Syndrome (“MERS,” and such development activities, the “Project”). In December 2023, VTP-500 received PRIME (PRIority MEdicines) designation by the European Medicines Agency. There have been no changes to the terms or conditions of the grant since the previous reporting period.</w:t>
      </w:r>
    </w:p>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January 2025, the Company announced its strategic focus on developing a pipeline in I&amp;I, and the deprioritization of its programs in infectious disease and oncology. The Company intends to exit the Funding Agreement as part of aligning resources in accordance with the Company's strategy.</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Funding Agreement cash payments are restricted as to the use and management of the funds. During the first quarter of 2026, a repayment of $1.0 million was requested, resulting in a reduction of the remaining unused Funding Agreement cash payments. The unused amounts total $0.3 million as of March 31, 2026 (December 31, 2025: $1.4 million) and continue to be reflected in deferred income in the condensed consolidated balance sheets until expenditures contemplated in the Funding Agreement are incurred. Restricted cash as of March 31, 2026 is $1.3 million (December 31, 2025: $1.4 million), as the related cash had not been repaid as of period end.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income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Deferred income relates to payments received from CEPI in advance of the eligible research and development expenses being incurred and are disclosed as deferred income separately in the condensed consolidated balance sheets. Deferred income is released to the condensed consolidated statements of operations and comprehensive loss in the period in which such research and development activities are actually performed in a manner that satisfies the conditions of the Funding Agreement.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deferred income during the three months ended March 31, 2026 and 2025, are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r>
      <w:tr>
        <w:trPr>
          <w:trHeight w:val="22"/>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7"/>
        </w:trPr>
        <w:tc>
          <w:tcPr>
            <w:tcW w:w="8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8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1,738</w:t>
            </w:r>
          </w:p>
        </w:tc>
      </w:tr>
      <w:tr>
        <w:trPr>
          <w:trHeight w:val="219"/>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to accruals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 recognized related to the Funding Agreement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r>
      <w:tr>
        <w:trPr>
          <w:trHeight w:val="21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exchange translation</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7"/>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Ordinary Shares</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All ordinary shares rank pari passu as a single class. The following is a summary of the rights and privileges of the holders of ordinary shares as of March 31, 2026:</w:t>
      </w:r>
    </w:p>
    <w:p>
      <w:pPr>
        <w:spacing w:after="0" w:line="200" w:lineRule="exact"/>
        <w:rPr>
          <w:sz w:val="20"/>
          <w:szCs w:val="20"/>
          <w:color w:val="auto"/>
        </w:rPr>
      </w:pP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Liquidation preference: in the event of the liquidation, dissolution or winding up of the Company, the assets of the Company available for distribution to holders of the ordinary shares shall be distributed amongst all holders of the ordinary shares in proportion to the number of shares held irrespective of the amount paid or credited as paid on any share.</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Dividends: The Company may, subject to the provisions of the Companies Act 2006 and its Articles, by ordinary resolution from time to time declare dividends to be paid to shareholders not exceeding the amount recommended by the Company’s board of directors. Subject to the provisions of the Companies Act 2006, insofar as, in the board of directors’ opinions, the Company’s profits justify such payments, the board of directors (the "Board") may pay interim dividends on the Company’s ordinary shares.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Voting Rights: Each holder of ordinary shares has the right to receive notice of, and to vote at, the Company’s general meetings. Each holder of ordinary shares who is present (in person or by proxy) at a general meeting on a show of hands has one vote and, on a poll, every such holder who is present (in person or by proxy) has one vote in respect of each share of which they are the holder.</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Preemption rights: Pursuant to section 561 of the Companies Act 2006, shareholders are granted preemptive rights when new shares are issued for cash. However, it is possible under the Articles, for shareholders at a general meeting representing at least 75% of the Company's ordinary shares present (in person or by proxy) and eligible to vote at that general meeting, to disapply these preemptive rights by passing a special resolution. Such a disapplication of preemption rights may be for a maximum period of up to five years from the date on which the shareholder resolution was passed. In either case, this disapplication would need to be renewed by the Company's shareholders upon its expiration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at least every five years) to remain effective.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April 21, 2021, the Company's shareholders approved the disapplication of preemptive rights for a period of five years from the date of approval by way of a special resolution of shareholders. This included the disapplication of preemption rights in relation to the allotment of the Company's ordinary shares in connection with the initial public offering ("IPO"). This disapplication will need to be renewed upon expiration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at least every five years) to remain effective, but may be sought more frequently for additional five-year terms (or any shorter period).</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November 6, 2023, the Company held a general meeting where its shareholders approved resolutions granting the Board or any duly authorized committee of the Board the authority to allot shares in the Company or grant rights to subscribe for or to convert any security into shares in the Company free from pre-emption rights. Pursuant to such approval, the Board was authorized to allot shares up to an aggregate nominal amount of £1,928 free from statutory pre-emption rights. The granting of this authority and the corresponding disapplication of preemptive rights was in addition to all subsisting authorities. This disapplication will need to be renewed upon expiration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at least every five years) to remain effective, but may be sought more frequently for additional five-year terms (or any shorter period).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Deferred Shares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All deferred shares rank pari passu as a single class. The deferred shares do not have rights to dividends or to any other right of participation in the profits of the Company. On a return of assets on liquidation, the deferred shares shall confer on the holders thereof an entitlement to receive out of the assets of the Company available for distribution amongst the shareholders (subject to the rights of any new class of shares with preferred rights) the amount credited as paid up on the deferred shares held by them respectively after (but only after) payment shall have been made to the holders of the ordinary shares of the amounts paid up or credited as paid up on such shares and the sum of £1.0 million in respect of each ordinary share held by them respectively. The deferred shares shall confer on the holders thereof no further right to participate in the assets of the Company. The Company’s deferred A shares with a nominal value of £1.00 each remain in issue for the purposes of satisfying the minimum share capital requirements for a public limited company as prescribed by the Companies Act 2006.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Fair Value</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financial instruments consist of cash, cash equivalents and restricted cash, accounts payable, certain accrued expenses, and contingent consideration. The carrying amounts of cash, cash equivalents and restricted cash, accounts payable and accrued expenses approximated their respective fair value due to the short-term nature and maturity of these instruments.</w:t>
      </w:r>
    </w:p>
    <w:p>
      <w:pPr>
        <w:spacing w:after="0" w:line="1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As of March 31, 2026, the Company had a contingent consideration liability of $3.0 million related to the acquisition of Avidea. Avidea’s stockholders may be entitled to receive an aggregate of up to $40.0 million in additional payments, payable in a combination of cash and ADSs, upon the achievement of certain milestones. To date, the Company has made settlement payments of $0.5 million. The fair value of the contingent consideration is a Level 3 valuation and determined using the cost approach. The significant unobservable inputs used in the fair value measurement of the contingent consideration are the probability of success of achievement of the milestones and the expected date of the milestone achievement. Significant judgment is employed in determining the appropriateness of certain of these inputs. Significant increases (decreases) in the probability of success of achievement of the milestones would have resulted in a significantly higher (lower) fair value measurement. Significant extension (reduction) in the expected date of the milestone achievement would have resulted in a significantly lower (higher) fair value measurement.</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summarizes changes to the Company's financial instruments carried at fair value and classified within Level 3 of the fair value hierarchy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8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8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8"/>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w:t>
            </w:r>
          </w:p>
        </w:tc>
      </w:tr>
      <w:tr>
        <w:trPr>
          <w:trHeight w:val="239"/>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recognized in net loss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4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translation recognized in other 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44"/>
        </w:trPr>
        <w:tc>
          <w:tcPr>
            <w:tcW w:w="8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2,652</w:t>
            </w:r>
          </w:p>
        </w:tc>
      </w:tr>
      <w:tr>
        <w:trPr>
          <w:trHeight w:val="20"/>
        </w:trPr>
        <w:tc>
          <w:tcPr>
            <w:tcW w:w="8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Share-Based Compensation</w:t>
      </w:r>
    </w:p>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For the three months ended March 31, 2026, the Company granted 8,779 options to employees and directors under the Barinthus Biotherapeutics plc Award Plan 2021 (the “Plan”) with a weighted average grant date fair value of $0.60 per share and a weighted average exercise price of $0.73 per share (March 31, 2025: granted 1,349,768 options, weighted average grant date fair value of $0.85 per share and a weighted average exercise price of $1.00 per share). For the three months ended March 31, 2026, 1,157,694 options (March 31, 2025: 396,807) were forfeited.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The fair value of each stock option issued to employees was estimated at the date of grant using the Black-Scholes model with the following weighted-average assumptions:</w:t>
      </w:r>
    </w:p>
    <w:p>
      <w:pPr>
        <w:spacing w:after="0" w:line="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r>
      <w:tr>
        <w:trPr>
          <w:trHeight w:val="22"/>
        </w:trPr>
        <w:tc>
          <w:tcPr>
            <w:tcW w:w="7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r>
      <w:tr>
        <w:trPr>
          <w:trHeight w:val="238"/>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105.9 %</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114.1 %</w:t>
            </w:r>
          </w:p>
        </w:tc>
        <w:tc>
          <w:tcPr>
            <w:tcW w:w="240" w:type="dxa"/>
            <w:vAlign w:val="bottom"/>
            <w:shd w:val="clear" w:color="auto" w:fill="CCEEFF"/>
          </w:tcPr>
          <w:p>
            <w:pPr>
              <w:spacing w:after="0"/>
              <w:rPr>
                <w:sz w:val="20"/>
                <w:szCs w:val="20"/>
                <w:color w:val="auto"/>
              </w:rPr>
            </w:pPr>
          </w:p>
        </w:tc>
      </w:tr>
      <w:tr>
        <w:trPr>
          <w:trHeight w:val="23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40" w:type="dxa"/>
            <w:vAlign w:val="bottom"/>
          </w:tcPr>
          <w:p>
            <w:pPr>
              <w:spacing w:after="0"/>
              <w:rPr>
                <w:sz w:val="20"/>
                <w:szCs w:val="20"/>
                <w:color w:val="auto"/>
              </w:rPr>
            </w:pPr>
          </w:p>
        </w:tc>
      </w:tr>
      <w:tr>
        <w:trPr>
          <w:trHeight w:val="251"/>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240" w:type="dxa"/>
            <w:vAlign w:val="bottom"/>
            <w:shd w:val="clear" w:color="auto" w:fill="CCEEFF"/>
          </w:tcPr>
          <w:p>
            <w:pPr>
              <w:spacing w:after="0"/>
              <w:rPr>
                <w:sz w:val="21"/>
                <w:szCs w:val="21"/>
                <w:color w:val="auto"/>
              </w:rPr>
            </w:pPr>
          </w:p>
        </w:tc>
      </w:tr>
      <w:tr>
        <w:trPr>
          <w:trHeight w:val="232"/>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 %</w:t>
            </w:r>
          </w:p>
        </w:tc>
      </w:tr>
    </w:tbl>
    <w:p>
      <w:pPr>
        <w:spacing w:after="0" w:line="2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2026, 4,827,242 options with a weighted average exercise price of $5.72 per share were outstanding (March 31, 2025: 8,133,504 options with a weighted average exercise price of $5.17 per share were outstanding). As of March 31, 2026, there was $0.5 million unrecognized compensation cost related to stock options, which is expected to be recognized over a weighted average period of 1.4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restricted stock units ('RSUs") under the Plan since March 31,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tcPr>
          <w:p>
            <w:pPr>
              <w:spacing w:after="0"/>
              <w:rPr>
                <w:sz w:val="17"/>
                <w:szCs w:val="17"/>
                <w:color w:val="auto"/>
              </w:rPr>
            </w:pPr>
          </w:p>
        </w:tc>
        <w:tc>
          <w:tcPr>
            <w:tcW w:w="216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Weighted-Average</w:t>
            </w:r>
          </w:p>
        </w:tc>
      </w:tr>
      <w:tr>
        <w:trPr>
          <w:trHeight w:val="227"/>
        </w:trPr>
        <w:tc>
          <w:tcPr>
            <w:tcW w:w="674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Underlying RSUs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80" w:type="dxa"/>
            <w:vAlign w:val="bottom"/>
            <w:tcBorders>
              <w:bottom w:val="single" w:sz="8" w:color="CCEEFF"/>
            </w:tcBorders>
          </w:tcPr>
          <w:p>
            <w:pPr>
              <w:spacing w:after="0"/>
              <w:rPr>
                <w:sz w:val="19"/>
                <w:szCs w:val="19"/>
                <w:color w:val="auto"/>
              </w:rPr>
            </w:pPr>
          </w:p>
        </w:tc>
      </w:tr>
      <w:tr>
        <w:trPr>
          <w:trHeight w:val="23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January 1, 2026</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864,724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Vested and settled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Vested and deferred</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45"/>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Forfeited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shd w:val="clear" w:color="auto" w:fill="CCEEFF"/>
          </w:tcPr>
          <w:p>
            <w:pPr>
              <w:spacing w:after="0"/>
              <w:rPr>
                <w:sz w:val="21"/>
                <w:szCs w:val="21"/>
                <w:color w:val="auto"/>
              </w:rPr>
            </w:pPr>
          </w:p>
        </w:tc>
      </w:tr>
      <w:tr>
        <w:trPr>
          <w:trHeight w:val="23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Unvested outstanding, March 31, 2026</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792,724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Borders>
              <w:bottom w:val="single" w:sz="8" w:color="CCEEFF"/>
            </w:tcBorders>
          </w:tcPr>
          <w:p>
            <w:pPr>
              <w:spacing w:after="0"/>
              <w:rPr>
                <w:sz w:val="20"/>
                <w:szCs w:val="20"/>
                <w:color w:val="auto"/>
              </w:rPr>
            </w:pPr>
          </w:p>
        </w:tc>
      </w:tr>
      <w:tr>
        <w:trPr>
          <w:trHeight w:val="238"/>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Vested but subject to deferred settlement at March 31, 2026</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44"/>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792,724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October 2025, the Company granted an aggregate of 886,018 restricted stock units (“RSUs”) to employees under the Plan. The RSUs will vest in full on the seventh day following the occurrence of either the closing of the Contemplated Transactions or the termination of the Merger Agreement pursuant to its terms, subject to the employee’s continued employment with the Company through such vesting date, and were granted as part of the Company’s equity incentive program with a grant date fair value of $1.3 million.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Total share-based compensation expense for RSUs for the three months ended March 31, 2026 and 2025 was $0.4 million and nil, respectively. As of March 31, 2026, the total unrecognized compensation expense related to RSUs was $0.3 million, which is expected to be recognized over a weighted-average of 0.7 years.</w:t>
      </w:r>
    </w:p>
    <w:p>
      <w:pPr>
        <w:spacing w:after="0" w:line="200" w:lineRule="exact"/>
        <w:rPr>
          <w:sz w:val="20"/>
          <w:szCs w:val="20"/>
          <w:color w:val="auto"/>
        </w:rPr>
      </w:pPr>
    </w:p>
    <w:p>
      <w:pPr>
        <w:spacing w:after="0" w:line="377" w:lineRule="exact"/>
        <w:rPr>
          <w:sz w:val="20"/>
          <w:szCs w:val="20"/>
          <w:color w:val="auto"/>
        </w:rPr>
      </w:pPr>
    </w:p>
    <w:p>
      <w:pPr>
        <w:ind w:right="760"/>
        <w:spacing w:after="0" w:line="279" w:lineRule="auto"/>
        <w:rPr>
          <w:sz w:val="20"/>
          <w:szCs w:val="20"/>
          <w:color w:val="auto"/>
        </w:rPr>
      </w:pPr>
      <w:r>
        <w:rPr>
          <w:rFonts w:ascii="Times New Roman" w:cs="Times New Roman" w:eastAsia="Times New Roman" w:hAnsi="Times New Roman"/>
          <w:sz w:val="17"/>
          <w:szCs w:val="17"/>
          <w:color w:val="auto"/>
        </w:rPr>
        <w:t>Share based compensation expense is classified in the unaudited condensed consolidated statements of operations and comprehensive loss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26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7"/>
        </w:trPr>
        <w:tc>
          <w:tcPr>
            <w:tcW w:w="818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2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6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In-License Agreements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is party to a number of licensing agreements. These agreements serve to provide the Company with the right to develop and exploit the counterparties’ intellectual property for certain medical indications. As part of execution of these arrangements, the Company paid certain upfront fees, which have been expensed as incurred because the developing technology has not yet reached technical feasibility, the lack of alternative use, and the lack of proof of potential value. The agreements cover a variety of fields, including tolerance induction and celiac disease. The Company’s obligations for future payments under these arrangements are dependent on its ability to develop promising drug candidates, the potential market for these candidates and potential competing products, and the payment mechanisms in place in countries where the Company retains the right to sell. Each agreement provides for specific milestone payments, typically triggered by achievement of certain testing phases in human candidates, and future royalties ranging from 1% to 5% for direct sales of a covered product or of net payments received for allowable sublicenses of technology developed by the Company. The obligation to make these payments is contingent upon the Company’s ability to develop candidates for submission for phased testing and approvals, and for the development of markets for the products developed by the Company. The Company has not made or accrued any material payments under these license agreements during the three month periods ended March 31, 2026 and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leases certain laboratory and office space under operating leases, which are described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Harwell Science and Innovation Campus, Oxfordshire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3, 2021, the Company entered into a lease agreement for the lease of approximately 31,000 square feet in Harwell, Oxfordshire which expires in September 2031. As the Company’s leases typically do not provide an implicit rate, the Company uses an estimate of its incremental borrowing rate based on the information available at the lease commencement date, being the rate incurred to borrow on a collateralized basis over a similar term at an amount equal to the lease payments in a similar economic environment. The Company has provided the lessor with a refundable security deposit of $0.7 million which is included in Other assets.</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2024, an impairment charge to write down the U.K. operating lease right-of-use asset to the estimated recoverable amount was recorded and the estimated useful life of the asset reduced. In August 2025, the Company ceased the research and development activities undertaken in the laboratory and transitioned the remaining clinical and operational workforce to remote roles. The U.K. operating lease right-of-use asset has a value of nil as of March 31, 2026. The Company is actively marketing the building in Harwell, Oxfordshire, for the remainder of the 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Germantown, Maryland</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June 14, 2022, the Company entered into a lease agreement for the lease of approximately 19,700 square feet in Germantown, Maryland. The site houses the Company’s state-of-the-art wet laboratory in the United States of America.</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recorded a right-of-use asset and a lease liability on the effective date of the lease term. The Company’s right-of-use asset and lease liability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36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w:t>
            </w:r>
          </w:p>
        </w:tc>
        <w:tc>
          <w:tcPr>
            <w:tcW w:w="4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1,629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3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liability, current</w:t>
            </w:r>
          </w:p>
        </w:tc>
        <w:tc>
          <w:tcPr>
            <w:tcW w:w="4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2,005</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2,023</w:t>
            </w:r>
          </w:p>
        </w:tc>
      </w:tr>
      <w:tr>
        <w:trPr>
          <w:trHeight w:val="25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liability, non-current</w:t>
            </w:r>
          </w:p>
        </w:tc>
        <w:tc>
          <w:tcPr>
            <w:tcW w:w="4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9,003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9,258</w:t>
            </w:r>
          </w:p>
        </w:tc>
      </w:tr>
      <w:tr>
        <w:trPr>
          <w:trHeight w:val="864"/>
        </w:trPr>
        <w:tc>
          <w:tcPr>
            <w:tcW w:w="3660" w:type="dxa"/>
            <w:vAlign w:val="bottom"/>
          </w:tcPr>
          <w:p>
            <w:pPr>
              <w:spacing w:after="0"/>
              <w:rPr>
                <w:sz w:val="24"/>
                <w:szCs w:val="24"/>
                <w:color w:val="auto"/>
              </w:rPr>
            </w:pPr>
          </w:p>
        </w:tc>
        <w:tc>
          <w:tcPr>
            <w:tcW w:w="4800" w:type="dxa"/>
            <w:vAlign w:val="bottom"/>
            <w:gridSpan w:val="2"/>
          </w:tcPr>
          <w:p>
            <w:pPr>
              <w:jc w:val="right"/>
              <w:ind w:right="2680"/>
              <w:spacing w:after="0"/>
              <w:rPr>
                <w:sz w:val="20"/>
                <w:szCs w:val="20"/>
                <w:color w:val="auto"/>
              </w:rPr>
            </w:pPr>
            <w:r>
              <w:rPr>
                <w:rFonts w:ascii="Times New Roman" w:cs="Times New Roman" w:eastAsia="Times New Roman" w:hAnsi="Times New Roman"/>
                <w:sz w:val="17"/>
                <w:szCs w:val="17"/>
                <w:color w:val="auto"/>
              </w:rPr>
              <w:t>F-15</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6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49" w:lineRule="exact"/>
        <w:rPr>
          <w:sz w:val="20"/>
          <w:szCs w:val="20"/>
          <w:color w:val="auto"/>
        </w:rPr>
      </w:pPr>
    </w:p>
    <w:p>
      <w:pPr>
        <w:jc w:val="center"/>
        <w:ind w:left="340" w:right="2800"/>
        <w:spacing w:after="0" w:line="283" w:lineRule="auto"/>
        <w:rPr>
          <w:sz w:val="20"/>
          <w:szCs w:val="20"/>
          <w:color w:val="auto"/>
        </w:rPr>
      </w:pPr>
      <w:r>
        <w:rPr>
          <w:rFonts w:ascii="Times New Roman" w:cs="Times New Roman" w:eastAsia="Times New Roman" w:hAnsi="Times New Roman"/>
          <w:sz w:val="17"/>
          <w:szCs w:val="17"/>
          <w:b w:val="1"/>
          <w:bCs w:val="1"/>
          <w:color w:val="auto"/>
        </w:rPr>
        <w:t>BARINTHUS BIOTHERAPEUTICS PLC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100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20" w:type="dxa"/>
            <w:vAlign w:val="bottom"/>
          </w:tcPr>
          <w:p>
            <w:pPr>
              <w:spacing w:after="0"/>
              <w:rPr>
                <w:sz w:val="20"/>
                <w:szCs w:val="20"/>
                <w:color w:val="auto"/>
              </w:rPr>
            </w:pPr>
          </w:p>
        </w:tc>
      </w:tr>
      <w:tr>
        <w:trPr>
          <w:trHeight w:val="251"/>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20" w:type="dxa"/>
            <w:vAlign w:val="bottom"/>
          </w:tcPr>
          <w:p>
            <w:pPr>
              <w:spacing w:after="0"/>
              <w:rPr>
                <w:sz w:val="21"/>
                <w:szCs w:val="21"/>
                <w:color w:val="auto"/>
              </w:rPr>
            </w:pPr>
          </w:p>
        </w:tc>
      </w:tr>
      <w:tr>
        <w:trPr>
          <w:trHeight w:val="232"/>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20" w:type="dxa"/>
            <w:vAlign w:val="bottom"/>
          </w:tcPr>
          <w:p>
            <w:pPr>
              <w:spacing w:after="0"/>
              <w:rPr>
                <w:sz w:val="20"/>
                <w:szCs w:val="20"/>
                <w:color w:val="auto"/>
              </w:rPr>
            </w:pPr>
          </w:p>
        </w:tc>
      </w:tr>
      <w:tr>
        <w:trPr>
          <w:trHeight w:val="519"/>
        </w:trPr>
        <w:tc>
          <w:tcPr>
            <w:tcW w:w="10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7"/>
        </w:trPr>
        <w:tc>
          <w:tcPr>
            <w:tcW w:w="100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10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 Cost</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9"/>
        </w:trPr>
        <w:tc>
          <w:tcPr>
            <w:tcW w:w="8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813</w:t>
            </w:r>
          </w:p>
        </w:tc>
      </w:tr>
      <w:tr>
        <w:trPr>
          <w:trHeight w:val="244"/>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60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813</w:t>
            </w:r>
          </w:p>
        </w:tc>
      </w:tr>
      <w:tr>
        <w:trPr>
          <w:trHeight w:val="483"/>
        </w:trPr>
        <w:tc>
          <w:tcPr>
            <w:tcW w:w="8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Future annual minimum lease payments under operating leases as of March 31, 2026, were as follows (in thousands):</w:t>
            </w: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32"/>
        </w:trPr>
        <w:tc>
          <w:tcPr>
            <w:tcW w:w="100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1000" w:type="dxa"/>
            <w:vAlign w:val="bottom"/>
          </w:tcPr>
          <w:p>
            <w:pPr>
              <w:spacing w:after="0"/>
              <w:rPr>
                <w:sz w:val="21"/>
                <w:szCs w:val="21"/>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8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1000" w:type="dxa"/>
            <w:vAlign w:val="bottom"/>
          </w:tcPr>
          <w:p>
            <w:pPr>
              <w:spacing w:after="0"/>
              <w:rPr>
                <w:sz w:val="21"/>
                <w:szCs w:val="21"/>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8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1000" w:type="dxa"/>
            <w:vAlign w:val="bottom"/>
          </w:tcPr>
          <w:p>
            <w:pPr>
              <w:spacing w:after="0"/>
              <w:rPr>
                <w:sz w:val="21"/>
                <w:szCs w:val="21"/>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1000" w:type="dxa"/>
            <w:vAlign w:val="bottom"/>
          </w:tcPr>
          <w:p>
            <w:pPr>
              <w:spacing w:after="0"/>
              <w:rPr>
                <w:sz w:val="20"/>
                <w:szCs w:val="20"/>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4,145</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1000" w:type="dxa"/>
            <w:vAlign w:val="bottom"/>
          </w:tcPr>
          <w:p>
            <w:pPr>
              <w:spacing w:after="0"/>
              <w:rPr>
                <w:sz w:val="21"/>
                <w:szCs w:val="21"/>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13,900</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1000" w:type="dxa"/>
            <w:vAlign w:val="bottom"/>
          </w:tcPr>
          <w:p>
            <w:pPr>
              <w:spacing w:after="0"/>
              <w:rPr>
                <w:sz w:val="20"/>
                <w:szCs w:val="20"/>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(2,892)</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1000" w:type="dxa"/>
            <w:vAlign w:val="bottom"/>
          </w:tcPr>
          <w:p>
            <w:pPr>
              <w:spacing w:after="0"/>
              <w:rPr>
                <w:sz w:val="22"/>
                <w:szCs w:val="22"/>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liability</w:t>
            </w: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11,008</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Contemplated Transactions</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September 29, 2025, the Company entered into a merger agreement to combine with Clywedog, a private company advancing novel breakthrough medicines in diabetes. The Contemplated Transactions are expected to close in mid 2026, subject to customary closing conditions. In connection with this strategic combination, the Company may incur additional or contingent costs, including transaction-related legal and advisory fees, and other expenses. The Company recorded and expensed transaction related legal and advisory fees in the amount of $3.7 million for the three months ended March 31, 2026 (three months ended March 31, 2025: nil). Regardless of the outcome, there are anticipated additional costs and a focus of management resources on the strategic transaction which may or may not complete.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contingencies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the date of this Quarterly Report on Form 10-Q, the Company does not believe it is party to any claim or litigation the outcome of which, if determined adversely to it, would individually or in the aggregate be reasonably expected to have a material adverse effect on the Company's business. However, 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Related Party Transactions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the Company incurred expenses, related to clinical study costs, of $0.1 million, respectively (three months ended March 31, 2025: $0.2 million) from Oxford University Innovation Limited.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condensed consolidated financial statements and the related notes appearing elsewhere in this unaudited Quarterly Report on Form 10-Q and our audited financial statements and related notes thereto for the year ended December 31, 2025, included in our Annual Report on Form 10-K for the year ended December 31, 2025, which was filed with the SEC on March 13, 2026.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and in other filings with the SEC.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developing novel immunotherapeutic drug candidates for treating autoimmune and inflammatory diseases within the immunology and inflammation ("I&amp;I") space. Helping patients and their families is the guiding principle at the heart of Barinthus Bio. We aim to achieve this by developing truly transformational and highly disease-specific immunotherapies.</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prioritizing the development of a pipeline for I&amp;I indications enabled by our proprietary and highly differentiated platform for promoting immune tolerance, referred to as SNAP-TI, that are designed to guide patient's T cells to reduce inflammation and restore the natural state of immune non-responsiveness to healthy tissue. Our lead candidate, VTP-1000, is designed to restore immune non-responsiveness to gluten in patients with celiac disease, and is currently being assessed in a Phase 1 clinical trial. Based on encouraging preclinical data, we believe that the SNAP-TI platform has the potential to impact multiple other I&amp;I indications.</w:t>
      </w: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also exploring partnership opportunities for VTP-300, a product candidate to treat Chronic Hepatitis B ("CHB") that harnesses viral vector platform technologies, consisting of ChAdOx and MVA; which are designed to increase disease-specific CD8+ T cells. VTP-300 is a Phase 2 immunotherapeutic treatment modality that is a component of a treatment regimen to establish functional cure in patients who are chronically infected by the hepatitis B virus.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our core capabilities at the intersection of T cell immunology and immunotherapeutic technology platforms combined with our track record of successfully executing development path activities uniquely position us to navigate towards delivering promising new treatments for patients with autoimmune and inflammatory diseases and building value for shareholders.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September 2025, we entered into the Merger Agreement to combine in an all-stock transaction with Clywedog, which we amended in February 2026 to update the exchange ratio framework to provide additional flexibility in finalizing the transaction terms and to revise certain minimum cash requirements to reflect the anticipated timing of the transaction, with all other material terms remaining unchanged. The newly combined company will advance a differentiated portfolio of clinical-stage candidates targeting metabolic and autoimmune diseases, with multiple clinical data milestones expected within 18 months of the closing of the transaction. Upon the closing of the transaction, the combined company will be renamed “Clywedog Therapeutics Holdings, Inc.” and is expected to trade on the Nasdaq under the new ticker symbol “CLYD.” The transaction is expected to close in mid-2026, supported by existing cash and additional investments by OrbiMed and TPAV, LLC, both existing shareholders in Clywedog, and new investors.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incurred net losses in each annual and interim reporting period since 2023. For the three months ended March 31, 2026, we incurred a net loss of $5.5 million, respectively. As of March 31, 2026, we had an accumulated deficit of $309.6 million, and we do not currently expect positive cash flows from operations in the foreseeable future. We expect to incur net operating losses for at least the next several years as we advance our product candidates through clinical development, seek regulatory approval, prepare for approval, and in some cases proceed to commercialization of our product candidates, as well as continue our research and development efforts, as and when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this time, we cannot reasonably estimate, or know the nature, timing and estimated costs of all of the efforts that will be necessary to complete the development of any of our product candidates that we develop through our programs. We are also unable to predict when, if ever, material net cash inflows will commence from sales of product candidates we develop, if at all. This is due to the numerous risks and uncertainties associated with developing product candidates to approval and commercialization, including the uncertainty of:</w:t>
      </w:r>
    </w:p>
    <w:p>
      <w:pPr>
        <w:spacing w:after="0" w:line="68"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preclinical studies and clinical trials;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sufficiency of our financial and other resources to complete the necessary preclinical studies and clinical trials;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investigational new drug applications (“INDs”) for our planned clinical trials or future clinical trials;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and timely enrollment and completion of clinical trials;</w:t>
      </w:r>
    </w:p>
    <w:p>
      <w:pPr>
        <w:spacing w:after="0" w:line="113" w:lineRule="exact"/>
        <w:rPr>
          <w:rFonts w:ascii="Times New Roman" w:cs="Times New Roman" w:eastAsia="Times New Roman" w:hAnsi="Times New Roman"/>
          <w:sz w:val="17"/>
          <w:szCs w:val="17"/>
          <w:color w:val="auto"/>
        </w:rPr>
      </w:pPr>
    </w:p>
    <w:p>
      <w:pPr>
        <w:ind w:left="320" w:hanging="317"/>
        <w:spacing w:after="0" w:line="263"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from our clinical program supporting approvable and commercially acceptable risk/benefit profiles for our product candidates in the intended populations;</w:t>
      </w:r>
    </w:p>
    <w:p>
      <w:pPr>
        <w:spacing w:after="0" w:line="301"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and maintenance of necessary regulatory and marketing approvals from applicable regulatory authorities, in the light of the commercial environment then existent;</w:t>
      </w:r>
    </w:p>
    <w:p>
      <w:pPr>
        <w:spacing w:after="0" w:line="48"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successful procurement of raw materials required to manufacture our products for clinical trials, scale-up of our manufacturing processes and formulation of our product candidates for later stages of development and commercial production;</w:t>
      </w:r>
    </w:p>
    <w:p>
      <w:pPr>
        <w:spacing w:after="0" w:line="48"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either our own manufacturing capabilities or satisfactory agreements with third-party manufacturers for clinical supply for later stages of development and commercial manufacturing;</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collaborations or partnerships, where appropriate, to further the development of our product candidates;</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intellectual property and trade secret protection or regulatory exclusivity for our product candidates as well as qualifying for, maintaining, enforcing and defending such intellectual property rights and claims;</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launching or assisting with the launch of commercial sales of our product candidates following approval;</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each product’s benefits and uses by patients, the medical community and third-party payors following approval;</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events experienced with our product candidates in development;</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a continued acceptable safety profile of the product candidates following approval;</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healthcare coverage and adequate reimbursement from third-party payors if necessary or desirable; and</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competing with other therapies.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if approved, we expect to finance our future cash needs through public or private equity offerings, debt financings, collaborations, licensing arrangements or other sources, or any combination of the foregoing. Based on our current standalone research and development plans, we expect that our existing cash, cash equivalents, restricted cash and other financial resources will enable us to fund our operating expenses and capital expenditure requirements for at least the next 12 months. These estimates are based on assumptions that may prove to be wrong, and we could use our available capital resources more quickly than we expect.</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would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4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Doug Swirsky, seasoned biotechnology executive with public company CFO experience, has been appointed to serve as the Chief Financial Officer effective May 1,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International Conflicts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respect of the international conflicts in Gaza, Ukraine and Iran, we have no operations or suppliers based in Israel, Gaza, Ukraine, Belarus, Russia, or Iran, and as a result, as of the date of this Quarterly Report on Form 10-Q, we believe the impact on our business, operations and financial condition will be minimal.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Global Economic Conditions and Inflationary Pressures</w:t>
      </w:r>
    </w:p>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Instability in global economic conditions and geopolitical matters, as well as volatility in financial markets, could have a material adverse effect on our results of operations and financial condition. Inflationary pressures, volatile interest rates, or intensified disruptions in the global financial markets could adversely affect our future financing capability or ability to access the capital markets. Additionally, we may incur future increases in operating costs due to additional inflationary increases.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operating expenses since inception have consisted of research and development costs and general and administrative costs.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Since our inception, we have focused significant resources on our research and development activities, including establishing and building on our adenovirus platform, further enhancing our in-licensed ChAdOx1, ChAdOx2 and MVA vectors, developing a next-generation adenoviral vector, acquiring new technology platforms including SNAP-TI, conducting preclinical studies, developing various manufacturing processes, and advancing our clinical programs. Research and development activities account for a large portion of our operating expenses, and product candidates in later stages of development generally have higher development costs than those in earlier stages, due to larger and more complex clinical trials, manufacturing scale-up and an increase in research and development headcount to oversee these activities. We are currently seeking partners to fund or collaborate on certain of our programs, including VTP-300 and VTP-850, which we do not intend to develop beyond the completion of the ongoing trials, as applicable. We expect research and development expenses to increase in the future as we progress our program through the next stage of development. Research and development costs are expensed as incurred. These costs include:</w:t>
      </w:r>
    </w:p>
    <w:p>
      <w:pPr>
        <w:spacing w:after="0" w:line="72"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other related costs, including share-based compensation, for personnel engaged in research and development functions;</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the development of our programs including preclinical studies and clinical trials of our product candidates, under agreements with third parties, such as consultants, contractors, academic institutions and contract research organizations (“CROs”);</w:t>
      </w:r>
    </w:p>
    <w:p>
      <w:pPr>
        <w:spacing w:after="0" w:line="48"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drug products for use in preclinical development and clinical trials, including agreements with third parties, such as contract manufacturing organizations, consultants and contractors;</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costs; and</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leased facility costs, equipment depreciation and other expenses, which include direct and allocated expenses.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general and administrative expenses consist primarily of personnel-related expenses, including share-based compensation, in our executive, finance, business development and other administrative functions. Other general and administrative expenses include consulting fees and professional service fees for auditing, tax and legal services, rent expenses related to our offices, depreciation, impairment of property and equipment and right-of-use assets, foreign exchange gains and losses on our cash balances, other central non-research costs and changes in the fair value of contingent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consideration. When determining the fair value of contingent consideration, significant judgment is used to determine the probability of success of achievement of the technology and clinical milestones and the date of the expected milestone.</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general and administrative expenses would continue to increase in the future if we expand our operating activities and if we seek to manufacture and/or commercialize any of our current and future product candidates. These costs will increase if our headcount rises to allow full support for our operations as a public company, including increased expenses related to legal, accounting, regulatory and tax-related services associated with maintaining compliance with requirements of the Nasdaq Global Market (“Nasdaq”) and the SEC, directors’ and officers’ liability insurance premiums and investor relations activities.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Income</w:t>
      </w:r>
    </w:p>
    <w:p>
      <w:pPr>
        <w:spacing w:after="0" w:line="1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Other operating income includes grant income from an agreement (the "CEPI Funding Agreement") with the Coalition for Epidemic Preparedness Innovations ("CEPI") pursuant to which CEPI will provide funding to us to advance the development of VTP-500, a vaccine candidate against MERS. When there is reasonable assurance that we will comply with the conditions attached to a received grant, and when there is reasonable assurance that the grant will be received, grant income is recognized as other operating income on a gross basis in the condensed consolidated statements of operations and comprehensive loss on a systematic basis over the periods in which we recognize expenses for the related costs for which the grants are intended to compensate. Payments received in advance of incurring reimbursable expenses are recorded as deferred income. Any remaining unused amounts of the cash payments received on the balance sheets will be disclosed as restricted cash in the notes of the condensed consolidated financial statements. Minimal future activity is expected in relation to the VTP-500 program following the strategic decision to prioritize pipeline assets in the I&amp;I space. We intend to exit the Funding Agreement as part of aligning resources in accordance with the our strategy in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results primarily from the interest earned on our short-term cash deposits and cash balances held by Barinthus Biotherapeutics (UK) Limited.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results primarily from the asset retirement obligation discounted over the length of the relevant lease.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Incentives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Research and development incentives contain payments receivable from the U.K. government related to corporation tax relief for qualifying expenditure on research and development projects in the U.K.. We account for such relief received as other income. Qualifying expenditures largely comprise employment costs for research staff, consumables, outsourced CRO costs, externally provided workers and utilities costs incurred as part of research projects. A large portion of costs relating to research and development, clinical trials and manufacturing activities are eligible for inclusion within these tax credit cash rebate claims.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benefit from the applicable U.K. research and development tax credit regime, which is the merged scheme Research &amp; Development expenditure credit (“RDEC”) and enhanced R&amp;D intensive support (“ERIS”) that replaces the old RDEC and small and medium-sized enterprise (“SME”) schemes for accounting periods beginning on or after April 1, 2024. For expenditure under the merged scheme, the rate of Research and Development expenditure credit is 20%, which is the same as the rate under the old RDEC scheme for expenditure incurred on or after April 1, 2023. For loss-makers and small profit-makers, a lower rate of notional tax restriction (currently 19%) applies at payment. The amount of the Pay As You Earn (“PAYE”) cap for claims under both the merged scheme and ERIS is £20,000 plus 300% of the company’s relevant PAYE and National Insurance contributions liabilities. The PAYE cap (where applicable) will limit the amount of payable credit that can be received in the accounting period under consideration. Any excess over the cap will be carried forward and treated as an amount of Research and Development expenditure credit to which the company will be entitled for the next accounting period. Based on prior claims and the split of qualifying spend it is expected that the PAYE cap is unlikely to affect the net benefit. Furthermore, legislation included in Finance Act 2024 restricts the extent to which payments to contractors for R&amp;D and externally provided workers can qualify for R&amp;D relief where R&amp;D activity takes place outside the U.K., which may restrict the ability to include cost incurred on externally provided workers based in the U.S.</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RDEC scheme, a U.K. company qualifies as an R&amp;D intensive business if U.K. R&amp;D expenditure constitutes at least 30% of total expenditure. From the analysis performed, we have not and do not expect to claim under the loss-making R&amp;D intensive scheme criteria primarily due to the proportion of total relevant expenditure occurring outside the U.K.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future years, we may not be able to continue to claim research and development tax credits under the U.K. research and development tax credit regime if we no longer qualify based on the eligibility criteria. Unsurrendered U.K. losses may be carried forward indefinitely to be offset against future taxable profits, subject to numerous utilization criteria and restrictions. The amount that can be offset each year is limited to £5.0 million plus an incremental 50% of U.K. taxable profits. There was no tax loss restriction applied to the R&amp;D tax credits in the U.K. for the three months ended March 31, 2026 and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Use of Estimates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discussion and analysis of financial condition and results of operations is based on our condensed consolidated financial statements, which have been prepared in accordance with GAAP. The preparation of financial statements requires management to make estimates and judgments that affect the reported amounts of assets and liabilities and disclosures of contingent assets and liabilities as of the date of the financial statements and the reported amounts of income and expenses during the reporting period. On an ongoing basis, management evaluates its estimates, including those related to fair value of contingent consideration and impairment of intangible assets. Management bases its estimates on historical experience and on various other market specific and relevant assumptions that management believes to be reasonable under the circumstances. Actual results could differ from those estimates.</w:t>
      </w:r>
    </w:p>
    <w:p>
      <w:pPr>
        <w:spacing w:after="0" w:line="1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the following accounting policies are critical to the process of making significant judgments and estimates in the preparation of our financial statements and understanding and evaluating our reported financial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review long-lived assets to be held and used, including property and equipment, intangible assets and operating lease right-of-use assets, for impairment whenever events or changes in circumstances indicate that the carrying amount of the assets or asset group may not be recoverable. Evaluation of recoverability is first based on an estimate of undiscounted future cash flows resulting from the use of the asset or asset group and its eventual disposition. In the event such cash flows are not expected to be sufficient to recover the carrying amount of the asset or asset group, the assets are written down to their estimated fair values.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Consideration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recognize a contingent consideration liability related to the acquisition of Avidea. The liability is remeasured to fair value at each reporting date until the contingency is resolved. The fair value of the contingent consideration is a Level 3 valuation determined using significant unobservable inputs being the probability of success of achievement of the milestones and the expected date of the milestone achievement. Avidea’s stockholders may be entitled to receive an aggregate of up to $40.0 million in additional payments, payable in a combination of cash and ADSs, upon the achievement of certain milestones. This contingent consideration is included within the purchase price and is recognized at its fair value on the acquisition date, and subsequently remeasured to fair value at each reporting date until the contingency is resolved. Changes in fair value are recognized in general and administrative expenses in the condensed consolidated statements of operations and comprehensive loss. The fair value of contingent consideration is based on the probability of pursuit of the activity associated with the milestone, the probability of success of the achievement of the milestone, the expected date of milestone achievement and applying the relevant discount rate.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2026 and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2"/>
        </w:trPr>
        <w:tc>
          <w:tcPr>
            <w:tcW w:w="6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c>
          <w:tcPr>
            <w:tcW w:w="320" w:type="dxa"/>
            <w:vAlign w:val="bottom"/>
          </w:tcPr>
          <w:p>
            <w:pPr>
              <w:spacing w:after="0"/>
              <w:rPr>
                <w:sz w:val="15"/>
                <w:szCs w:val="15"/>
                <w:color w:val="auto"/>
              </w:rPr>
            </w:pPr>
          </w:p>
        </w:tc>
        <w:tc>
          <w:tcPr>
            <w:tcW w:w="11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(4,697)</w:t>
            </w: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12,639</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(10,111)</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(14,808)</w:t>
            </w: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income/(expense)</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14,525</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income/(expense)</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5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4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4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14,130</w:t>
            </w:r>
          </w:p>
        </w:tc>
      </w:tr>
      <w:tr>
        <w:trPr>
          <w:trHeight w:val="23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(5,534)</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(19,658)</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14,124</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three months ended March 31, 2026 and 2025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6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2"/>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16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March 31, 2025</w:t>
            </w:r>
          </w:p>
        </w:tc>
        <w:tc>
          <w:tcPr>
            <w:tcW w:w="320" w:type="dxa"/>
            <w:vAlign w:val="bottom"/>
          </w:tcPr>
          <w:p>
            <w:pPr>
              <w:spacing w:after="0"/>
              <w:rPr>
                <w:sz w:val="15"/>
                <w:szCs w:val="15"/>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5"/>
        </w:trPr>
        <w:tc>
          <w:tcPr>
            <w:tcW w:w="6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VTP-1000 Celiac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8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w:t>
            </w:r>
          </w:p>
        </w:tc>
      </w:tr>
      <w:tr>
        <w:trPr>
          <w:trHeight w:val="245"/>
        </w:trPr>
        <w:tc>
          <w:tcPr>
            <w:tcW w:w="6480" w:type="dxa"/>
            <w:vAlign w:val="bottom"/>
            <w:shd w:val="clear" w:color="auto" w:fill="CCEEFF"/>
          </w:tcPr>
          <w:p>
            <w:pPr>
              <w:ind w:left="120"/>
              <w:spacing w:after="0" w:line="245" w:lineRule="exact"/>
              <w:rPr>
                <w:sz w:val="20"/>
                <w:szCs w:val="20"/>
                <w:color w:val="auto"/>
              </w:rPr>
            </w:pPr>
            <w:r>
              <w:rPr>
                <w:rFonts w:ascii="Times New Roman" w:cs="Times New Roman" w:eastAsia="Times New Roman" w:hAnsi="Times New Roman"/>
                <w:sz w:val="17"/>
                <w:szCs w:val="17"/>
                <w:color w:val="auto"/>
              </w:rPr>
              <w:t>Barinthus legacy assets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r>
      <w:tr>
        <w:trPr>
          <w:trHeight w:val="232"/>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direct research and development expenses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r>
      <w:tr>
        <w:trPr>
          <w:trHeight w:val="25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Indirect research and development expenses: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6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Personnel-related (including share-based compensation)</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w:t>
            </w:r>
          </w:p>
        </w:tc>
      </w:tr>
      <w:tr>
        <w:trPr>
          <w:trHeight w:val="251"/>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Facility related</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39"/>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indirect costs</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3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indirect research and development expenses</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w:t>
            </w:r>
          </w:p>
        </w:tc>
      </w:tr>
      <w:tr>
        <w:trPr>
          <w:trHeight w:val="244"/>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8,290</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(4,697)</w:t>
            </w:r>
          </w:p>
        </w:tc>
      </w:tr>
      <w:tr>
        <w:trPr>
          <w:trHeight w:val="20"/>
        </w:trPr>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left="20" w:right="20"/>
        <w:spacing w:after="0" w:line="231" w:lineRule="auto"/>
        <w:tabs>
          <w:tab w:leader="none" w:pos="87" w:val="left"/>
        </w:tabs>
        <w:numPr>
          <w:ilvl w:val="0"/>
          <w:numId w:val="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 January 2025, we announced a strategic focus on developing a pipeline in I&amp;I, and the deprioritization of our programs in infectious disease and oncology. The following programs were previously presented separately and have been grouped collectively as "Barinthus Legacy Assets" for both years presented: VTP-300 HBV, VTP-850 Prostate Cancer, VTP-200 HPV, VTP-600NSCLC, VTP-500 MERS and other and earlier stage programs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research and development expenses for the three months ended March 31, 2026 and 2025 were $3.6 million and $8.3 million, respectively.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Direct expenses for the three months ended March 31, 2026 and 2025 were $2.9 million and $3.5 million, respectively, and consisted of outside services, consultants, laboratory materials, clinical trials, manufacturing of clinical trial materials, as well as costs for external preclinical services and sample testing. Of the $0.6 million decrease, $1.0 million pertains to a net decrease in spend across the infectious disease and oncology programs following the strategic decision to prioritize pipeline assets within the I&amp;I space and wind down of the ongoing trials, offset by $0.4 million increase in spend on VTP-1000 for the Phase 1 AVALON clinical trial.</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Indirect research and development expenses for the three months ended March 31, 2026 and 2025 were $0.7 million and $4.8 million, respectively. The decrease of $4.1 million primarily relates to the reduction in headcount, following the strategic reprioritization and the associated personnel-related expense (including share-based compensation), combined with the closure of the U.K. laboratory which occurred in the third quarter of 2025 resulting in a reduction in the allocation of facility and other indirect costs to research and development.from that period onwards.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General and administrative expenses for the three months ended March 31, 2026 and 2025 were $2.5 million and $12.6 million, respectively. The decrease of $10.1 million relates primarily to a foreign exchange gain of $3.0 million for the three months ended March 31, 2026, compared to a loss of $4.4 million for the three months ended March 31, 2025, driven by movement from the translation of United States dollar balances held in pound sterling denominated entities. The remaining reduction in expenses is related to a decrease of $1.7 million in personnel-related expenses pertaining to the reduction in headcount and the associated reduction in personnel-related expense, and a decrease of $1.4 million in depreciation charges due to impairment and accelerated depreciation of the U.K. right of use asset, leasehold improvements and laboratory equipment in the prior year.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Operating Income</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2026 and 2025, other operating income was $0.05 million and $0.3 million, respectively, primarily resulting from a reduction in qualifying activity for the development of VTP-500 for the prevention of MERS, and associated utilization of the funding provided by CEPI under the Funding Agreement. Minimal future activity is expected following the strategic decision to prioritize pipeline assets in the I&amp;I space.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2026 and 2025, interest income was $0.4 million and $0.6 million, respectively, with the decrease resulting from both the reduction in interest rates and the reduction in cash amounts on short-term cash deposits held by Barinthus Biotherapeutics (UK) Limited.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Incentives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the three months ended March 31, 2026 and 2025, research and development incentives were $0.1 million and $0.3 million, respectively. Such research and development incentives relate to corporation tax relief on research and development projects incentive programs in the United Kingdom. The decrease of $0.2 million is due to a decrease in qualifying R&amp;D activities.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Since our inception, we have funded our operations primarily through private and public placements of our ordinary and preferred shares as well as from grants and research incentives, various agreements with public funding agencies, the issuance of convertible loan notes, and most recently from upfront, royalty and milestone payments from Oxford University Innovation (“OUI”) in connection with the OUI License Agreement Amendment for Vaxzevria. Through March 31, 2026, we have received gross proceeds of approximately $330.1 million from the issuance of our ordinary and preferred shares and convertible loan notes. As of March 31, 2026, we had cash, cash equivalents and restricted cash of $67.2 million. Key financing and corporate milestones include the following:</w:t>
      </w:r>
    </w:p>
    <w:p>
      <w:pPr>
        <w:spacing w:after="0" w:line="72" w:lineRule="exact"/>
        <w:rPr>
          <w:sz w:val="20"/>
          <w:szCs w:val="20"/>
          <w:color w:val="auto"/>
        </w:rPr>
      </w:pPr>
    </w:p>
    <w:p>
      <w:pPr>
        <w:ind w:left="5540" w:right="2160" w:hanging="5537"/>
        <w:spacing w:after="0" w:line="983" w:lineRule="auto"/>
        <w:tabs>
          <w:tab w:leader="none" w:pos="31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July 2020 and November 2020, we raised gross proceeds of $41.2 million from the issuance of convertible loan notes;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2021, we raised gross proceeds of $125.2 million from the issuance of our Series B shares;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2021, we raised gross proceeds of $110.5 million from the initial public offering of our ordinary shares on Nasdaq;</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April 2022 and November 2024, we received $59.5 million of cash from OUI for the commercial sales of Vaxzevria; and</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December 2022 and December 2024, we raised net proceeds of $5.1 million from the issuance of 2,558,586 shares represented by ADSs through “at-the-market” offerings under the sales agreement with Jefferies LLC.</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do not currently expect positive cash flows from operations in the foreseeable future, if at all. In most periods, we have incurred operating losses as a result of ongoing efforts to develop our immunotherapy platforms and our product candidates, including conducting ongoing research and development, preclinical studies, clinical trials, providing general and administrative support for these operations and developing our intellectual property portfolio. We expect to continue to incur net negative cash flows from operations for at least the next few years as we progress clinical development, seek regulatory approval, prepare for and, if approved, proceed to manufacture and commercialization of our most advanced product candidates. Operating profits may arise earlier if programs are licensed or sold to third parties before final approval, but this cannot be guaranteed.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29, 2025, we entered into the Merger Agreement providing for our combination with Clywedog. We have agreed to various covenants and agreements, including, among others, agreements to conduct our business in the ordinary course of business between the execution of the Merger Agreement and the closing of the Combinations. Outside of certain limited exceptions, we may not take certain actions without Clywedog’s consent, including (i) acquiring businesses and disposing of significant assets, (ii) incurring expenditures above specified thresholds; (iii) incurring additional debt outside the ordinary course of business, (iv) issuing additional securities, or (v) repurchasing ordinary shares or ADSs.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a summary of the primary sources and uses of cash (in thousands) for each period presented: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120" w:type="dxa"/>
            <w:vAlign w:val="bottom"/>
          </w:tcPr>
          <w:p>
            <w:pPr>
              <w:spacing w:after="0"/>
              <w:rPr>
                <w:sz w:val="13"/>
                <w:szCs w:val="13"/>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182"/>
        </w:trPr>
        <w:tc>
          <w:tcPr>
            <w:tcW w:w="8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March 31, 2026</w:t>
            </w:r>
          </w:p>
        </w:tc>
        <w:tc>
          <w:tcPr>
            <w:tcW w:w="120" w:type="dxa"/>
            <w:vAlign w:val="bottom"/>
          </w:tcPr>
          <w:p>
            <w:pPr>
              <w:spacing w:after="0"/>
              <w:rPr>
                <w:sz w:val="15"/>
                <w:szCs w:val="15"/>
                <w:color w:val="auto"/>
              </w:rPr>
            </w:pP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(14,902)</w:t>
            </w: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by/(used) in investing activities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cash equivalents and restricted cash</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3,084</w:t>
            </w:r>
          </w:p>
        </w:tc>
      </w:tr>
      <w:tr>
        <w:trPr>
          <w:trHeight w:val="24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(11,821)</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Operating Activities</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2026, net cash used in operating activities was $3.4 million, primarily resulting from our net loss of $5.5 million adjusted by depreciation and amortization of $0.9 million, unrealized foreign exchange loss of $1.7 million, share based compensation of $0.6 million and non-cash lease expenses of $0.2 million. The changes in our operating assets and liabilities, net, of $2.2 million primarily related to a $3.2 million increase in accounts payable and accrued expenses, a $0.5 million decrease in prepaid expenses and other current assets and a $0.3 million decrease in operating lease liabilities,</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During the three months ended March 31, 2025, net cash used in operating activities was $14.9 million, primarily resulting from our net loss of $19.7 million adjusted by depreciation and amortization of $2.0 million, unrealized foreign exchange loss of $1.6 million, non-cash lease expenses of $0.8 million, share based compensation of $0.5 million and changes in our operating assets and liabilities, net, of $0.1 million. The changes in our operating assets and liabilities, net, of $0.1 million primarily related to a $3.7 million decrease in accounts payable and accrued expenses, a $0.3 million decrease in deferred revenue, and a $0.5 million decrease in operating lease liabilities, offset by a $4.2 million decrease in research and development incentive receivables, following receipt of the 2023 research and development tax credit claim.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By/(Used) in Investing Activities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and 2025, net cash provided by/(used) in investing activities was $0.06 and $(0.005) million, respectively. For the three months ended March 31, 2026, these amounts primarily related to proceeds received upon the sale of U.S. laboratory equipment. For the three months ended March 31, 2025, these amounts resulted primarily from capital expenditures related to laboratory equipment and leasehold improvements in our U.K. facility.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Financing Activities</w:t>
      </w: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During the three months ended March 31, 2026 and 2025, net cash provided by financing activities was nil and $0.002 million, respectively. For the three months ended March 31, 2025, these amounts related to net proceeds received from the issuance of ordinary shares through stock exercises.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Effect of Exchange Rates on Cash, Cash Equivalents and Restricted Cash</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and 2025, the effect of foreign exchange on cash, cash equivalents and restricted cash was a loss of $1.4 million and gain of $3.1 million, respectively, primarily as a result of fluctuations between the pound sterling and United States dollar exchange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Funding Requirements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date, we have devoted substantially all of our resources to organizing and staffing our company, business planning, raising capital, undertaking preclinical studies and conducting clinical trials of our product candidates. As a result, we have incurred losses in each year since our inception in 2016, except for 2022 when we were profitable. We have negative operating cash flows for the period ended March 31, 2026 and as of March 31, 2026, we had an accumulated deficit of $309.6 million. We expect to continue to incur significant losses and negative cash flows from operations for the foreseeable future. We anticipate that our expenses will increase substantially if, and as we:</w:t>
      </w:r>
    </w:p>
    <w:p>
      <w:pPr>
        <w:spacing w:after="0" w:line="72" w:lineRule="exact"/>
        <w:rPr>
          <w:sz w:val="20"/>
          <w:szCs w:val="20"/>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pursue the clinical and preclinical development of our current product candidates;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our technologies to advance additional product candidates into preclinical and clinical development;</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authorizations for product candidates that successfully complete clinical trials, if any;</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hire and retain additional clinical, regulatory, quality control and other personnel;</w:t>
      </w:r>
    </w:p>
    <w:p>
      <w:pPr>
        <w:spacing w:after="0" w:line="101" w:lineRule="exact"/>
        <w:rPr>
          <w:rFonts w:ascii="Times New Roman" w:cs="Times New Roman" w:eastAsia="Times New Roman" w:hAnsi="Times New Roman"/>
          <w:sz w:val="17"/>
          <w:szCs w:val="17"/>
          <w:color w:val="auto"/>
        </w:rPr>
      </w:pPr>
    </w:p>
    <w:p>
      <w:pPr>
        <w:ind w:left="320" w:right="20" w:hanging="317"/>
        <w:spacing w:after="0" w:line="271" w:lineRule="auto"/>
        <w:tabs>
          <w:tab w:leader="none" w:pos="3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preclinical studies and clinical trials for our current and future product candidates based on our proprietary synthetic and biologic platforms, including SNAP-TI;</w:t>
      </w:r>
    </w:p>
    <w:p>
      <w:pPr>
        <w:spacing w:after="0" w:line="48" w:lineRule="exact"/>
        <w:rPr>
          <w:rFonts w:ascii="Times New Roman" w:cs="Times New Roman" w:eastAsia="Times New Roman" w:hAnsi="Times New Roman"/>
          <w:sz w:val="17"/>
          <w:szCs w:val="17"/>
          <w:color w:val="auto"/>
        </w:rPr>
      </w:pPr>
    </w:p>
    <w:p>
      <w:pPr>
        <w:ind w:left="320" w:right="240" w:hanging="317"/>
        <w:spacing w:after="0" w:line="271" w:lineRule="auto"/>
        <w:tabs>
          <w:tab w:leader="none" w:pos="3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61"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our manufacturing capabilities through third parties or by ourselves and scale-up manufacturing to provide adequate supply for clinical trials and commercialization;</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maintain, protect and enforce our intellectual property portfolio;</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medical affairs and distribution infrastructure to commercialize any products for which we may obtain marketing approval and intend to commercialize on our own or through a selected partner;</w:t>
      </w:r>
    </w:p>
    <w:p>
      <w:pPr>
        <w:spacing w:after="0" w:line="4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other product candidates and technologies for development and commercialization; and</w:t>
      </w:r>
    </w:p>
    <w:p>
      <w:pPr>
        <w:spacing w:after="0" w:line="113" w:lineRule="exact"/>
        <w:rPr>
          <w:rFonts w:ascii="Times New Roman" w:cs="Times New Roman" w:eastAsia="Times New Roman" w:hAnsi="Times New Roman"/>
          <w:sz w:val="17"/>
          <w:szCs w:val="17"/>
          <w:color w:val="auto"/>
        </w:rPr>
      </w:pPr>
    </w:p>
    <w:p>
      <w:pPr>
        <w:ind w:left="320" w:hanging="317"/>
        <w:spacing w:after="0" w:line="287" w:lineRule="auto"/>
        <w:tabs>
          <w:tab w:leader="none" w:pos="3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legal, advisory, accounting, tax and other expenses in operating our business as a public company, including the additional costs associated with completing the Contemplated Transactions.</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Even if we succeed in commercializing one or more of our product candidates, we will continue to incur substantial research and development costs and other expenditures to develop and market additional product candidates and we may never generate revenue that is significant or large enough to achieve profitability. We may also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unless and until such losses are eliminated by revenue.</w:t>
      </w:r>
    </w:p>
    <w:p>
      <w:pPr>
        <w:spacing w:after="0" w:line="2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we do achieve profitability, we may not be able to sustain or increase profitability on a quarterly or annual basis. Accordingly, our failure to become and remain profitable would decrease the value of our company and could impair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ability to raise capital, maintain our research and development efforts, expand our business or continue our operations. A decline in the value of our company also could cause you to lose all or part of your investment.</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Since our foundation, we have invested a significant portion of our efforts and financial resources in research and development activities for our viral vector platform (ChAdOx and MVA), acquisition of additional complementary platforms such as SNAP-TI, in-house development of new technologies, and our product candidates derived from these technologies. Preclinical studies and especially clinical trials and additional research and development activities will require substantial funds to complete. We believe that we will continue to expend substantial resources for the foreseeable future in connection with the development of our current product candidates and programs as well as any future product candidates we may elect to pursue, as well as the gradual gaining of control over our required manufacturing capabilities and other corporate functions. These expenditures will include costs associated with conducting preclinical studies and clinical trials, obtaining regulatory approvals, and potentially in-house manufacturing and supply, as well as marketing and selling any products approved for sale. In addition, other unanticipated costs may arise as outlined above. Because the outcome of any preclinical study or clinical trial is uncertain and the rate of change of third-party costs is also unpredictable, we cannot reasonably estimate now the actual amounts which will be necessary to complete the development and commercialization of our current or future product candidates successfully.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future capital requirements may depend on many factors, including:</w:t>
      </w:r>
    </w:p>
    <w:p>
      <w:pPr>
        <w:spacing w:after="0" w:line="62"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outcome and terms of the Contemplated Transactions currently in progress as well as associated transaction and advisory costs;</w:t>
      </w:r>
    </w:p>
    <w:p>
      <w:pPr>
        <w:spacing w:after="0" w:line="62" w:lineRule="exact"/>
        <w:rPr>
          <w:rFonts w:ascii="Times New Roman" w:cs="Times New Roman" w:eastAsia="Times New Roman" w:hAnsi="Times New Roman"/>
          <w:sz w:val="17"/>
          <w:szCs w:val="17"/>
          <w:color w:val="auto"/>
        </w:rPr>
      </w:pPr>
    </w:p>
    <w:p>
      <w:pPr>
        <w:ind w:left="320" w:hanging="317"/>
        <w:spacing w:after="0" w:line="284" w:lineRule="auto"/>
        <w:tabs>
          <w:tab w:leader="none" w:pos="3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researching and developing our current and future product candidates and programs, and of conducting preclinical studies and clinical trials;</w:t>
      </w:r>
    </w:p>
    <w:p>
      <w:pPr>
        <w:spacing w:after="0" w:line="1" w:lineRule="exact"/>
        <w:rPr>
          <w:rFonts w:ascii="Times New Roman" w:cs="Times New Roman" w:eastAsia="Times New Roman" w:hAnsi="Times New Roman"/>
          <w:sz w:val="17"/>
          <w:szCs w:val="17"/>
          <w:color w:val="auto"/>
        </w:rPr>
      </w:pPr>
    </w:p>
    <w:p>
      <w:pPr>
        <w:ind w:left="320" w:hanging="317"/>
        <w:spacing w:after="0" w:line="284" w:lineRule="auto"/>
        <w:tabs>
          <w:tab w:leader="none" w:pos="3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development requirements of other product candidates that we may pursue, and of other indications for our current product candidates that we may pursue;</w:t>
      </w:r>
    </w:p>
    <w:p>
      <w:pPr>
        <w:spacing w:after="0" w:line="1" w:lineRule="exact"/>
        <w:rPr>
          <w:rFonts w:ascii="Times New Roman" w:cs="Times New Roman" w:eastAsia="Times New Roman" w:hAnsi="Times New Roman"/>
          <w:sz w:val="17"/>
          <w:szCs w:val="17"/>
          <w:color w:val="auto"/>
        </w:rPr>
      </w:pPr>
    </w:p>
    <w:p>
      <w:pPr>
        <w:ind w:left="320" w:hanging="317"/>
        <w:spacing w:after="0" w:line="284" w:lineRule="auto"/>
        <w:tabs>
          <w:tab w:leader="none" w:pos="3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stability, scale and yield of future manufacturing processes as we scale-up production and formulation of our product candidates either internally or externally for later stages of development and commercialization;</w:t>
      </w:r>
    </w:p>
    <w:p>
      <w:pPr>
        <w:spacing w:after="0" w:line="1" w:lineRule="exact"/>
        <w:rPr>
          <w:rFonts w:ascii="Times New Roman" w:cs="Times New Roman" w:eastAsia="Times New Roman" w:hAnsi="Times New Roman"/>
          <w:sz w:val="17"/>
          <w:szCs w:val="17"/>
          <w:color w:val="auto"/>
        </w:rPr>
      </w:pPr>
    </w:p>
    <w:p>
      <w:pPr>
        <w:jc w:val="both"/>
        <w:ind w:left="320" w:hanging="317"/>
        <w:spacing w:after="0" w:line="280" w:lineRule="auto"/>
        <w:tabs>
          <w:tab w:leader="none" w:pos="3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success achieved and the costs involved in obtaining regulatory and marketing approvals and developing our ability to establish license or sale transactions and/or sales and marketing capabilities, if any, for our current and future product candidates if clinical trials and approval processes are successful;</w:t>
      </w:r>
    </w:p>
    <w:p>
      <w:pPr>
        <w:spacing w:after="0" w:line="214"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collaborations with current and any future collaboration partners;</w:t>
      </w:r>
    </w:p>
    <w:p>
      <w:pPr>
        <w:spacing w:after="0" w:line="62"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maintain or terminate collaborations, strategic licensing or other arrangements, and the financial terms of such agreements;</w:t>
      </w:r>
    </w:p>
    <w:p>
      <w:pPr>
        <w:spacing w:after="0" w:line="62" w:lineRule="exact"/>
        <w:rPr>
          <w:rFonts w:ascii="Times New Roman" w:cs="Times New Roman" w:eastAsia="Times New Roman" w:hAnsi="Times New Roman"/>
          <w:sz w:val="17"/>
          <w:szCs w:val="17"/>
          <w:color w:val="auto"/>
        </w:rPr>
      </w:pPr>
    </w:p>
    <w:p>
      <w:pPr>
        <w:ind w:left="320" w:hanging="317"/>
        <w:spacing w:after="0" w:line="284" w:lineRule="auto"/>
        <w:tabs>
          <w:tab w:leader="none" w:pos="3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future commercialization activities, including product launch, product sales, marketing, manufacturing and distribution, for any of our current and future product candidates for which we receive marketing approval;</w:t>
      </w:r>
    </w:p>
    <w:p>
      <w:pPr>
        <w:spacing w:after="0" w:line="1" w:lineRule="exact"/>
        <w:rPr>
          <w:rFonts w:ascii="Times New Roman" w:cs="Times New Roman" w:eastAsia="Times New Roman" w:hAnsi="Times New Roman"/>
          <w:sz w:val="17"/>
          <w:szCs w:val="17"/>
          <w:color w:val="auto"/>
        </w:rPr>
      </w:pPr>
    </w:p>
    <w:p>
      <w:pPr>
        <w:ind w:left="320" w:right="340" w:hanging="317"/>
        <w:spacing w:after="0" w:line="284" w:lineRule="auto"/>
        <w:tabs>
          <w:tab w:leader="none" w:pos="3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amount of commercial sales, revenues, milestones or royalties or other income from our future products, should any of our product candidates receive marketing approval; and</w:t>
      </w:r>
    </w:p>
    <w:p>
      <w:pPr>
        <w:spacing w:after="0" w:line="1" w:lineRule="exact"/>
        <w:rPr>
          <w:rFonts w:ascii="Times New Roman" w:cs="Times New Roman" w:eastAsia="Times New Roman" w:hAnsi="Times New Roman"/>
          <w:sz w:val="17"/>
          <w:szCs w:val="17"/>
          <w:color w:val="auto"/>
        </w:rPr>
      </w:pPr>
    </w:p>
    <w:p>
      <w:pPr>
        <w:ind w:left="320" w:hanging="317"/>
        <w:spacing w:after="0" w:line="284" w:lineRule="auto"/>
        <w:tabs>
          <w:tab w:leader="none" w:pos="3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obtaining, maintaining, enforcing and protecting our intellectual property rights and defending intellectual property-related claims including litigation costs and any damages awarded in such litigation; and</w:t>
      </w:r>
    </w:p>
    <w:p>
      <w:pPr>
        <w:spacing w:after="0" w:line="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and success or otherwise of competing autoimmune or infectious disease therapies and other market developments.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change in the outcome of any of these or other variables with respect to the development of any of our current and future product candidates could significantly change the costs and timing associated with the development of that product candidate, in either direction. Furthermore, our operating plans may change in the future owing to research outcomes or other opportunities, and we may need additional funds to meet operational needs and capital requirements associated with such altered operating plans.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Based on our current standalone research and development plans, we expect that our existing cash, cash equivalents, restricted cash and other financial resources will enable us to fund our operating expenses and capital expenditure requirements for at least the next 12 months. These estimates are based on assumptions that may prove to be wrong, and we could use our available capital resources more quickly than we expect.</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require substantial additional financing in the future to meet any such unanticipated factors, including if the Contemplated Transactions are not consummated timely or at all. If we raise additional funds through collaborations, strategic alliances, distribution or licensing arrangements with third parties, we may have to relinquish valuable rights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technologies, future revenue streams or product candidates or grant licenses on terms that may not be favorable to us. If we are unable to raise additional funds when needed, we would be required to delay, limit, reduce or terminate our product development programs, future commercialization efforts, other operational plans or grant rights to develop and market product candidates that we would otherwise prefer to develop and market ourselves.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Purchase, and Other Obligations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operating lease obligations related to our property, plant and equipment. The obligations related to both short- and long-term lease arrangements are set forth in Note 15 “Commitment and Contingencies” to our condensed consolidated financial statements.</w:t>
      </w:r>
    </w:p>
    <w:p>
      <w:pPr>
        <w:spacing w:after="0" w:line="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enter into contracts in the normal course of business with CROs and other third parties for clinical trials and preclinical research studies and testing. These contracts are generally cancellable by us upon prior notice. Payments due upon cancellation consist only of payments for services provided or expenses incurred, including noncancellable obligations of our service providers, up to the date of cancellation.</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contingent payment obligations that we may incur upon achievement of clinical, regulatory and commercial milestones, as applicable, or royalty payments that we may be required to make under our licenses; however, the amount, timing and likelihood of such payments are not known as of March 31,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an emerging growth company under the Jumpstart Our Business Startups Act of 2012, as amended, or the JOBS Act. As an emerging growth company, we may delay the adoption of certain accounting standards until those standards would otherwise apply to private companies.</w:t>
      </w:r>
    </w:p>
    <w:p>
      <w:pPr>
        <w:spacing w:after="0" w:line="1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(1) the last day of the fiscal year (a) following the fifth anniversary of the date of the closing of our IPO, (b) in which we have total annual gross revenue of at least $1.235 billion, or (c) in which we are deemed to be a “large accelerated filer” as defined in Rule 12b-2 under the Exchange Act, which would occur if the market value of our ADSs held by non-affiliates exceeded $700.0 million as of the prior June 30th, and (2) the date on which we have issued more than $1.0 billion in non-convertible debt securities during the prior three-year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our financial position and results of operations is disclosed in Note 2 to our condensed consolidated financial statements.</w:t>
      </w:r>
    </w:p>
    <w:p>
      <w:pPr>
        <w:spacing w:after="0" w:line="14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 About Market Risk.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and Currency Translation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the risk of fluctuations in foreign currency exchange rates, specifically with respect to the euro, pound sterling, Swiss franc and Australian dollar. Our reporting currency is the United States dollar, and the functional currency of Barinthus Biotherapeutics plc and its consolidated subsidiaries, Barinthus Biotherapeutics (UK) Limited and Vaccitech Oncology Limited, is the pound sterling. The functional currency of our wholly owned foreign subsidiaries, Barinthus Biotherapeutics North America, Inc., Beacon Topco, Inc. and Cdog Merger Sub, Inc., is the United States dollar. The functional currency of our wholly owned foreign subsidiary, Barinthus Biotherapeutics Pty Limited, is the Australian dollar. The functional currency of our wholly owned foreign subsidiary, Barinthus Biotherapeutics Switzerland GmbH, is the Swiss franc. Our cash, cash equivalents and restricted cash as of March 31, 2026 consisted primarily of cash balances held by Barinthus Biotherapeutics (UK) Limited in United States dollars.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Assets and liabilities are translated into United States dollars at the exchange rate in effect on the balance sheet date. Revenue and expenses are translated at the average exchange rate in effect during the period. Translation adjustments are included in the condensed consolidated Balance Sheets as a component of accumulated other comprehensive loss. Adjustments that arise from exchange rate changes on transactions denominated in a currency other than the local currency are included in operating expenses, net in the condensed consolidated Statements of Operations and Comprehensive Loss as incurred.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incur significant operating costs in the U.K. and face exposure to changes in the exchange ratio of the United States dollar and the pound sterling arising from expenses and payables at our U.K. operations that are settled in pound sterling. For the three months ended March 31, 2026, an average 10% weakening in the United States dollar relative to the pound sterling would have resulted in a material change to our current and projected expenses denominated in pound sterling.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Sensitivity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not currently exposed significantly to market risk related to changes in interest rates, as we have no significant interest-bearing liabilities. We had cash, cash equivalents and restricted cash of $67.2 million as of March 31, 2026, which were primarily held as account balances with banks in the U.K. and United States. A hypothetical 10% relative change in interest rates during any of the periods presented would not have had a material impact on our condensed consolidated financial statements.</w:t>
      </w:r>
    </w:p>
    <w:p>
      <w:pPr>
        <w:spacing w:after="0" w:line="1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principal executive officer and principal financial officer, evaluated the effectiveness of our disclosure controls and procedures (as defined in Rule 13a-15(e) and 15d-15(e) under the Exchange Act) as of March 31, 2026.</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term “disclosure controls and procedures”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Based on our evaluation, our principal executive officer and principal financial officer has concluded that, as of such date, our disclosure controls and procedures were effective.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13a-15(f) and 15d-15(f) under the Exchange Act)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From time to time, we may become subject to various legal proceedings and claims that arise in the ordinary course of our business activities. Although the results of litigation and claims cannot be predicted with certainty, as of March 31, 2026,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08"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There have been no material changes from the risk factors previously disclosed in our most recent Annual Report on Form 10-K as filed with the SEC on March 13, 2026.</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Quarterly Report contains express or implied forward-looking statements that involve substantial risks and uncertainties. In some cases, you can identify forward-looking statements by the words “may,” “might,” “will,” “could,” “would,” “should,” “expect,” “intend,” “plan,” “objective,” “anticipate,” “believe,” “estimate,” “predict,” “potential,” “continue,”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Quarterly Report are based upon information available to our management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contained in this Quarterly Report include, but are not limited to, statements about:</w:t>
      </w:r>
    </w:p>
    <w:p>
      <w:pPr>
        <w:spacing w:after="0" w:line="76"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combinations with Clywedog and expectations regarding the timing and benefits of, and our ability to consummate, the proposed combinations;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cost and timing of our product development activities and clinical trials;</w:t>
      </w:r>
    </w:p>
    <w:p>
      <w:pPr>
        <w:spacing w:after="0" w:line="113"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scope or likelihood of regulatory filings and approvals, including timing of IND, New Drug Application, and Biologics License Application filings for our current and future product candidates, and final FDA, European Medicines Agency, United Kingdom Medicines and Healthcare products Regulatory Agency, or other foreign regulatory authority approvals relating to our current and future product candidates;</w:t>
      </w:r>
    </w:p>
    <w:p>
      <w:pPr>
        <w:spacing w:after="0" w:line="49" w:lineRule="exact"/>
        <w:rPr>
          <w:rFonts w:ascii="Times New Roman" w:cs="Times New Roman" w:eastAsia="Times New Roman" w:hAnsi="Times New Roman"/>
          <w:sz w:val="17"/>
          <w:szCs w:val="17"/>
          <w:color w:val="auto"/>
        </w:rPr>
      </w:pPr>
    </w:p>
    <w:p>
      <w:pPr>
        <w:ind w:left="320" w:right="40" w:hanging="317"/>
        <w:spacing w:after="0" w:line="271" w:lineRule="auto"/>
        <w:tabs>
          <w:tab w:leader="none" w:pos="3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expectations, plans and prospects, including the estimates of costs that we expect to incur in connection with any future restructuring and the timing thereof;</w:t>
      </w:r>
    </w:p>
    <w:p>
      <w:pPr>
        <w:spacing w:after="0" w:line="6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advance our current and future product candidates and programs into, and successfully complete, clinical trials;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future or maintain current collaborations or strategic relationships;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current and future product candidates;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expectations surrounding the payments we could potentially receive pursuant to our collaborations and license agreements;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and willingness of our third-party collaborators to continue research and development activities relating to our product candidates;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defend and enforce our intellectual property protection for our product candidates, and the scope of such protection;</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commercialization and marketing capabilities and strategy;</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agreements with third parties in connection with the commercialization of our product candidates, if approved, and any other approved products;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in the United States and foreign countries;</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companies, technologies and our industry and the success of competing therapies that are or may become available;</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scientific or management personnel;</w:t>
      </w:r>
    </w:p>
    <w:p>
      <w:pPr>
        <w:spacing w:after="0" w:line="113" w:lineRule="exact"/>
        <w:rPr>
          <w:rFonts w:ascii="Times New Roman" w:cs="Times New Roman" w:eastAsia="Times New Roman" w:hAnsi="Times New Roman"/>
          <w:sz w:val="17"/>
          <w:szCs w:val="17"/>
          <w:color w:val="auto"/>
        </w:rPr>
      </w:pPr>
    </w:p>
    <w:p>
      <w:pPr>
        <w:ind w:left="320" w:hanging="317"/>
        <w:spacing w:after="0" w:line="263" w:lineRule="auto"/>
        <w:tabs>
          <w:tab w:leader="none" w:pos="3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operations, including funding necessary to complete further development and commercialization of our product candidates;</w:t>
      </w:r>
    </w:p>
    <w:p>
      <w:pPr>
        <w:spacing w:after="0" w:line="30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of our annual total addressable markets, future revenue, expenses, capital requirements and needs for additional financing;</w:t>
      </w:r>
    </w:p>
    <w:p>
      <w:pPr>
        <w:spacing w:after="0" w:line="113"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about market trends;</w:t>
      </w:r>
    </w:p>
    <w:p>
      <w:pPr>
        <w:spacing w:after="0" w:line="10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anticipate and overcome challenges posed to the conduct of our business in the event of a global pandemic or similar event;</w:t>
      </w:r>
    </w:p>
    <w:p>
      <w:pPr>
        <w:spacing w:after="0" w:line="113" w:lineRule="exact"/>
        <w:rPr>
          <w:rFonts w:ascii="Times New Roman" w:cs="Times New Roman" w:eastAsia="Times New Roman" w:hAnsi="Times New Roman"/>
          <w:sz w:val="17"/>
          <w:szCs w:val="17"/>
          <w:color w:val="auto"/>
        </w:rPr>
      </w:pPr>
    </w:p>
    <w:p>
      <w:pPr>
        <w:jc w:val="both"/>
        <w:ind w:left="320" w:hanging="317"/>
        <w:spacing w:after="0" w:line="264" w:lineRule="auto"/>
        <w:tabs>
          <w:tab w:leader="none" w:pos="3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global economic and political developments on our business, including inflationary pressures, volatile interest rates, variable tariff policies or intensified disruptions in the global financial markets, the change in the U.S. presidential administration, the conflict in Ukraine, the conflict in Iran, the conflict in Israel and Gaza, disruptions in the banking industry, economic sanctions and economic slowdowns or recessions that may result from such developments; and</w:t>
      </w:r>
    </w:p>
    <w:p>
      <w:pPr>
        <w:spacing w:after="0" w:line="68"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period during which we qualify as an emerging growth company under the JOBS Act.</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Quarterly Report and the documents that we reference in this Quarterly Report with the understanding that our actual future results may be materially different from what we expect. We qualify all of our forward-looking statements in this Quarterly Report by these cautionary statements.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Quarterly Report contains summaries of certain provisions contained in some of the documents described herein, but reference is made to the actual documents for complete information. All of the summaries are qualified in their entirety by the actual documents. Unless the context otherwise requires, reference in this Quarterly Report to the terms “Barinthus Bio,” “the Company,” “we,” “us,” “our,” and similar designations refer to Barinthus Biotherapeutics plc and, where appropriate, our wholly-owned subsidiaries.</w:t>
      </w:r>
    </w:p>
    <w:p>
      <w:pPr>
        <w:spacing w:after="0" w:line="1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Set forth below is information regarding shares of equity securities sold, and options granted, by us during the three months ended March 31, 2026 that were not registered under the Securities 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Sales of Unregistered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of Equity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r>
        <w:rPr>
          <w:rFonts w:ascii="Times New Roman" w:cs="Times New Roman" w:eastAsia="Times New Roman" w:hAnsi="Times New Roman"/>
          <w:sz w:val="17"/>
          <w:szCs w:val="17"/>
          <w:i w:val="1"/>
          <w:iCs w:val="1"/>
          <w:color w:val="auto"/>
        </w:rPr>
        <w:t>.</w:t>
      </w:r>
    </w:p>
    <w:p>
      <w:pPr>
        <w:spacing w:after="0" w:line="2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None of our directors or officers (as defined in Rule 16a-1(f) of the Exchange Act adopted, modified, or terminated a Rule 10b5-1 trading arrangement or a non-Rule 10b5-1 trading arrangement during the fiscal quarter ended March 31, 2026.</w:t>
      </w:r>
    </w:p>
    <w:p>
      <w:pPr>
        <w:sectPr>
          <w:pgSz w:w="11900" w:h="16838" w:orient="portrait"/>
          <w:cols w:equalWidth="0" w:num="1">
            <w:col w:w="11240"/>
          </w:cols>
          <w:pgMar w:left="320" w:top="123" w:right="339" w:bottom="1440" w:gutter="0" w:footer="0" w:header="0"/>
        </w:sectPr>
      </w:pPr>
    </w:p>
    <w:p>
      <w:pPr>
        <w:spacing w:after="0" w:line="14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6.</w:t>
        <w:tab/>
        <w:t>Exhibits</w:t>
      </w:r>
      <w:r>
        <w:rPr>
          <w:rFonts w:ascii="Times New Roman" w:cs="Times New Roman" w:eastAsia="Times New Roman" w:hAnsi="Times New Roman"/>
          <w:sz w:val="17"/>
          <w:szCs w:val="17"/>
          <w:color w:val="auto"/>
        </w:rPr>
        <w:t>.</w:t>
      </w:r>
    </w:p>
    <w:p>
      <w:pPr>
        <w:spacing w:after="0" w:line="269" w:lineRule="exact"/>
        <w:rPr>
          <w:sz w:val="20"/>
          <w:szCs w:val="20"/>
          <w:color w:val="auto"/>
        </w:rPr>
      </w:pPr>
    </w:p>
    <w:p>
      <w:pPr>
        <w:ind w:left="20" w:right="220"/>
        <w:spacing w:after="0" w:line="339" w:lineRule="auto"/>
        <w:rPr>
          <w:sz w:val="20"/>
          <w:szCs w:val="20"/>
          <w:color w:val="auto"/>
        </w:rPr>
      </w:pPr>
      <w:r>
        <w:rPr>
          <w:rFonts w:ascii="Times New Roman" w:cs="Times New Roman" w:eastAsia="Times New Roman" w:hAnsi="Times New Roman"/>
          <w:sz w:val="17"/>
          <w:szCs w:val="17"/>
          <w:b w:val="1"/>
          <w:bCs w:val="1"/>
          <w:color w:val="auto"/>
        </w:rPr>
        <w:t xml:space="preserve">Exhibit Number </w:t>
      </w:r>
      <w:r>
        <w:rPr>
          <w:rFonts w:ascii="Times New Roman" w:cs="Times New Roman" w:eastAsia="Times New Roman" w:hAnsi="Times New Roman"/>
          <w:sz w:val="17"/>
          <w:szCs w:val="17"/>
          <w:color w:val="auto"/>
        </w:rPr>
        <w:t>3.1</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31.1*</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31.2*</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41" w:lineRule="exact"/>
        <w:rPr>
          <w:sz w:val="20"/>
          <w:szCs w:val="20"/>
          <w:color w:val="auto"/>
        </w:rPr>
      </w:pPr>
    </w:p>
    <w:p>
      <w:pPr>
        <w:ind w:right="260"/>
        <w:spacing w:after="0" w:line="239" w:lineRule="auto"/>
        <w:rPr>
          <w:rFonts w:ascii="Times New Roman" w:cs="Times New Roman" w:eastAsia="Times New Roman" w:hAnsi="Times New Roman"/>
          <w:sz w:val="17"/>
          <w:szCs w:val="17"/>
          <w:u w:val="single" w:color="auto"/>
          <w:color w:val="0000FF"/>
        </w:rPr>
      </w:pPr>
      <w:hyperlink r:id="rId52">
        <w:r>
          <w:rPr>
            <w:rFonts w:ascii="Times New Roman" w:cs="Times New Roman" w:eastAsia="Times New Roman" w:hAnsi="Times New Roman"/>
            <w:sz w:val="17"/>
            <w:szCs w:val="17"/>
            <w:u w:val="single" w:color="auto"/>
            <w:color w:val="0000FF"/>
          </w:rPr>
          <w:t>Articles of Association of the Registrant (Incorporated herein by reference to Exhibit 3.1 to the Registrant’s Form 8-K (File No. 001-</w:t>
        </w:r>
      </w:hyperlink>
      <w:hyperlink r:id="rId52">
        <w:r>
          <w:rPr>
            <w:rFonts w:ascii="Times New Roman" w:cs="Times New Roman" w:eastAsia="Times New Roman" w:hAnsi="Times New Roman"/>
            <w:sz w:val="17"/>
            <w:szCs w:val="17"/>
            <w:u w:val="single" w:color="auto"/>
            <w:color w:val="0000FF"/>
          </w:rPr>
          <w:t>40367) filed with the Securities and Exchange Commission on May 10, 2021).</w:t>
        </w:r>
      </w:hyperlink>
    </w:p>
    <w:p>
      <w:pPr>
        <w:spacing w:after="0" w:line="1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0"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7"/>
          <w:szCs w:val="17"/>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and Principal Financial Officer Pursuant to 18 U.S.C. Section 1350, as Adopted Pursuant to Section 906 of the Sarbanes-Oxley Act of 2002</w:t>
      </w:r>
    </w:p>
    <w:p>
      <w:pPr>
        <w:spacing w:after="0" w:line="23" w:lineRule="exact"/>
        <w:rPr>
          <w:sz w:val="20"/>
          <w:szCs w:val="20"/>
          <w:color w:val="auto"/>
        </w:rPr>
      </w:pPr>
    </w:p>
    <w:p>
      <w:pPr>
        <w:sectPr>
          <w:pgSz w:w="11900" w:h="16838" w:orient="portrait"/>
          <w:cols w:equalWidth="0" w:num="2">
            <w:col w:w="1440" w:space="400"/>
            <w:col w:w="9400"/>
          </w:cols>
          <w:pgMar w:left="320" w:top="123" w:right="339" w:bottom="1440" w:gutter="0" w:footer="0" w:header="0"/>
          <w:type w:val="continuous"/>
        </w:sect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color w:val="auto"/>
        </w:rPr>
        <w:t>101.INS*</w:t>
      </w:r>
      <w:r>
        <w:rPr>
          <w:sz w:val="20"/>
          <w:szCs w:val="20"/>
          <w:color w:val="auto"/>
        </w:rPr>
        <w:tab/>
      </w:r>
      <w:r>
        <w:rPr>
          <w:rFonts w:ascii="Times New Roman" w:cs="Times New Roman" w:eastAsia="Times New Roman" w:hAnsi="Times New Roman"/>
          <w:sz w:val="17"/>
          <w:szCs w:val="17"/>
          <w:color w:val="auto"/>
        </w:rPr>
        <w:t>Inline XBRL Instance Document</w:t>
      </w:r>
    </w:p>
    <w:p>
      <w:pPr>
        <w:spacing w:after="0" w:line="49"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49"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color w:val="auto"/>
        </w:rPr>
        <w:t>101.CAL*</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49"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49"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color w:val="auto"/>
        </w:rPr>
        <w:t>101.LAB*</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49"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49"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in as Inline XBRL with applicable taxonomy extension information contained in Exhibits</w:t>
      </w:r>
    </w:p>
    <w:p>
      <w:pPr>
        <w:spacing w:after="0" w:line="1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101)</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_______________________________________________</w:t>
      </w:r>
    </w:p>
    <w:p>
      <w:pPr>
        <w:spacing w:after="0" w:line="18"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44" w:lineRule="exact"/>
        <w:rPr>
          <w:sz w:val="20"/>
          <w:szCs w:val="20"/>
          <w:color w:val="auto"/>
        </w:rPr>
      </w:pPr>
    </w:p>
    <w:p>
      <w:pPr>
        <w:jc w:val="both"/>
        <w:ind w:left="320" w:hanging="317"/>
        <w:spacing w:after="0" w:line="270" w:lineRule="auto"/>
        <w:tabs>
          <w:tab w:leader="none" w:pos="31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BARINTHUS BIOTHERAPEUTICS PLC</w:t>
      </w:r>
    </w:p>
    <w:p>
      <w:pPr>
        <w:spacing w:after="0" w:line="311" w:lineRule="exact"/>
        <w:rPr>
          <w:sz w:val="20"/>
          <w:szCs w:val="20"/>
          <w:color w:val="auto"/>
        </w:rPr>
      </w:pPr>
    </w:p>
    <w:p>
      <w:pPr>
        <w:ind w:left="20"/>
        <w:spacing w:after="0"/>
        <w:tabs>
          <w:tab w:leader="none" w:pos="4740" w:val="left"/>
          <w:tab w:leader="none" w:pos="7540" w:val="left"/>
        </w:tabs>
        <w:rPr>
          <w:sz w:val="20"/>
          <w:szCs w:val="20"/>
          <w:color w:val="auto"/>
        </w:rPr>
      </w:pPr>
      <w:r>
        <w:rPr>
          <w:rFonts w:ascii="Times New Roman" w:cs="Times New Roman" w:eastAsia="Times New Roman" w:hAnsi="Times New Roman"/>
          <w:sz w:val="17"/>
          <w:szCs w:val="17"/>
          <w:color w:val="auto"/>
        </w:rPr>
        <w:t>Date: April 30,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25400</wp:posOffset>
            </wp:positionV>
            <wp:extent cx="3839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839210" cy="8255"/>
                    </a:xfrm>
                    <a:prstGeom prst="rect">
                      <a:avLst/>
                    </a:prstGeom>
                    <a:noFill/>
                  </pic:spPr>
                </pic:pic>
              </a:graphicData>
            </a:graphic>
          </wp:anchor>
        </w:drawing>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7"/>
          <w:szCs w:val="17"/>
          <w:color w:val="auto"/>
        </w:rPr>
        <w:t>William Enright</w:t>
      </w:r>
    </w:p>
    <w:p>
      <w:pPr>
        <w:spacing w:after="0" w:line="16"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color w:val="auto"/>
        </w:rPr>
        <w:t>(Principal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700"/>
          </w:cols>
          <w:pgMar w:left="320" w:top="123" w:right="8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AND 15d-14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UNDER THE SECURITIES EXCHANGE ACT OF 1934</w:t>
      </w:r>
      <w:r>
        <w:rPr>
          <w:rFonts w:ascii="Times New Roman" w:cs="Times New Roman" w:eastAsia="Times New Roman" w:hAnsi="Times New Roman"/>
          <w:sz w:val="17"/>
          <w:szCs w:val="17"/>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Enright, certify that:</w:t>
      </w:r>
    </w:p>
    <w:p>
      <w:pPr>
        <w:spacing w:after="0" w:line="217" w:lineRule="exact"/>
        <w:rPr>
          <w:sz w:val="20"/>
          <w:szCs w:val="20"/>
          <w:color w:val="auto"/>
        </w:rPr>
      </w:pPr>
    </w:p>
    <w:p>
      <w:pPr>
        <w:ind w:left="320" w:hanging="317"/>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Barinthus Biotherapeutics plc;</w:t>
      </w:r>
    </w:p>
    <w:p>
      <w:pPr>
        <w:spacing w:after="0" w:line="217"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320" w:right="60" w:hanging="317"/>
        <w:spacing w:after="0" w:line="270"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1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1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620" w:right="280" w:hanging="307"/>
        <w:spacing w:after="0" w:line="270" w:lineRule="auto"/>
        <w:tabs>
          <w:tab w:leader="none" w:pos="61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20" w:right="640" w:hanging="317"/>
        <w:spacing w:after="0" w:line="287" w:lineRule="auto"/>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7"/>
          <w:szCs w:val="17"/>
          <w:color w:val="auto"/>
        </w:rPr>
        <w:t>Date: April 30, 2026</w:t>
      </w:r>
      <w:r>
        <w:rPr>
          <w:sz w:val="20"/>
          <w:szCs w:val="20"/>
          <w:color w:val="auto"/>
        </w:rPr>
        <w:tab/>
      </w:r>
      <w:r>
        <w:rPr>
          <w:rFonts w:ascii="Times New Roman" w:cs="Times New Roman" w:eastAsia="Times New Roman" w:hAnsi="Times New Roman"/>
          <w:sz w:val="17"/>
          <w:szCs w:val="17"/>
          <w:color w:val="auto"/>
        </w:rPr>
        <w:t>/s/ William Enright</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 William Enright</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09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AND 15d-14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UNDER THE SECURITIES EXCHANGE ACT OF 1934</w:t>
      </w:r>
      <w:r>
        <w:rPr>
          <w:rFonts w:ascii="Times New Roman" w:cs="Times New Roman" w:eastAsia="Times New Roman" w:hAnsi="Times New Roman"/>
          <w:sz w:val="17"/>
          <w:szCs w:val="17"/>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Enright, certify that:</w:t>
      </w:r>
    </w:p>
    <w:p>
      <w:pPr>
        <w:spacing w:after="0" w:line="217" w:lineRule="exact"/>
        <w:rPr>
          <w:sz w:val="20"/>
          <w:szCs w:val="20"/>
          <w:color w:val="auto"/>
        </w:rPr>
      </w:pPr>
    </w:p>
    <w:p>
      <w:pPr>
        <w:ind w:left="320" w:hanging="317"/>
        <w:spacing w:after="0"/>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Barinthus Biotherapeutics plc;</w:t>
      </w:r>
    </w:p>
    <w:p>
      <w:pPr>
        <w:spacing w:after="0" w:line="217" w:lineRule="exact"/>
        <w:rPr>
          <w:rFonts w:ascii="Times New Roman" w:cs="Times New Roman" w:eastAsia="Times New Roman" w:hAnsi="Times New Roman"/>
          <w:sz w:val="17"/>
          <w:szCs w:val="17"/>
          <w:color w:val="auto"/>
        </w:rPr>
      </w:pPr>
    </w:p>
    <w:p>
      <w:pPr>
        <w:ind w:left="320" w:right="160" w:hanging="317"/>
        <w:spacing w:after="0" w:line="287"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right="260" w:hanging="317"/>
        <w:spacing w:after="0" w:line="287"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320" w:right="60" w:hanging="317"/>
        <w:spacing w:after="0" w:line="270"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620" w:right="280" w:hanging="307"/>
        <w:spacing w:after="0" w:line="270" w:lineRule="auto"/>
        <w:tabs>
          <w:tab w:leader="none" w:pos="6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20" w:right="640" w:hanging="317"/>
        <w:spacing w:after="0" w:line="287" w:lineRule="auto"/>
        <w:tabs>
          <w:tab w:leader="none" w:pos="3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7"/>
          <w:szCs w:val="17"/>
          <w:color w:val="auto"/>
        </w:rPr>
        <w:t>Date: April 30, 2026</w:t>
      </w:r>
      <w:r>
        <w:rPr>
          <w:sz w:val="20"/>
          <w:szCs w:val="20"/>
          <w:color w:val="auto"/>
        </w:rPr>
        <w:tab/>
      </w:r>
      <w:r>
        <w:rPr>
          <w:rFonts w:ascii="Times New Roman" w:cs="Times New Roman" w:eastAsia="Times New Roman" w:hAnsi="Times New Roman"/>
          <w:sz w:val="17"/>
          <w:szCs w:val="17"/>
          <w:color w:val="auto"/>
        </w:rPr>
        <w:t>/s/ William Enright</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 William Enright</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09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18U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SECTION 1350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AS ADOPTED PURSUANT TO</w:t>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Barinthus Biotherapeutics plc (the “Company”) on Form 10-Q for the period ending March 31, 2026 as filed with the Securities and Exchange Commission on the date hereof (the “Report”), the undersigned officer of the Company certifies, pursuant to 18 U.S.C. § 1350, as adopted pursuant to § 906 of the Sarbanes-Oxley Act of 2002, to the best of his knowledge that:</w:t>
      </w:r>
    </w:p>
    <w:p>
      <w:pPr>
        <w:spacing w:after="0" w:line="165"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69" w:lineRule="exact"/>
        <w:rPr>
          <w:sz w:val="20"/>
          <w:szCs w:val="20"/>
          <w:color w:val="auto"/>
        </w:rPr>
      </w:pPr>
    </w:p>
    <w:p>
      <w:pPr>
        <w:ind w:left="20"/>
        <w:spacing w:after="0"/>
        <w:tabs>
          <w:tab w:leader="none" w:pos="4960" w:val="left"/>
        </w:tabs>
        <w:rPr>
          <w:sz w:val="20"/>
          <w:szCs w:val="20"/>
          <w:color w:val="auto"/>
        </w:rPr>
      </w:pPr>
      <w:r>
        <w:rPr>
          <w:rFonts w:ascii="Times New Roman" w:cs="Times New Roman" w:eastAsia="Times New Roman" w:hAnsi="Times New Roman"/>
          <w:sz w:val="17"/>
          <w:szCs w:val="17"/>
          <w:color w:val="auto"/>
        </w:rPr>
        <w:t>Date: April 30, 2026</w:t>
      </w:r>
      <w:r>
        <w:rPr>
          <w:sz w:val="20"/>
          <w:szCs w:val="20"/>
          <w:color w:val="auto"/>
        </w:rPr>
        <w:tab/>
      </w:r>
      <w:r>
        <w:rPr>
          <w:rFonts w:ascii="Times New Roman" w:cs="Times New Roman" w:eastAsia="Times New Roman" w:hAnsi="Times New Roman"/>
          <w:sz w:val="17"/>
          <w:szCs w:val="17"/>
          <w:color w:val="auto"/>
        </w:rPr>
        <w:t>/s/ William Enright</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Name: William Enright</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(Principal Executive Officer and Principal Financial Officer)</w:t>
      </w:r>
    </w:p>
    <w:sectPr>
      <w:pgSz w:w="11900" w:h="16838" w:orient="portrait"/>
      <w:cols w:equalWidth="0" w:num="1">
        <w:col w:w="11240"/>
      </w:cols>
      <w:pgMar w:left="320" w:top="10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2" Type="http://schemas.openxmlformats.org/officeDocument/2006/relationships/hyperlink" Target="https://www.sec.gov/Archives/edgar/data/1828185/000110465921063872/tm2115595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2026-04-30T06:45:56Z</dcterms:created>
  <dcterms:modified xsi:type="dcterms:W3CDTF">2026-04-30T06:45:56Z</dcterms:modified>
</cp:coreProperties>
</file>