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4619d1_8k.htm"/>
      <w:bookmarkStart w:id="1" w:name="kstm2624619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9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 xml:space="preserve">September 1,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D_edei--EntityRegistrantName_c2026"/>
      <w:bookmarkEnd w:id="4"/>
      <w:r>
        <w:rPr>
          <w:rFonts w:ascii="Times New Roman;Times;Serif" w:hAnsi="Times New Roman;Times;Serif"/>
          <w:b/>
          <w:i w:val="false"/>
          <w:caps w:val="false"/>
          <w:smallCaps w:val="false"/>
          <w:sz w:val="48"/>
        </w:rPr>
        <w:t>BARINTHUS BIOTHERAPEUTICS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England and Wales</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0901"/>
            <w:bookmarkEnd w:id="6"/>
            <w:r>
              <w:rPr>
                <w:rFonts w:ascii="Times New Roman;Times;Serif" w:hAnsi="Times New Roman;Times;Serif"/>
                <w:b/>
                <w:i w:val="false"/>
                <w:caps w:val="false"/>
                <w:smallCaps w:val="false"/>
                <w:sz w:val="20"/>
              </w:rPr>
              <w:t>001-40367</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Not Applicable</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color w:val="FFFFFF"/>
        </w:rPr>
      </w:pPr>
      <w:r>
        <w:rPr>
          <w:caps w:val="false"/>
          <w:smallCaps w:val="false"/>
          <w:color w:val="FFFFFF"/>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c/o Barinthus Biotherapeutics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E_edei--EntityAddressAddressLine2_"/>
      <w:bookmarkEnd w:id="9"/>
      <w:r>
        <w:rPr>
          <w:rFonts w:ascii="Times New Roman;Times;Serif" w:hAnsi="Times New Roman;Times;Serif"/>
          <w:b/>
          <w:i w:val="false"/>
          <w:caps w:val="false"/>
          <w:smallCaps w:val="false"/>
          <w:sz w:val="20"/>
        </w:rPr>
        <w:t>20400 Century Boulevard,</w:t>
      </w:r>
      <w:bookmarkStart w:id="10" w:name="xdx_903_edei--EntityAddressAddressLine3_"/>
      <w:bookmarkEnd w:id="10"/>
      <w:r>
        <w:rPr>
          <w:rFonts w:ascii="Times New Roman;Times;Serif" w:hAnsi="Times New Roman;Times;Serif"/>
          <w:b/>
          <w:i w:val="false"/>
          <w:caps w:val="false"/>
          <w:smallCaps w:val="false"/>
          <w:sz w:val="20"/>
        </w:rPr>
        <w:t xml:space="preserve"> Suite 210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8_edei--EntityAddressCityOrTown_c2"/>
      <w:bookmarkEnd w:id="11"/>
      <w:r>
        <w:rPr>
          <w:rFonts w:ascii="Times New Roman;Times;Serif" w:hAnsi="Times New Roman;Times;Serif"/>
          <w:b/>
          <w:i w:val="false"/>
          <w:caps w:val="false"/>
          <w:smallCaps w:val="false"/>
          <w:sz w:val="20"/>
        </w:rPr>
        <w:t xml:space="preserve">Germantown, </w:t>
      </w:r>
      <w:bookmarkStart w:id="12" w:name="xdx_905_edei--EntityAddressStateOrProvin"/>
      <w:bookmarkEnd w:id="12"/>
      <w:r>
        <w:rPr>
          <w:rFonts w:ascii="Times New Roman;Times;Serif" w:hAnsi="Times New Roman;Times;Serif"/>
          <w:b/>
          <w:i w:val="false"/>
          <w:caps w:val="false"/>
          <w:smallCaps w:val="false"/>
          <w:sz w:val="20"/>
        </w:rPr>
        <w:t>MD</w:t>
      </w:r>
      <w:bookmarkStart w:id="13" w:name="xdx_909_edei--EntityAddressPostalZipCode"/>
      <w:bookmarkEnd w:id="13"/>
      <w:r>
        <w:rPr>
          <w:rFonts w:ascii="Times New Roman;Times;Serif" w:hAnsi="Times New Roman;Times;Serif"/>
          <w:b/>
          <w:i w:val="false"/>
          <w:caps w:val="false"/>
          <w:smallCaps w:val="false"/>
          <w:sz w:val="20"/>
        </w:rPr>
        <w:t xml:space="preserve"> 20874</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1_edei--EntityAddressCountry_c2026"/>
      <w:bookmarkEnd w:id="14"/>
      <w:r>
        <w:rPr>
          <w:rFonts w:ascii="Times New Roman;Times;Serif" w:hAnsi="Times New Roman;Times;Serif"/>
          <w:b/>
          <w:i w:val="false"/>
          <w:caps w:val="false"/>
          <w:smallCaps w:val="false"/>
          <w:sz w:val="20"/>
        </w:rPr>
        <w:t>United States of America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5" w:name="xdx_908_edei--CityAreaCode_c20260901__20"/>
      <w:bookmarkEnd w:id="15"/>
      <w:r>
        <w:rPr>
          <w:rFonts w:ascii="Times New Roman;Times;Serif" w:hAnsi="Times New Roman;Times;Serif"/>
          <w:b/>
          <w:i w:val="false"/>
          <w:caps w:val="false"/>
          <w:smallCaps w:val="false"/>
          <w:sz w:val="20"/>
        </w:rPr>
        <w:t>443)</w:t>
      </w:r>
      <w:bookmarkStart w:id="16" w:name="xdx_90B_edei--LocalPhoneNumber_c20260901"/>
      <w:bookmarkEnd w:id="16"/>
      <w:r>
        <w:rPr>
          <w:rFonts w:ascii="Times New Roman;Times;Serif" w:hAnsi="Times New Roman;Times;Serif"/>
          <w:b/>
          <w:i w:val="false"/>
          <w:caps w:val="false"/>
          <w:smallCaps w:val="false"/>
          <w:sz w:val="20"/>
        </w:rPr>
        <w:t xml:space="preserve"> 917-0966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caps w:val="false"/>
                <w:smallCaps w:val="false"/>
              </w:rPr>
            </w:pPr>
            <w:bookmarkStart w:id="17" w:name="xdx_904_edei--WrittenCommunications_c202"/>
            <w:bookmarkEnd w:id="17"/>
            <w:r>
              <w:rPr>
                <w:caps w:val="false"/>
                <w:smallCaps w:val="false"/>
              </w:rPr>
              <w:t>☐</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8" w:name="xdx_90B_edei--SolicitingMaterial_c202609"/>
            <w:bookmarkEnd w:id="18"/>
            <w:r>
              <w:rPr>
                <w:caps w:val="false"/>
                <w:smallCaps w:val="false"/>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9" w:name="xdx_903_edei--PreCommencementTenderOffer"/>
            <w:bookmarkEnd w:id="19"/>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20" w:name="xdx_909_edei--PreCommencementIssuerTende"/>
            <w:bookmarkEnd w:id="20"/>
            <w:r>
              <w:rPr>
                <w:caps w:val="false"/>
                <w:smallCaps w:val="false"/>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4355"/>
        <w:gridCol w:w="1355"/>
        <w:gridCol w:w="2795"/>
      </w:tblGrid>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Title of each class</w:t>
            </w:r>
          </w:p>
        </w:tc>
        <w:tc>
          <w:tcPr>
            <w:tcW w:w="1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Trade Symbol(s)</w:t>
            </w:r>
          </w:p>
        </w:tc>
        <w:tc>
          <w:tcPr>
            <w:tcW w:w="2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Name of each exchange on which </w:t>
              <w:br/>
              <w:t>registered</w:t>
            </w:r>
          </w:p>
        </w:tc>
      </w:tr>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Security12bTitle_c20260901"/>
            <w:bookmarkEnd w:id="21"/>
            <w:r>
              <w:rPr>
                <w:rFonts w:ascii="Times New Roman;Times;Serif" w:hAnsi="Times New Roman;Times;Serif"/>
                <w:b w:val="false"/>
                <w:i w:val="false"/>
                <w:caps w:val="false"/>
                <w:smallCaps w:val="false"/>
                <w:sz w:val="20"/>
              </w:rPr>
              <w:t>American Depositary Shares</w:t>
            </w:r>
          </w:p>
        </w:tc>
        <w:tc>
          <w:tcPr>
            <w:tcW w:w="1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1_edei--TradingSymbol_c20260901__2"/>
            <w:bookmarkEnd w:id="22"/>
            <w:r>
              <w:rPr>
                <w:rFonts w:ascii="Times New Roman;Times;Serif" w:hAnsi="Times New Roman;Times;Serif"/>
                <w:b w:val="false"/>
                <w:i w:val="false"/>
                <w:caps w:val="false"/>
                <w:smallCaps w:val="false"/>
                <w:sz w:val="20"/>
              </w:rPr>
              <w:t>BRNS</w:t>
            </w:r>
          </w:p>
        </w:tc>
        <w:tc>
          <w:tcPr>
            <w:tcW w:w="2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4_edei--SecurityExchangeName_dxL_c"/>
            <w:bookmarkEnd w:id="23"/>
            <w:r>
              <w:rPr>
                <w:rFonts w:ascii="Times New Roman;Times;Serif" w:hAnsi="Times New Roman;Times;Serif"/>
                <w:b w:val="false"/>
                <w:i w:val="false"/>
                <w:caps w:val="false"/>
                <w:smallCaps w:val="false"/>
                <w:sz w:val="20"/>
              </w:rPr>
              <w:t xml:space="preserve">The Nasdaq Global Market </w:t>
            </w:r>
          </w:p>
        </w:tc>
      </w:tr>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4_edei--Security12bTitle_c20260901"/>
            <w:bookmarkEnd w:id="24"/>
            <w:r>
              <w:rPr>
                <w:rFonts w:ascii="Times New Roman;Times;Serif" w:hAnsi="Times New Roman;Times;Serif"/>
                <w:b w:val="false"/>
                <w:i w:val="false"/>
                <w:caps w:val="false"/>
                <w:smallCaps w:val="false"/>
                <w:sz w:val="20"/>
              </w:rPr>
              <w:t>Ordinary shares, nominal value £0.000025 per share*</w:t>
            </w:r>
          </w:p>
        </w:tc>
        <w:tc>
          <w:tcPr>
            <w:tcW w:w="1355" w:type="dxa"/>
            <w:tcBorders/>
            <w:vAlign w:val="center"/>
          </w:tcPr>
          <w:p>
            <w:pPr>
              <w:pStyle w:val="TableContents"/>
              <w:bidi w:val="0"/>
              <w:spacing w:before="0" w:after="283"/>
              <w:jc w:val="center"/>
              <w:rPr/>
            </w:pPr>
            <w:r>
              <w:rPr/>
              <w:t> </w:t>
            </w:r>
          </w:p>
        </w:tc>
        <w:tc>
          <w:tcPr>
            <w:tcW w:w="279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5" w:name="xdx_90C_edei--EntityEmergingGrowthCompan"/>
      <w:bookmarkEnd w:id="25"/>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3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pPr>
            <w:r>
              <w:rPr/>
              <w:t xml:space="preserve">* </w:t>
            </w:r>
          </w:p>
        </w:tc>
        <w:tc>
          <w:tcPr>
            <w:tcW w:w="10057" w:type="dxa"/>
            <w:tcBorders/>
            <w:vAlign w:val="center"/>
          </w:tcPr>
          <w:p>
            <w:pPr>
              <w:pStyle w:val="TableContents"/>
              <w:bidi w:val="0"/>
              <w:spacing w:before="0" w:after="283"/>
              <w:jc w:val="both"/>
              <w:rPr/>
            </w:pPr>
            <w:r>
              <w:rPr/>
              <w:t>American Depositary Shares may be evidenced by American Depositary Receipts. Each American Depositary Share represents one (1) ordinary share. Not for trading, but only in connection with the listing of the American Depositary Shares on The Nasdaq Global Market.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7" w:name="xdx_903_edei--EntityTaxIdentificationNum"/>
      <w:bookmarkEnd w:id="27"/>
      <w:r>
        <w:rPr>
          <w:rFonts w:ascii="Times New Roman;Times;Serif" w:hAnsi="Times New Roman;Times;Serif"/>
          <w:b w:val="false"/>
          <w:i w:val="false"/>
          <w:caps w:val="false"/>
          <w:smallCaps w:val="false"/>
          <w:sz w:val="20"/>
        </w:rPr>
        <w:t>00-0000000</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the Item 8.01 of this Current Report on Form 8-K is incorporated herein by reference into this Item 3.01.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transactions contemplated by the Agreement and Plan of Merger, dated September 29, 2025, by and among Barinthus Biotherapeutics plc (the “Company”), Beacon Topco, Inc., a Delaware corporation and a direct wholly owned subsidiary of the Company (“Topco”), Cdog Merger Sub, Inc., a Delaware corporation and a direct wholly owned subsidiary of Topco, and Clywedog Therapeutics, Inc., a Delaware corporation (as amended, the “Merger Agreement”), were conditioned upon, amongst other things, the sanction of the Scheme of Arrangement (as defined in the Merger Agreement) by the High Court of Justice of England and Wales (the “Court”). The Scheme of Arrangement and a capital reduction of the share premium account of the Company were sanctioned by the Court on September 1, 2026. The Scheme of Arrangement is now expected to become effective on September 9,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the Company notified The Nasdaq Stock Market LLC (“Nasdaq”) of the change in expected effective date of the Scheme of Arrangement. Accordingly, trading of the Company’s American Depositary Shares (the “ADSs”) on Nasdaq is now expected to be halted prior to the opening of trading on September 9, 2026. The Company’s previously disclosed plans with respect to the delisting and deregistration of the ADSs are otherwise unchanged.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 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as amended, which can generally be identified as such by use of the words “expect,” “will,” and similar expressions, although not all forward-looking statements contain these identifying words. These forward-looking statements include, without limitation, express or implied statements regarding the expected effectiveness and timing of the Scheme and the expected timing of the halt of trading, delisting and deregistration of the ADSs. Any forward-looking statements in this Current Report on Form 8-K are based on management’s current expectations and beliefs and are subject to numerous risks, uncertainties and important factors that may cause actual events or results to differ materially from those expressed or implied by any forward-looking statements contained in this Current Report on Form 8-K, including, without limitation, risks and uncertainties related to the success, cost and timing of the Company’s pipeline development activities and planned and ongoing clinical trials, the Company’s ability to execute on its strategy, regulatory developments, the risk that the Company may not achieve the anticipated benefits of its pipeline prioritization and corporate restructuring, the Company’s ability to fund its operations and access capital, the Company’s preliminary estimates of its cash and cash equivalents, including the risk that final financial results may differ materially from the Company’s preliminary estimates, the risk that the proposed transaction contemplated by the Merger Agreement may not be completed in a timely manner or at all, which may adversely affect our business and the price of our securities, the risk that that the proposed transaction may involve unexpected costs, liabilities or delays, or divert management’s attention from our ongoing business operations, the risk of any legal proceedings related to the proposed transaction or otherwise, or the impact of the proposed transaction thereupon, the risk that the anticipated benefits of the proposed transaction may otherwise not be fully realized or may take longer to realize than expected, risks relating to the value of the combined company securities to be issued in the proposed transaction, and other risks identified in the Company’s filings with the Securities and Exchange Commission (the “SEC”), including its Annual Report on Form 10-K for the year ended December 31, 2025, its Quarterly Reports on Form 10-Q and subsequent filings with the SEC. The Company cautions you not to place undue reliance on any forward-looking statements, which speak only as of the date they are made. The Company expressly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30"/>
        <w:gridCol w:w="340"/>
        <w:gridCol w:w="2125"/>
      </w:tblGrid>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 2026</w:t>
            </w:r>
          </w:p>
        </w:tc>
        <w:tc>
          <w:tcPr>
            <w:tcW w:w="24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Barinthus Biotherapeutics plc</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caps w:val="false"/>
                <w:smallCaps w:val="false"/>
              </w:rPr>
            </w:pPr>
            <w:r>
              <w:rPr>
                <w:caps w:val="false"/>
                <w:smallCaps w:val="false"/>
              </w:rPr>
              <w:t> </w:t>
            </w:r>
          </w:p>
        </w:tc>
        <w:tc>
          <w:tcPr>
            <w:tcW w:w="21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Enright</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caps w:val="false"/>
                <w:smallCaps w:val="false"/>
              </w:rPr>
            </w:pPr>
            <w:r>
              <w:rPr>
                <w:caps w:val="false"/>
                <w:smallCaps w:val="false"/>
              </w:rPr>
              <w:t> </w:t>
            </w:r>
          </w:p>
        </w:tc>
        <w:tc>
          <w:tcPr>
            <w:tcW w:w="2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Enright</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caps w:val="false"/>
                <w:smallCaps w:val="false"/>
              </w:rPr>
            </w:pPr>
            <w:r>
              <w:rPr>
                <w:caps w:val="false"/>
                <w:smallCaps w:val="false"/>
              </w:rPr>
              <w:t> </w:t>
            </w:r>
          </w:p>
        </w:tc>
        <w:tc>
          <w:tcPr>
            <w:tcW w:w="2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1186</Words>
  <Characters>6605</Characters>
  <CharactersWithSpaces>7791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